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800"/>
        <w:jc w:val="center"/>
      </w:pPr>
      <w:r>
        <w:rPr>
          <w:b/>
          <w:bCs/>
          <w:color w:val="1F3864"/>
          <w:sz w:val="48"/>
          <w:szCs w:val="48"/>
        </w:rPr>
        <w:t xml:space="preserve">Business Insights Document</w:t>
      </w:r>
    </w:p>
    <w:p>
      <w:pPr>
        <w:spacing w:after="300"/>
        <w:jc w:val="center"/>
      </w:pPr>
      <w:r>
        <w:rPr>
          <w:b/>
          <w:bCs/>
          <w:color w:val="2E74B5"/>
          <w:sz w:val="28"/>
          <w:szCs w:val="28"/>
        </w:rPr>
        <w:t xml:space="preserve">Sprint 2 — Deliverable</w:t>
      </w:r>
    </w:p>
    <w:p>
      <w:pPr>
        <w:spacing w:after="100"/>
        <w:jc w:val="center"/>
      </w:pPr>
      <w:r>
        <w:rPr>
          <w:color w:val="595959"/>
          <w:sz w:val="22"/>
          <w:szCs w:val="22"/>
        </w:rPr>
        <w:t xml:space="preserve">Flight Delay Analytics  |  Course: Data Analytics using Python</w:t>
      </w:r>
    </w:p>
    <w:p>
      <w:pPr>
        <w:spacing w:after="600"/>
        <w:jc w:val="center"/>
      </w:pPr>
      <w:r>
        <w:rPr>
          <w:i/>
          <w:iCs/>
          <w:color w:val="595959"/>
          <w:sz w:val="20"/>
          <w:szCs w:val="20"/>
        </w:rPr>
        <w:t xml:space="preserve">Dataset: Flight_Delays_50K_cleaned.csv  |  50,000 rows</w:t>
      </w:r>
    </w:p>
    <w:p>
      <w:pPr>
        <w:pBdr>
          <w:bottom w:val="single" w:color="AAAAAA" w:sz="6" w:space="1"/>
        </w:pBdr>
        <w:spacing w:after="200"/>
      </w:pPr>
    </w:p>
    <w:p>
      <w:pPr>
        <w:pStyle w:val="Heading1"/>
        <w:spacing w:after="200" w:before="400"/>
      </w:pPr>
      <w:r>
        <w:t xml:space="preserve">1. Context</w:t>
      </w:r>
    </w:p>
    <w:p>
      <w:pPr>
        <w:spacing w:after="160"/>
      </w:pPr>
      <w:r>
        <w:t xml:space="preserve">Management asked for the major factors contributing to flight delays and cancellations, and for actionable recommendations to reduce delays, improve scheduling, optimise airport operations, and enhance customer satisfaction. This document synthesises the Sprint 2 analysis into five priority findings, each with a direct, evidence-backed recommendation.</w:t>
      </w:r>
    </w:p>
    <w:p>
      <w:pPr>
        <w:pStyle w:val="Heading1"/>
        <w:spacing w:after="200" w:before="400"/>
      </w:pPr>
      <w:r>
        <w:t xml:space="preserve">2. Finding 1: Delay Control Must Happen on the Ground, Not in the Air</w:t>
      </w:r>
    </w:p>
    <w:p>
      <w:pPr>
        <w:spacing w:after="100"/>
      </w:pPr>
      <w:r>
        <w:rPr>
          <w:b/>
          <w:bCs/>
        </w:rPr>
        <w:t xml:space="preserve">Evidence: </w:t>
      </w:r>
      <w:r>
        <w:t xml:space="preserve">Departure delay and arrival delay correlate at r = 0.941 (r² ≈ 0.885). The fitted relationship is arrival ≈ 1.01 × departure − 5.1 minutes — a roughly fixed 5-minute recovery regardless of how late the flight departed. Of 8,628 flights that departed more than 15 minutes late, only 20.7% recovered to arrive within 15 minutes.</w:t>
      </w:r>
    </w:p>
    <w:p>
      <w:pPr>
        <w:spacing w:after="160"/>
      </w:pPr>
      <w:r>
        <w:t xml:space="preserve">Once a flight leaves late, it almost always stays late. There is no meaningful in-flight recovery mechanism for delays beyond a small, fixed cushion.</w:t>
      </w:r>
    </w:p>
    <w:p>
      <w:pPr>
        <w:spacing w:after="100"/>
      </w:pPr>
      <w:r>
        <w:rPr>
          <w:b/>
          <w:bCs/>
        </w:rPr>
        <w:t xml:space="preserve">Recommendation: </w:t>
      </w:r>
      <w:r>
        <w:t xml:space="preserve">Invest in on-ground efficiency — turnaround time, gate operations, and pre-departure buffer — rather than in-flight speed-up initiatives, which the data shows have limited effect.</w:t>
      </w:r>
    </w:p>
    <w:p>
      <w:pPr>
        <w:pStyle w:val="Heading1"/>
        <w:spacing w:after="200" w:before="400"/>
      </w:pPr>
      <w:r>
        <w:t xml:space="preserve">3. Finding 2: Late-Arriving Aircraft is the Leading Cause of Delay Minutes, Every Month</w:t>
      </w:r>
    </w:p>
    <w:p>
      <w:pPr>
        <w:spacing w:after="100"/>
      </w:pPr>
      <w:r>
        <w:rPr>
          <w:b/>
          <w:bCs/>
        </w:rPr>
        <w:t xml:space="preserve">Evidence: </w:t>
      </w:r>
      <w:r>
        <w:t xml:space="preserve">Late Aircraft Delay averages 4.12 minutes per flight overall (the highest of the five delay-cause columns) and is the single largest cause in 11 of 12 months. It correlates with arrival delay at r = 0.62, tied with Airline-caused delay (r = 0.62) as the two strongest of the five delay-cause correlations, well ahead of Air System (r = 0.43) and Weather (r = 0.28).</w:t>
      </w:r>
    </w:p>
    <w:p>
      <w:pPr>
        <w:spacing w:after="160"/>
      </w:pPr>
      <w:r>
        <w:t xml:space="preserve">Delay propagates through the network: an aircraft arriving late from one flight causes its next scheduled flight to depart late, and this compounds through the day (evening flights show 21.9–27.8% severe-delay rates vs 6.4–13.9% for the same days' overnight flights).</w:t>
      </w:r>
    </w:p>
    <w:p>
      <w:pPr>
        <w:spacing w:after="100"/>
      </w:pPr>
      <w:r>
        <w:rPr>
          <w:b/>
          <w:bCs/>
        </w:rPr>
        <w:t xml:space="preserve">Recommendation: </w:t>
      </w:r>
      <w:r>
        <w:t xml:space="preserve">Prioritise schedule-buffer and aircraft-rotation planning, particularly for late-day flights, over cause-specific fixes aimed only at weather or security. This single lever addresses the largest and most consistent source of delay minutes in the data.</w:t>
      </w:r>
    </w:p>
    <w:p>
      <w:pPr>
        <w:pStyle w:val="Heading1"/>
        <w:spacing w:after="200" w:before="400"/>
      </w:pPr>
      <w:r>
        <w:t xml:space="preserve">4. Finding 3: Weather Drives Cancellations, Not Delays</w:t>
      </w:r>
    </w:p>
    <w:p>
      <w:pPr>
        <w:spacing w:after="100"/>
      </w:pPr>
      <w:r>
        <w:rPr>
          <w:b/>
          <w:bCs/>
        </w:rPr>
        <w:t xml:space="preserve">Evidence: </w:t>
      </w:r>
      <w:r>
        <w:t xml:space="preserve">Weather accounts for 54.4% of all cancellations but only about 5% of total delay-cause minutes (mean 0.53 of ~10.4 total minutes across the five causes). Short-haul flights under 500 miles cancel at roughly double the rate of flights over 1,500 miles (2.0–2.4% vs 0.6–0.9%), while arrival delay itself is essentially unrelated to distance (Spearman ρ = −0.07).</w:t>
      </w:r>
    </w:p>
    <w:p>
      <w:pPr>
        <w:spacing w:after="160"/>
      </w:pPr>
      <w:r>
        <w:t xml:space="preserve">Weather's operational impact is concentrated in outright cancellation of vulnerable (typically shorter, regional) flights, not in delaying flights that do operate.</w:t>
      </w:r>
    </w:p>
    <w:p>
      <w:pPr>
        <w:spacing w:after="100"/>
      </w:pPr>
      <w:r>
        <w:rPr>
          <w:b/>
          <w:bCs/>
        </w:rPr>
        <w:t xml:space="preserve">Recommendation: </w:t>
      </w:r>
      <w:r>
        <w:t xml:space="preserve">Weather-contingency investment (de-icing capacity, rebooking automation, proactive short-haul cancellation policies) should be evaluated on its ability to reduce cancellations and passenger disruption, not on its (limited) ability to reduce delay minutes.</w:t>
      </w:r>
    </w:p>
    <w:p>
      <w:pPr>
        <w:pStyle w:val="Heading1"/>
        <w:spacing w:after="200" w:before="400"/>
      </w:pPr>
      <w:r>
        <w:t xml:space="preserve">5. Finding 4: ORD Has a Structurally Different, Air-System-Driven Cancellation Problem</w:t>
      </w:r>
    </w:p>
    <w:p>
      <w:pPr>
        <w:spacing w:after="100"/>
      </w:pPr>
      <w:r>
        <w:rPr>
          <w:b/>
          <w:bCs/>
        </w:rPr>
        <w:t xml:space="preserve">Evidence: </w:t>
      </w:r>
      <w:r>
        <w:t xml:space="preserve">ORD accounts for 30 of the top-10 airports' combined 42 air-system cancellations — more than the other nine airports combined. MQ and EV, both major ORD hub carriers, are the two airlines with the highest overall cancellation rates (5.12% and 3.02%) and are disproportionately affected by air-system-caused cancellations (37 and 54 respectively) rather than weather, unlike every other large carrier.</w:t>
      </w:r>
    </w:p>
    <w:p>
      <w:pPr>
        <w:spacing w:after="160"/>
      </w:pPr>
      <w:r>
        <w:t xml:space="preserve">This is a coherent, connected finding: an airport-level pattern (ORD) and two airline-level patterns (MQ, EV) point to the same underlying cause — exposure to air-traffic-system congestion at a specific hub — rather than three unrelated issues.</w:t>
      </w:r>
    </w:p>
    <w:p>
      <w:pPr>
        <w:spacing w:after="100"/>
      </w:pPr>
      <w:r>
        <w:rPr>
          <w:b/>
          <w:bCs/>
        </w:rPr>
        <w:t xml:space="preserve">Recommendation: </w:t>
      </w:r>
      <w:r>
        <w:t xml:space="preserve">Conduct a targeted operational review of ORD air-traffic-slot management and connecting-flight buffer for MQ and EV specifically. This is likely to yield a larger cancellation-rate improvement than a general weather-preparedness initiative.</w:t>
      </w:r>
    </w:p>
    <w:p>
      <w:pPr>
        <w:pStyle w:val="Heading1"/>
        <w:spacing w:after="200" w:before="400"/>
      </w:pPr>
      <w:r>
        <w:t xml:space="preserve">6. Finding 5: Delay Risk Is Driven Far More by Time of Day Than by Day of Week</w:t>
      </w:r>
    </w:p>
    <w:p>
      <w:pPr>
        <w:spacing w:after="100"/>
      </w:pPr>
      <w:r>
        <w:rPr>
          <w:b/>
          <w:bCs/>
        </w:rPr>
        <w:t xml:space="preserve">Evidence: </w:t>
      </w:r>
      <w:r>
        <w:t xml:space="preserve">Every day of the week shows the same pattern: severe-delay rate (15+ min) rises from 6.4–13.9% overnight to 21.4–24.2% in the afternoon to 21.9–27.8% in the evening. The day-to-day gap within any single time block (5–7 percentage points) is much smaller than the time-of-day gap within any single day (15–20 points). Saturday is the best-performing day in every single time block, consistent with it having the lowest flight volume of the week.</w:t>
      </w:r>
    </w:p>
    <w:p>
      <w:pPr>
        <w:spacing w:after="160"/>
      </w:pPr>
      <w:r>
        <w:t xml:space="preserve">Monday additionally has the highest cancellation rate (2.6% vs 0.9–2.0% on other days) while Thursday and Friday have the highest severe-delay rates (19.5–19.6%) — two separate problems, not one.</w:t>
      </w:r>
    </w:p>
    <w:p>
      <w:pPr>
        <w:spacing w:after="100"/>
      </w:pPr>
      <w:r>
        <w:rPr>
          <w:b/>
          <w:bCs/>
        </w:rPr>
        <w:t xml:space="preserve">Recommendation: </w:t>
      </w:r>
      <w:r>
        <w:t xml:space="preserve">Schedule and staffing decisions should prioritise evening-flight buffer capacity above day-specific interventions. Separately, investigate Monday-specific cancellation drivers (e.g. post-weekend weather or aircraft/crew positioning) and Thursday/Friday-specific congestion (peak weekly volume) as two distinct initiatives.</w:t>
      </w:r>
    </w:p>
    <w:p>
      <w:pPr>
        <w:pStyle w:val="Heading1"/>
        <w:spacing w:after="200" w:before="400"/>
      </w:pPr>
      <w:r>
        <w:t xml:space="preserve">7. Airline-Level Priority Targets</w:t>
      </w:r>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4100"/>
      </w:tblGrid>
      <w:tr>
        <w:trPr>
          <w:tblHeader/>
        </w:trPr>
        <w:tc>
          <w:tcPr>
            <w:tcW w:type="dxa" w:w="1400"/>
            <w:shd w:fill="1F3864" w:color="auto" w:val="clear"/>
            <w:tcMar>
              <w:top w:type="dxa" w:w="80"/>
              <w:left w:type="dxa" w:w="100"/>
              <w:bottom w:type="dxa" w:w="80"/>
              <w:right w:type="dxa" w:w="100"/>
            </w:tcMar>
          </w:tcPr>
          <w:p>
            <w:r>
              <w:rPr>
                <w:b/>
                <w:bCs/>
                <w:color w:val="FFFFFF"/>
                <w:sz w:val="20"/>
                <w:szCs w:val="20"/>
              </w:rPr>
              <w:t xml:space="preserve">Airline</w:t>
            </w:r>
          </w:p>
        </w:tc>
        <w:tc>
          <w:tcPr>
            <w:tcW w:type="dxa" w:w="3200"/>
            <w:shd w:fill="1F3864" w:color="auto" w:val="clear"/>
            <w:tcMar>
              <w:top w:type="dxa" w:w="80"/>
              <w:left w:type="dxa" w:w="100"/>
              <w:bottom w:type="dxa" w:w="80"/>
              <w:right w:type="dxa" w:w="100"/>
            </w:tcMar>
          </w:tcPr>
          <w:p>
            <w:r>
              <w:rPr>
                <w:b/>
                <w:bCs/>
                <w:color w:val="FFFFFF"/>
                <w:sz w:val="20"/>
                <w:szCs w:val="20"/>
              </w:rPr>
              <w:t xml:space="preserve">Primary Issue</w:t>
            </w:r>
          </w:p>
        </w:tc>
        <w:tc>
          <w:tcPr>
            <w:tcW w:type="dxa" w:w="4100"/>
            <w:shd w:fill="1F3864" w:color="auto" w:val="clear"/>
            <w:tcMar>
              <w:top w:type="dxa" w:w="80"/>
              <w:left w:type="dxa" w:w="100"/>
              <w:bottom w:type="dxa" w:w="80"/>
              <w:right w:type="dxa" w:w="100"/>
            </w:tcMar>
          </w:tcPr>
          <w:p>
            <w:r>
              <w:rPr>
                <w:b/>
                <w:bCs/>
                <w:color w:val="FFFFFF"/>
                <w:sz w:val="20"/>
                <w:szCs w:val="20"/>
              </w:rPr>
              <w:t xml:space="preserve">Evidence</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NK</w:t>
            </w:r>
          </w:p>
        </w:tc>
        <w:tc>
          <w:tcPr>
            <w:tcW w:type="dxa" w:w="3200"/>
            <w:shd w:fill="F2F2F2" w:color="auto" w:val="clear"/>
            <w:tcMar>
              <w:top w:type="dxa" w:w="80"/>
              <w:left w:type="dxa" w:w="100"/>
              <w:bottom w:type="dxa" w:w="80"/>
              <w:right w:type="dxa" w:w="100"/>
            </w:tcMar>
          </w:tcPr>
          <w:p>
            <w:r>
              <w:rPr>
                <w:b w:val="false"/>
                <w:bCs w:val="false"/>
                <w:color w:val="000000"/>
                <w:sz w:val="20"/>
                <w:szCs w:val="20"/>
              </w:rPr>
              <w:t xml:space="preserve">Chronic delay (not just tail-risk)</w:t>
            </w:r>
          </w:p>
        </w:tc>
        <w:tc>
          <w:tcPr>
            <w:tcW w:type="dxa" w:w="4100"/>
            <w:shd w:fill="F2F2F2" w:color="auto" w:val="clear"/>
            <w:tcMar>
              <w:top w:type="dxa" w:w="80"/>
              <w:left w:type="dxa" w:w="100"/>
              <w:bottom w:type="dxa" w:w="80"/>
              <w:right w:type="dxa" w:w="100"/>
            </w:tcMar>
          </w:tcPr>
          <w:p>
            <w:r>
              <w:rPr>
                <w:b w:val="false"/>
                <w:bCs w:val="false"/>
                <w:color w:val="000000"/>
                <w:sz w:val="20"/>
                <w:szCs w:val="20"/>
              </w:rPr>
              <w:t xml:space="preserve">Mean 14.51 min, median +2.0 (only airline with positive median)</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MQ</w:t>
            </w:r>
          </w:p>
        </w:tc>
        <w:tc>
          <w:tcPr>
            <w:tcW w:type="dxa" w:w="3200"/>
            <w:shd w:fill="FFFFFF" w:color="auto" w:val="clear"/>
            <w:tcMar>
              <w:top w:type="dxa" w:w="80"/>
              <w:left w:type="dxa" w:w="100"/>
              <w:bottom w:type="dxa" w:w="80"/>
              <w:right w:type="dxa" w:w="100"/>
            </w:tcMar>
          </w:tcPr>
          <w:p>
            <w:r>
              <w:rPr>
                <w:b w:val="false"/>
                <w:bCs w:val="false"/>
                <w:color w:val="000000"/>
                <w:sz w:val="20"/>
                <w:szCs w:val="20"/>
              </w:rPr>
              <w:t xml:space="preserve">Cancellations, air-system-driven, route-specific delay spike</w:t>
            </w:r>
          </w:p>
        </w:tc>
        <w:tc>
          <w:tcPr>
            <w:tcW w:type="dxa" w:w="4100"/>
            <w:shd w:fill="FFFFFF" w:color="auto" w:val="clear"/>
            <w:tcMar>
              <w:top w:type="dxa" w:w="80"/>
              <w:left w:type="dxa" w:w="100"/>
              <w:bottom w:type="dxa" w:w="80"/>
              <w:right w:type="dxa" w:w="100"/>
            </w:tcMar>
          </w:tcPr>
          <w:p>
            <w:r>
              <w:rPr>
                <w:b w:val="false"/>
                <w:bCs w:val="false"/>
                <w:color w:val="000000"/>
                <w:sz w:val="20"/>
                <w:szCs w:val="20"/>
              </w:rPr>
              <w:t xml:space="preserve">5.12% cancel rate; 12.7 min mean delay on 1000-1500mi routes vs 6.4-6.5 on shorter routes</w:t>
            </w:r>
          </w:p>
        </w:tc>
      </w:tr>
      <w:tr>
        <w:tc>
          <w:tcPr>
            <w:tcW w:type="dxa" w:w="1400"/>
            <w:shd w:fill="F2F2F2" w:color="auto" w:val="clear"/>
            <w:tcMar>
              <w:top w:type="dxa" w:w="80"/>
              <w:left w:type="dxa" w:w="100"/>
              <w:bottom w:type="dxa" w:w="80"/>
              <w:right w:type="dxa" w:w="100"/>
            </w:tcMar>
          </w:tcPr>
          <w:p>
            <w:r>
              <w:rPr>
                <w:b w:val="false"/>
                <w:bCs w:val="false"/>
                <w:color w:val="000000"/>
                <w:sz w:val="20"/>
                <w:szCs w:val="20"/>
              </w:rPr>
              <w:t xml:space="preserve">EV</w:t>
            </w:r>
          </w:p>
        </w:tc>
        <w:tc>
          <w:tcPr>
            <w:tcW w:type="dxa" w:w="3200"/>
            <w:shd w:fill="F2F2F2" w:color="auto" w:val="clear"/>
            <w:tcMar>
              <w:top w:type="dxa" w:w="80"/>
              <w:left w:type="dxa" w:w="100"/>
              <w:bottom w:type="dxa" w:w="80"/>
              <w:right w:type="dxa" w:w="100"/>
            </w:tcMar>
          </w:tcPr>
          <w:p>
            <w:r>
              <w:rPr>
                <w:b w:val="false"/>
                <w:bCs w:val="false"/>
                <w:color w:val="000000"/>
                <w:sz w:val="20"/>
                <w:szCs w:val="20"/>
              </w:rPr>
              <w:t xml:space="preserve">Cancellations, air-system-driven</w:t>
            </w:r>
          </w:p>
        </w:tc>
        <w:tc>
          <w:tcPr>
            <w:tcW w:type="dxa" w:w="4100"/>
            <w:shd w:fill="F2F2F2" w:color="auto" w:val="clear"/>
            <w:tcMar>
              <w:top w:type="dxa" w:w="80"/>
              <w:left w:type="dxa" w:w="100"/>
              <w:bottom w:type="dxa" w:w="80"/>
              <w:right w:type="dxa" w:w="100"/>
            </w:tcMar>
          </w:tcPr>
          <w:p>
            <w:r>
              <w:rPr>
                <w:b w:val="false"/>
                <w:bCs w:val="false"/>
                <w:color w:val="000000"/>
                <w:sz w:val="20"/>
                <w:szCs w:val="20"/>
              </w:rPr>
              <w:t xml:space="preserve">3.02% cancel rate; 54 of 150 cancellations are air-system-caused</w:t>
            </w:r>
          </w:p>
        </w:tc>
      </w:tr>
      <w:tr>
        <w:tc>
          <w:tcPr>
            <w:tcW w:type="dxa" w:w="1400"/>
            <w:shd w:fill="FFFFFF" w:color="auto" w:val="clear"/>
            <w:tcMar>
              <w:top w:type="dxa" w:w="80"/>
              <w:left w:type="dxa" w:w="100"/>
              <w:bottom w:type="dxa" w:w="80"/>
              <w:right w:type="dxa" w:w="100"/>
            </w:tcMar>
          </w:tcPr>
          <w:p>
            <w:r>
              <w:rPr>
                <w:b w:val="false"/>
                <w:bCs w:val="false"/>
                <w:color w:val="000000"/>
                <w:sz w:val="20"/>
                <w:szCs w:val="20"/>
              </w:rPr>
              <w:t xml:space="preserve">UA</w:t>
            </w:r>
          </w:p>
        </w:tc>
        <w:tc>
          <w:tcPr>
            <w:tcW w:type="dxa" w:w="3200"/>
            <w:shd w:fill="FFFFFF" w:color="auto" w:val="clear"/>
            <w:tcMar>
              <w:top w:type="dxa" w:w="80"/>
              <w:left w:type="dxa" w:w="100"/>
              <w:bottom w:type="dxa" w:w="80"/>
              <w:right w:type="dxa" w:w="100"/>
            </w:tcMar>
          </w:tcPr>
          <w:p>
            <w:r>
              <w:rPr>
                <w:b w:val="false"/>
                <w:bCs w:val="false"/>
                <w:color w:val="000000"/>
                <w:sz w:val="20"/>
                <w:szCs w:val="20"/>
              </w:rPr>
              <w:t xml:space="preserve">Airport-specific delay (DFW, ORD)</w:t>
            </w:r>
          </w:p>
        </w:tc>
        <w:tc>
          <w:tcPr>
            <w:tcW w:type="dxa" w:w="4100"/>
            <w:shd w:fill="FFFFFF" w:color="auto" w:val="clear"/>
            <w:tcMar>
              <w:top w:type="dxa" w:w="80"/>
              <w:left w:type="dxa" w:w="100"/>
              <w:bottom w:type="dxa" w:w="80"/>
              <w:right w:type="dxa" w:w="100"/>
            </w:tcMar>
          </w:tcPr>
          <w:p>
            <w:r>
              <w:rPr>
                <w:b w:val="false"/>
                <w:bCs w:val="false"/>
                <w:color w:val="000000"/>
                <w:sz w:val="20"/>
                <w:szCs w:val="20"/>
              </w:rPr>
              <w:t xml:space="preserve">22.4 min at DFW, 20.2 min at ORD, vs 4.34 min overall mean</w:t>
            </w:r>
          </w:p>
        </w:tc>
      </w:tr>
    </w:tbl>
    <w:p>
      <w:pPr>
        <w:pStyle w:val="Heading1"/>
        <w:spacing w:after="200" w:before="400"/>
      </w:pPr>
      <w:r>
        <w:t xml:space="preserve">8. Caveats to Carry Into Sprint 3</w:t>
      </w:r>
    </w:p>
    <w:p>
      <w:pPr>
        <w:pStyle w:val="ListParagraph"/>
        <w:numPr>
          <w:ilvl w:val="0"/>
          <w:numId w:val="2"/>
        </w:numPr>
        <w:spacing w:after="80"/>
      </w:pPr>
      <w:r>
        <w:t xml:space="preserve">~8.5% of airport codes use a numeric DOT ID rather than IATA code and could not be mapped; airport-level findings exclude these rows and may not generalise perfectly to the full network.</w:t>
      </w:r>
    </w:p>
    <w:p>
      <w:pPr>
        <w:pStyle w:val="ListParagraph"/>
        <w:numPr>
          <w:ilvl w:val="0"/>
          <w:numId w:val="2"/>
        </w:numPr>
        <w:spacing w:after="80"/>
      </w:pPr>
      <w:r>
        <w:t xml:space="preserve">Delay-cause columns (Air System, Security, Airline, Late Aircraft, Weather) are only populated for flights delayed 15+ minutes, so cause-level findings describe major delays specifically, not all lateness.</w:t>
      </w:r>
    </w:p>
    <w:p>
      <w:pPr>
        <w:pStyle w:val="ListParagraph"/>
        <w:numPr>
          <w:ilvl w:val="0"/>
          <w:numId w:val="2"/>
        </w:numPr>
        <w:spacing w:after="80"/>
      </w:pPr>
      <w:r>
        <w:t xml:space="preserve">US Airways has no data after June 2015 due to its merger into American Airlines; exclude from H2 comparisons.</w:t>
      </w:r>
    </w:p>
    <w:p>
      <w:pPr>
        <w:pStyle w:val="ListParagraph"/>
        <w:numPr>
          <w:ilvl w:val="0"/>
          <w:numId w:val="2"/>
        </w:numPr>
        <w:spacing w:after="80"/>
      </w:pPr>
      <w:r>
        <w:t xml:space="preserve">Several findings (VX's high delay ranking, small-airport rankings) rest on small sample sizes and should be treated as tentative pending further data or formal significance testing in Sprint 3.</w:t>
      </w:r>
    </w:p>
    <w:p>
      <w:pPr>
        <w:pStyle w:val="ListParagraph"/>
        <w:numPr>
          <w:ilvl w:val="0"/>
          <w:numId w:val="2"/>
        </w:numPr>
        <w:spacing w:after="80"/>
      </w:pPr>
      <w:r>
        <w:t xml:space="preserve">Several apparent causal stories in this document (e.g. DC-NY corridor and winter weather, ORD and air-traffic congestion) are well-evidenced hypotheses, not proven causal mechanisms, and are flagged as candidates for formal statistical testing in Sprint 3.</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2026-09-29T10:08:31.494Z</dcterms:created>
  <dcterms:modified xsi:type="dcterms:W3CDTF">2026-09-29T10:08:31.494Z</dcterms:modified>
</cp:coreProperties>
</file>

<file path=docProps/custom.xml><?xml version="1.0" encoding="utf-8"?>
<Properties xmlns="http://schemas.openxmlformats.org/officeDocument/2006/custom-properties" xmlns:vt="http://schemas.openxmlformats.org/officeDocument/2006/docPropsVTypes"/>
</file>