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F3864"/>
          <w:sz w:val="48"/>
          <w:szCs w:val="48"/>
        </w:rPr>
        <w:t xml:space="preserve">Summary of Findings</w:t>
      </w:r>
    </w:p>
    <w:p>
      <w:pPr>
        <w:spacing w:after="300"/>
        <w:jc w:val="center"/>
      </w:pPr>
      <w:r>
        <w:rPr>
          <w:b/>
          <w:bCs/>
          <w:color w:val="2E74B5"/>
          <w:sz w:val="28"/>
          <w:szCs w:val="28"/>
        </w:rPr>
        <w:t xml:space="preserve">Sprint 2 — Executive Summary</w:t>
      </w:r>
    </w:p>
    <w:p>
      <w:pPr>
        <w:spacing w:after="100"/>
        <w:jc w:val="center"/>
      </w:pPr>
      <w:r>
        <w:rPr>
          <w:color w:val="595959"/>
          <w:sz w:val="22"/>
          <w:szCs w:val="22"/>
        </w:rPr>
        <w:t xml:space="preserve">Flight Delay Analytics  |  Course: Data Analytics using Python</w:t>
      </w:r>
    </w:p>
    <w:p>
      <w:pPr>
        <w:spacing w:after="600"/>
        <w:jc w:val="center"/>
      </w:pPr>
      <w:r>
        <w:rPr>
          <w:i/>
          <w:iCs/>
          <w:color w:val="595959"/>
          <w:sz w:val="20"/>
          <w:szCs w:val="20"/>
        </w:rPr>
        <w:t xml:space="preserve">Dataset: Flight_Delays_50K_cleaned.csv  |  50,000 rows</w:t>
      </w:r>
    </w:p>
    <w:p>
      <w:pPr>
        <w:pBdr>
          <w:bottom w:val="single" w:color="AAAAAA" w:sz="6" w:space="1"/>
        </w:pBdr>
        <w:spacing w:after="200"/>
      </w:pPr>
    </w:p>
    <w:p>
      <w:pPr>
        <w:pStyle w:val="Heading1"/>
        <w:spacing w:after="200" w:before="400"/>
      </w:pPr>
      <w:r>
        <w:t xml:space="preserve">Overview</w:t>
      </w:r>
    </w:p>
    <w:p>
      <w:pPr>
        <w:spacing w:after="160"/>
      </w:pPr>
      <w:r>
        <w:t xml:space="preserve">Sprint 2 analysed 50,000 cleaned flight records across descriptive statistics, univariate, bivariate, and multivariate analysis, group-based summaries, pivot tables, crosstabs, and correlation analysis. Five priority findings emerged, each backed by evidence spanning multiple analytical views rather than a single chart.</w:t>
      </w:r>
    </w:p>
    <w:p>
      <w:pPr>
        <w:pStyle w:val="Heading1"/>
        <w:spacing w:after="200" w:before="400"/>
      </w:pPr>
      <w:r>
        <w:t xml:space="preserve">Key Numbers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00"/>
        <w:gridCol w:w="4800"/>
      </w:tblGrid>
      <w:tr>
        <w:trPr>
          <w:tblHeader/>
        </w:trPr>
        <w:tc>
          <w:tcPr>
            <w:tcW w:type="dxa" w:w="4700"/>
            <w:shd w:fill="1F3864" w:color="auto" w:val="clear"/>
            <w:tcMar>
              <w:top w:type="dxa" w:w="80"/>
              <w:left w:type="dxa" w:w="100"/>
              <w:bottom w:type="dxa" w:w="80"/>
              <w:right w:type="dxa" w:w="100"/>
            </w:tcMar>
          </w:tcPr>
          <w:p>
            <w:r>
              <w:rPr>
                <w:b/>
                <w:bCs/>
                <w:color w:val="FFFFFF"/>
                <w:sz w:val="20"/>
                <w:szCs w:val="20"/>
              </w:rPr>
              <w:t xml:space="preserve">Metric</w:t>
            </w:r>
          </w:p>
        </w:tc>
        <w:tc>
          <w:tcPr>
            <w:tcW w:type="dxa" w:w="4800"/>
            <w:shd w:fill="1F3864" w:color="auto" w:val="clear"/>
            <w:tcMar>
              <w:top w:type="dxa" w:w="80"/>
              <w:left w:type="dxa" w:w="100"/>
              <w:bottom w:type="dxa" w:w="80"/>
              <w:right w:type="dxa" w:w="100"/>
            </w:tcMar>
          </w:tcPr>
          <w:p>
            <w:r>
              <w:rPr>
                <w:b/>
                <w:bCs/>
                <w:color w:val="FFFFFF"/>
                <w:sz w:val="20"/>
                <w:szCs w:val="20"/>
              </w:rPr>
              <w:t xml:space="preserve">Value</w:t>
            </w:r>
          </w:p>
        </w:tc>
      </w:tr>
      <w:tr>
        <w:tc>
          <w:tcPr>
            <w:tcW w:type="dxa" w:w="4700"/>
            <w:shd w:fill="F2F2F2" w:color="auto" w:val="clear"/>
            <w:tcMar>
              <w:top w:type="dxa" w:w="80"/>
              <w:left w:type="dxa" w:w="100"/>
              <w:bottom w:type="dxa" w:w="80"/>
              <w:right w:type="dxa" w:w="100"/>
            </w:tcMar>
          </w:tcPr>
          <w:p>
            <w:r>
              <w:rPr>
                <w:b w:val="false"/>
                <w:bCs w:val="false"/>
                <w:color w:val="000000"/>
                <w:sz w:val="20"/>
                <w:szCs w:val="20"/>
              </w:rPr>
              <w:t xml:space="preserve">Overall cancellation rate</w:t>
            </w:r>
          </w:p>
        </w:tc>
        <w:tc>
          <w:tcPr>
            <w:tcW w:type="dxa" w:w="4800"/>
            <w:shd w:fill="F2F2F2" w:color="auto" w:val="clear"/>
            <w:tcMar>
              <w:top w:type="dxa" w:w="80"/>
              <w:left w:type="dxa" w:w="100"/>
              <w:bottom w:type="dxa" w:w="80"/>
              <w:right w:type="dxa" w:w="100"/>
            </w:tcMar>
          </w:tcPr>
          <w:p>
            <w:r>
              <w:rPr>
                <w:b w:val="false"/>
                <w:bCs w:val="false"/>
                <w:color w:val="000000"/>
                <w:sz w:val="20"/>
                <w:szCs w:val="20"/>
              </w:rPr>
              <w:t xml:space="preserve">1.59% (794 of 50,000 flights)</w:t>
            </w:r>
          </w:p>
        </w:tc>
      </w:tr>
      <w:tr>
        <w:tc>
          <w:tcPr>
            <w:tcW w:type="dxa" w:w="4700"/>
            <w:shd w:fill="FFFFFF" w:color="auto" w:val="clear"/>
            <w:tcMar>
              <w:top w:type="dxa" w:w="80"/>
              <w:left w:type="dxa" w:w="100"/>
              <w:bottom w:type="dxa" w:w="80"/>
              <w:right w:type="dxa" w:w="100"/>
            </w:tcMar>
          </w:tcPr>
          <w:p>
            <w:r>
              <w:rPr>
                <w:b w:val="false"/>
                <w:bCs w:val="false"/>
                <w:color w:val="000000"/>
                <w:sz w:val="20"/>
                <w:szCs w:val="20"/>
              </w:rPr>
              <w:t xml:space="preserve">Overall diversion rate</w:t>
            </w:r>
          </w:p>
        </w:tc>
        <w:tc>
          <w:tcPr>
            <w:tcW w:type="dxa" w:w="4800"/>
            <w:shd w:fill="FFFFFF" w:color="auto" w:val="clear"/>
            <w:tcMar>
              <w:top w:type="dxa" w:w="80"/>
              <w:left w:type="dxa" w:w="100"/>
              <w:bottom w:type="dxa" w:w="80"/>
              <w:right w:type="dxa" w:w="100"/>
            </w:tcMar>
          </w:tcPr>
          <w:p>
            <w:r>
              <w:rPr>
                <w:b w:val="false"/>
                <w:bCs w:val="false"/>
                <w:color w:val="000000"/>
                <w:sz w:val="20"/>
                <w:szCs w:val="20"/>
              </w:rPr>
              <w:t xml:space="preserve">0.24% (121 flights)</w:t>
            </w:r>
          </w:p>
        </w:tc>
      </w:tr>
      <w:tr>
        <w:tc>
          <w:tcPr>
            <w:tcW w:type="dxa" w:w="4700"/>
            <w:shd w:fill="F2F2F2" w:color="auto" w:val="clear"/>
            <w:tcMar>
              <w:top w:type="dxa" w:w="80"/>
              <w:left w:type="dxa" w:w="100"/>
              <w:bottom w:type="dxa" w:w="80"/>
              <w:right w:type="dxa" w:w="100"/>
            </w:tcMar>
          </w:tcPr>
          <w:p>
            <w:r>
              <w:rPr>
                <w:b w:val="false"/>
                <w:bCs w:val="false"/>
                <w:color w:val="000000"/>
                <w:sz w:val="20"/>
                <w:szCs w:val="20"/>
              </w:rPr>
              <w:t xml:space="preserve">Mean / median arrival delay</w:t>
            </w:r>
          </w:p>
        </w:tc>
        <w:tc>
          <w:tcPr>
            <w:tcW w:type="dxa" w:w="4800"/>
            <w:shd w:fill="F2F2F2" w:color="auto" w:val="clear"/>
            <w:tcMar>
              <w:top w:type="dxa" w:w="80"/>
              <w:left w:type="dxa" w:w="100"/>
              <w:bottom w:type="dxa" w:w="80"/>
              <w:right w:type="dxa" w:w="100"/>
            </w:tcMar>
          </w:tcPr>
          <w:p>
            <w:r>
              <w:rPr>
                <w:b w:val="false"/>
                <w:bCs w:val="false"/>
                <w:color w:val="000000"/>
                <w:sz w:val="20"/>
                <w:szCs w:val="20"/>
              </w:rPr>
              <w:t xml:space="preserve">4.00 min / -5.0 min (right-skewed)</w:t>
            </w:r>
          </w:p>
        </w:tc>
      </w:tr>
      <w:tr>
        <w:tc>
          <w:tcPr>
            <w:tcW w:type="dxa" w:w="4700"/>
            <w:shd w:fill="FFFFFF" w:color="auto" w:val="clear"/>
            <w:tcMar>
              <w:top w:type="dxa" w:w="80"/>
              <w:left w:type="dxa" w:w="100"/>
              <w:bottom w:type="dxa" w:w="80"/>
              <w:right w:type="dxa" w:w="100"/>
            </w:tcMar>
          </w:tcPr>
          <w:p>
            <w:r>
              <w:rPr>
                <w:b w:val="false"/>
                <w:bCs w:val="false"/>
                <w:color w:val="000000"/>
                <w:sz w:val="20"/>
                <w:szCs w:val="20"/>
              </w:rPr>
              <w:t xml:space="preserve">Mean / median departure delay</w:t>
            </w:r>
          </w:p>
        </w:tc>
        <w:tc>
          <w:tcPr>
            <w:tcW w:type="dxa" w:w="4800"/>
            <w:shd w:fill="FFFFFF" w:color="auto" w:val="clear"/>
            <w:tcMar>
              <w:top w:type="dxa" w:w="80"/>
              <w:left w:type="dxa" w:w="100"/>
              <w:bottom w:type="dxa" w:w="80"/>
              <w:right w:type="dxa" w:w="100"/>
            </w:tcMar>
          </w:tcPr>
          <w:p>
            <w:r>
              <w:rPr>
                <w:b w:val="false"/>
                <w:bCs w:val="false"/>
                <w:color w:val="000000"/>
                <w:sz w:val="20"/>
                <w:szCs w:val="20"/>
              </w:rPr>
              <w:t xml:space="preserve">9.09 min / -2.0 min (right-skewed)</w:t>
            </w:r>
          </w:p>
        </w:tc>
      </w:tr>
      <w:tr>
        <w:tc>
          <w:tcPr>
            <w:tcW w:type="dxa" w:w="4700"/>
            <w:shd w:fill="F2F2F2" w:color="auto" w:val="clear"/>
            <w:tcMar>
              <w:top w:type="dxa" w:w="80"/>
              <w:left w:type="dxa" w:w="100"/>
              <w:bottom w:type="dxa" w:w="80"/>
              <w:right w:type="dxa" w:w="100"/>
            </w:tcMar>
          </w:tcPr>
          <w:p>
            <w:r>
              <w:rPr>
                <w:b w:val="false"/>
                <w:bCs w:val="false"/>
                <w:color w:val="000000"/>
                <w:sz w:val="20"/>
                <w:szCs w:val="20"/>
              </w:rPr>
              <w:t xml:space="preserve">Departure-arrival delay correlation</w:t>
            </w:r>
          </w:p>
        </w:tc>
        <w:tc>
          <w:tcPr>
            <w:tcW w:type="dxa" w:w="4800"/>
            <w:shd w:fill="F2F2F2" w:color="auto" w:val="clear"/>
            <w:tcMar>
              <w:top w:type="dxa" w:w="80"/>
              <w:left w:type="dxa" w:w="100"/>
              <w:bottom w:type="dxa" w:w="80"/>
              <w:right w:type="dxa" w:w="100"/>
            </w:tcMar>
          </w:tcPr>
          <w:p>
            <w:r>
              <w:rPr>
                <w:b w:val="false"/>
                <w:bCs w:val="false"/>
                <w:color w:val="000000"/>
                <w:sz w:val="20"/>
                <w:szCs w:val="20"/>
              </w:rPr>
              <w:t xml:space="preserve">r = 0.941 (Pearson), ρ = 0.638 (Spearman)</w:t>
            </w:r>
          </w:p>
        </w:tc>
      </w:tr>
      <w:tr>
        <w:tc>
          <w:tcPr>
            <w:tcW w:type="dxa" w:w="4700"/>
            <w:shd w:fill="FFFFFF" w:color="auto" w:val="clear"/>
            <w:tcMar>
              <w:top w:type="dxa" w:w="80"/>
              <w:left w:type="dxa" w:w="100"/>
              <w:bottom w:type="dxa" w:w="80"/>
              <w:right w:type="dxa" w:w="100"/>
            </w:tcMar>
          </w:tcPr>
          <w:p>
            <w:r>
              <w:rPr>
                <w:b w:val="false"/>
                <w:bCs w:val="false"/>
                <w:color w:val="000000"/>
                <w:sz w:val="20"/>
                <w:szCs w:val="20"/>
              </w:rPr>
              <w:t xml:space="preserve">Distance-delay correlation</w:t>
            </w:r>
          </w:p>
        </w:tc>
        <w:tc>
          <w:tcPr>
            <w:tcW w:type="dxa" w:w="4800"/>
            <w:shd w:fill="FFFFFF" w:color="auto" w:val="clear"/>
            <w:tcMar>
              <w:top w:type="dxa" w:w="80"/>
              <w:left w:type="dxa" w:w="100"/>
              <w:bottom w:type="dxa" w:w="80"/>
              <w:right w:type="dxa" w:w="100"/>
            </w:tcMar>
          </w:tcPr>
          <w:p>
            <w:r>
              <w:rPr>
                <w:b w:val="false"/>
                <w:bCs w:val="false"/>
                <w:color w:val="000000"/>
                <w:sz w:val="20"/>
                <w:szCs w:val="20"/>
              </w:rPr>
              <w:t xml:space="preserve">ρ = -0.07 (negligible)</w:t>
            </w:r>
          </w:p>
        </w:tc>
      </w:tr>
      <w:tr>
        <w:tc>
          <w:tcPr>
            <w:tcW w:type="dxa" w:w="4700"/>
            <w:shd w:fill="F2F2F2" w:color="auto" w:val="clear"/>
            <w:tcMar>
              <w:top w:type="dxa" w:w="80"/>
              <w:left w:type="dxa" w:w="100"/>
              <w:bottom w:type="dxa" w:w="80"/>
              <w:right w:type="dxa" w:w="100"/>
            </w:tcMar>
          </w:tcPr>
          <w:p>
            <w:r>
              <w:rPr>
                <w:b w:val="false"/>
                <w:bCs w:val="false"/>
                <w:color w:val="000000"/>
                <w:sz w:val="20"/>
                <w:szCs w:val="20"/>
              </w:rPr>
              <w:t xml:space="preserve">Late departures (&gt;15min) recovering to on-time</w:t>
            </w:r>
          </w:p>
        </w:tc>
        <w:tc>
          <w:tcPr>
            <w:tcW w:type="dxa" w:w="4800"/>
            <w:shd w:fill="F2F2F2" w:color="auto" w:val="clear"/>
            <w:tcMar>
              <w:top w:type="dxa" w:w="80"/>
              <w:left w:type="dxa" w:w="100"/>
              <w:bottom w:type="dxa" w:w="80"/>
              <w:right w:type="dxa" w:w="100"/>
            </w:tcMar>
          </w:tcPr>
          <w:p>
            <w:r>
              <w:rPr>
                <w:b w:val="false"/>
                <w:bCs w:val="false"/>
                <w:color w:val="000000"/>
                <w:sz w:val="20"/>
                <w:szCs w:val="20"/>
              </w:rPr>
              <w:t xml:space="preserve">20.7%</w:t>
            </w:r>
          </w:p>
        </w:tc>
      </w:tr>
      <w:tr>
        <w:tc>
          <w:tcPr>
            <w:tcW w:type="dxa" w:w="4700"/>
            <w:shd w:fill="FFFFFF" w:color="auto" w:val="clear"/>
            <w:tcMar>
              <w:top w:type="dxa" w:w="80"/>
              <w:left w:type="dxa" w:w="100"/>
              <w:bottom w:type="dxa" w:w="80"/>
              <w:right w:type="dxa" w:w="100"/>
            </w:tcMar>
          </w:tcPr>
          <w:p>
            <w:r>
              <w:rPr>
                <w:b w:val="false"/>
                <w:bCs w:val="false"/>
                <w:color w:val="000000"/>
                <w:sz w:val="20"/>
                <w:szCs w:val="20"/>
              </w:rPr>
              <w:t xml:space="preserve">Top delay cause (share of cause minutes)</w:t>
            </w:r>
          </w:p>
        </w:tc>
        <w:tc>
          <w:tcPr>
            <w:tcW w:type="dxa" w:w="4800"/>
            <w:shd w:fill="FFFFFF" w:color="auto" w:val="clear"/>
            <w:tcMar>
              <w:top w:type="dxa" w:w="80"/>
              <w:left w:type="dxa" w:w="100"/>
              <w:bottom w:type="dxa" w:w="80"/>
              <w:right w:type="dxa" w:w="100"/>
            </w:tcMar>
          </w:tcPr>
          <w:p>
            <w:r>
              <w:rPr>
                <w:b w:val="false"/>
                <w:bCs w:val="false"/>
                <w:color w:val="000000"/>
                <w:sz w:val="20"/>
                <w:szCs w:val="20"/>
              </w:rPr>
              <w:t xml:space="preserve">Late Aircraft Delay (~39%)</w:t>
            </w:r>
          </w:p>
        </w:tc>
      </w:tr>
      <w:tr>
        <w:tc>
          <w:tcPr>
            <w:tcW w:type="dxa" w:w="4700"/>
            <w:shd w:fill="F2F2F2" w:color="auto" w:val="clear"/>
            <w:tcMar>
              <w:top w:type="dxa" w:w="80"/>
              <w:left w:type="dxa" w:w="100"/>
              <w:bottom w:type="dxa" w:w="80"/>
              <w:right w:type="dxa" w:w="100"/>
            </w:tcMar>
          </w:tcPr>
          <w:p>
            <w:r>
              <w:rPr>
                <w:b w:val="false"/>
                <w:bCs w:val="false"/>
                <w:color w:val="000000"/>
                <w:sz w:val="20"/>
                <w:szCs w:val="20"/>
              </w:rPr>
              <w:t xml:space="preserve">Top cancellation cause (share of cancellations)</w:t>
            </w:r>
          </w:p>
        </w:tc>
        <w:tc>
          <w:tcPr>
            <w:tcW w:type="dxa" w:w="4800"/>
            <w:shd w:fill="F2F2F2" w:color="auto" w:val="clear"/>
            <w:tcMar>
              <w:top w:type="dxa" w:w="80"/>
              <w:left w:type="dxa" w:w="100"/>
              <w:bottom w:type="dxa" w:w="80"/>
              <w:right w:type="dxa" w:w="100"/>
            </w:tcMar>
          </w:tcPr>
          <w:p>
            <w:r>
              <w:rPr>
                <w:b w:val="false"/>
                <w:bCs w:val="false"/>
                <w:color w:val="000000"/>
                <w:sz w:val="20"/>
                <w:szCs w:val="20"/>
              </w:rPr>
              <w:t xml:space="preserve">Weather (54.4%)</w:t>
            </w:r>
          </w:p>
        </w:tc>
      </w:tr>
    </w:tbl>
    <w:p>
      <w:pPr>
        <w:pStyle w:val="Heading1"/>
        <w:spacing w:after="200" w:before="400"/>
      </w:pPr>
      <w:r>
        <w:t xml:space="preserve">Top 5 Findings</w:t>
      </w:r>
    </w:p>
    <w:p>
      <w:pPr>
        <w:pStyle w:val="Heading2"/>
        <w:spacing w:after="150" w:before="300"/>
      </w:pPr>
      <w:r>
        <w:t xml:space="preserve">1. Delays are not recovered in flight</w:t>
      </w:r>
    </w:p>
    <w:p>
      <w:pPr>
        <w:spacing w:after="160"/>
      </w:pPr>
      <w:r>
        <w:t xml:space="preserve">A late departure predicts a late arrival almost one-for-one (slope 1.01), with only a small, roughly fixed ~5-minute recovery. 80% of significantly late departures stay significantly late on arrival.</w:t>
      </w:r>
    </w:p>
    <w:p>
      <w:pPr>
        <w:pStyle w:val="Heading2"/>
        <w:spacing w:after="150" w:before="300"/>
      </w:pPr>
      <w:r>
        <w:t xml:space="preserve">2. Late aircraft delay drives the network</w:t>
      </w:r>
    </w:p>
    <w:p>
      <w:pPr>
        <w:spacing w:after="160"/>
      </w:pPr>
      <w:r>
        <w:t xml:space="preserve">Late Aircraft Delay is the largest single delay cause in 11 of 12 months and has the strongest correlation with arrival delay (r = 0.62, tied with airline-caused delay). Delay compounds through the day — evening flights are delayed 15+ minutes at 2–4x the rate of overnight flights, on every day of the week.</w:t>
      </w:r>
    </w:p>
    <w:p>
      <w:pPr>
        <w:pStyle w:val="Heading2"/>
        <w:spacing w:after="150" w:before="300"/>
      </w:pPr>
      <w:r>
        <w:t xml:space="preserve">3. Weather cancels flights; it does not delay them</w:t>
      </w:r>
    </w:p>
    <w:p>
      <w:pPr>
        <w:spacing w:after="160"/>
      </w:pPr>
      <w:r>
        <w:t xml:space="preserve">Weather causes 54.4% of cancellations but only ~5% of total delay-cause minutes. Short-haul flights (under 500 miles) cancel at roughly double the rate of long-haul flights, while flight distance has no meaningful relationship with delay length.</w:t>
      </w:r>
    </w:p>
    <w:p>
      <w:pPr>
        <w:pStyle w:val="Heading2"/>
        <w:spacing w:after="150" w:before="300"/>
      </w:pPr>
      <w:r>
        <w:t xml:space="preserve">4. ORD, MQ and EV share one root cause</w:t>
      </w:r>
    </w:p>
    <w:p>
      <w:pPr>
        <w:spacing w:after="160"/>
      </w:pPr>
      <w:r>
        <w:t xml:space="preserve">ORD accounts for more air-system cancellations than the other nine major airports combined. MQ and EV, both major ORD carriers, are the two airlines with the highest cancellation rates and are disproportionately affected by the same air-system cause — pointing to one connected, addressable problem rather than three separate ones.</w:t>
      </w:r>
    </w:p>
    <w:p>
      <w:pPr>
        <w:pStyle w:val="Heading2"/>
        <w:spacing w:after="150" w:before="300"/>
      </w:pPr>
      <w:r>
        <w:t xml:space="preserve">5. Evening flights are the highest-risk segment, every day of the week</w:t>
      </w:r>
    </w:p>
    <w:p>
      <w:pPr>
        <w:spacing w:after="160"/>
      </w:pPr>
      <w:r>
        <w:t xml:space="preserve">Severe-delay rate (15+ min) rises from single digits overnight to 22–28% by evening, on every day. This time-of-day effect is 3–4x larger than any day-of-week effect. Saturday is consistently the best-performing day; Monday has the highest cancellation rate and Thursday/Friday the highest delay rates.</w:t>
      </w:r>
    </w:p>
    <w:p>
      <w:pPr>
        <w:pStyle w:val="Heading1"/>
        <w:spacing w:after="200" w:before="400"/>
      </w:pPr>
      <w:r>
        <w:t xml:space="preserve">Recommended Priorities</w:t>
      </w:r>
    </w:p>
    <w:p>
      <w:pPr>
        <w:pStyle w:val="ListParagraph"/>
        <w:numPr>
          <w:ilvl w:val="0"/>
          <w:numId w:val="2"/>
        </w:numPr>
        <w:spacing w:after="80"/>
      </w:pPr>
      <w:r>
        <w:t xml:space="preserve">Ground operations and turnaround-time efficiency (addresses Findings 1 &amp; 2, the two largest levers).</w:t>
      </w:r>
    </w:p>
    <w:p>
      <w:pPr>
        <w:pStyle w:val="ListParagraph"/>
        <w:numPr>
          <w:ilvl w:val="0"/>
          <w:numId w:val="2"/>
        </w:numPr>
        <w:spacing w:after="80"/>
      </w:pPr>
      <w:r>
        <w:t xml:space="preserve">Targeted ORD air-traffic-slot review for MQ and EV (addresses Finding 4, a specific and well-evidenced problem).</w:t>
      </w:r>
    </w:p>
    <w:p>
      <w:pPr>
        <w:pStyle w:val="ListParagraph"/>
        <w:numPr>
          <w:ilvl w:val="0"/>
          <w:numId w:val="2"/>
        </w:numPr>
        <w:spacing w:after="80"/>
      </w:pPr>
      <w:r>
        <w:t xml:space="preserve">Evening-flight schedule buffer capacity (addresses Finding 5, the most consistent daily pattern).</w:t>
      </w:r>
    </w:p>
    <w:p>
      <w:pPr>
        <w:pStyle w:val="ListParagraph"/>
        <w:numPr>
          <w:ilvl w:val="0"/>
          <w:numId w:val="2"/>
        </w:numPr>
        <w:spacing w:after="80"/>
      </w:pPr>
      <w:r>
        <w:t xml:space="preserve">Short-haul weather-contingency planning, distinct from delay-reduction efforts (addresses Finding 3).</w:t>
      </w:r>
    </w:p>
    <w:p>
      <w:pPr>
        <w:pStyle w:val="ListParagraph"/>
        <w:numPr>
          <w:ilvl w:val="0"/>
          <w:numId w:val="2"/>
        </w:numPr>
        <w:spacing w:after="80"/>
      </w:pPr>
      <w:r>
        <w:t xml:space="preserve">NK-specific delay review, as the one airline with a persistent (not just tail-risk) delay problem.</w:t>
      </w:r>
    </w:p>
    <w:p>
      <w:pPr>
        <w:pStyle w:val="Heading1"/>
        <w:spacing w:after="200" w:before="400"/>
      </w:pPr>
      <w:r>
        <w:t xml:space="preserve">Limitations</w:t>
      </w:r>
    </w:p>
    <w:p>
      <w:pPr>
        <w:pStyle w:val="ListParagraph"/>
        <w:numPr>
          <w:ilvl w:val="0"/>
          <w:numId w:val="2"/>
        </w:numPr>
        <w:spacing w:after="80"/>
      </w:pPr>
      <w:r>
        <w:t xml:space="preserve">~8.5% of airport codes could not be mapped from numeric DOT IDs to IATA codes; airport findings exclude these rows.</w:t>
      </w:r>
    </w:p>
    <w:p>
      <w:pPr>
        <w:pStyle w:val="ListParagraph"/>
        <w:numPr>
          <w:ilvl w:val="0"/>
          <w:numId w:val="2"/>
        </w:numPr>
        <w:spacing w:after="80"/>
      </w:pPr>
      <w:r>
        <w:t xml:space="preserve">Delay-cause data only exists for flights delayed 15+ minutes.</w:t>
      </w:r>
    </w:p>
    <w:p>
      <w:pPr>
        <w:pStyle w:val="ListParagraph"/>
        <w:numPr>
          <w:ilvl w:val="0"/>
          <w:numId w:val="2"/>
        </w:numPr>
        <w:spacing w:after="80"/>
      </w:pPr>
      <w:r>
        <w:t xml:space="preserve">US Airways has no data after June 2015 (merger into American Airlines).</w:t>
      </w:r>
    </w:p>
    <w:p>
      <w:pPr>
        <w:pStyle w:val="ListParagraph"/>
        <w:numPr>
          <w:ilvl w:val="0"/>
          <w:numId w:val="2"/>
        </w:numPr>
        <w:spacing w:after="80"/>
      </w:pPr>
      <w:r>
        <w:t xml:space="preserve">Findings are descriptive and correlational; formal statistical significance testing is deferred to Sprint 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2026-09-29T10:08:31.653Z</dcterms:created>
  <dcterms:modified xsi:type="dcterms:W3CDTF">2026-09-29T10:08:31.653Z</dcterms:modified>
</cp:coreProperties>
</file>

<file path=docProps/custom.xml><?xml version="1.0" encoding="utf-8"?>
<Properties xmlns="http://schemas.openxmlformats.org/officeDocument/2006/custom-properties" xmlns:vt="http://schemas.openxmlformats.org/officeDocument/2006/docPropsVTypes"/>
</file>