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CAPSTONE 33 — Three Weekly Plan Candidates</w:t>
      </w:r>
    </w:p>
    <w:p>
      <w:r>
        <w:t>Prepared as candidate plans for evaluation. These are NOT represented as actual outputs from ChatGPT, Gemini, or Claude. To complete the required tool comparison, run the same prompt in each named tool and record its genuine output in the workbook.</w:t>
      </w:r>
    </w:p>
    <w:p>
      <w:pPr>
        <w:pStyle w:val="Heading1"/>
      </w:pPr>
      <w:r>
        <w:t>Shared constraints and assumptions</w:t>
      </w:r>
    </w:p>
    <w:p>
      <w:pPr>
        <w:pStyle w:val="ListBullet"/>
      </w:pPr>
      <w:r>
        <w:t>Planning window: Monday 26 October to Sunday 1 November 2026.</w:t>
      </w:r>
    </w:p>
    <w:p>
      <w:pPr>
        <w:pStyle w:val="ListBullet"/>
      </w:pPr>
      <w:r>
        <w:t>Weekday focus blocks begin at 6:00 PM after a reset/snack period; dinner/family time is protected.</w:t>
      </w:r>
    </w:p>
    <w:p>
      <w:pPr>
        <w:pStyle w:val="ListBullet"/>
      </w:pPr>
      <w:r>
        <w:t>The plan is provisional: confirm real assignment deadlines, commute and fixed commitments before use.</w:t>
      </w:r>
    </w:p>
    <w:p>
      <w:pPr>
        <w:pStyle w:val="ListBullet"/>
      </w:pPr>
      <w:r>
        <w:t>If work does not fit, defer lower-priority tasks instead of removing sleep, meals or essential commitments.</w:t>
      </w:r>
    </w:p>
    <w:p>
      <w:pPr>
        <w:pStyle w:val="Heading1"/>
      </w:pPr>
      <w:r>
        <w:t>Plan A — Balanced time-blocking (recommended starting candidate)</w:t>
      </w:r>
    </w:p>
    <w:p>
      <w:r>
        <w:t>Weekdays: 6:00–6:20 reset; 6:20–7:20 focus task; 7:20–7:35 break; 7:35–8:20 second task; 8:20–9:00 dinner/family; 9:00–9:30 light review/admin. Saturday: 10:00–11:30 deep project work, 11:30–11:45 break, 11:45–12:45 practice, 5:00–5:30 Japanese revision. Sunday: 10:00–11:00 catch-up buffer, 11:15–12:00 concept review, 5:00–6:05 backup and weekly review.</w:t>
      </w:r>
    </w:p>
    <w:p>
      <w:r>
        <w:t>Trade-off: balanced mix of academic, project and skill tasks; requires discipline to stop blocks on time.</w:t>
      </w:r>
    </w:p>
    <w:p>
      <w:pPr>
        <w:pStyle w:val="Heading1"/>
      </w:pPr>
      <w:r>
        <w:t>Plan B — Deadline-first</w:t>
      </w:r>
    </w:p>
    <w:p>
      <w:r>
        <w:t>Use the first weekday focus block for the nearest verified deadline or a task blocking a teammate. Use the second block for the next-highest deadline. Keep dinner and breaks fixed. Move skill-building tasks such as Japanese revision, optional GitHub polishing and non-urgent concept review to Saturday/Sunday buffer if urgent deliverables genuinely conflict.</w:t>
      </w:r>
    </w:p>
    <w:p>
      <w:r>
        <w:t>Trade-off: protects due dates but may reduce long-term learning time. Only activate after checking actual deadlines.</w:t>
      </w:r>
    </w:p>
    <w:p>
      <w:pPr>
        <w:pStyle w:val="Heading1"/>
      </w:pPr>
      <w:r>
        <w:t>Plan C — Low-energy / minimum viable plan</w:t>
      </w:r>
    </w:p>
    <w:p>
      <w:r>
        <w:t>On each weekday, complete one 45–60 minute priority task, take a 10–15 minute break, then do one 15–30 minute admin/review task. Keep dinner/family time. Saturday: one 60–90 minute project block plus one short practice block. Sunday: one catch-up block and a 20–30 minute weekly review. Move unfinished work to a named buffer slot rather than stacking it late at night.</w:t>
      </w:r>
    </w:p>
    <w:p>
      <w:r>
        <w:t>Trade-off: more resilient when tired, but fewer total tasks may be completed.</w:t>
      </w:r>
    </w:p>
    <w:p>
      <w:pPr>
        <w:pStyle w:val="Heading1"/>
      </w:pPr>
      <w:r>
        <w:t>How to evaluate</w:t>
      </w:r>
    </w:p>
    <w:p>
      <w:r>
        <w:t>Use the 3-Tool Comparison worksheet to score actual ChatGPT, Gemini and Claude outputs on feasibility (25%), deadline coverage (20%), priority quality (20%), clarity (15%), breaks/buffer (10%) and user fit (10%). These candidate plans are alternatives for human review, not substitutes for that external-tool evidence.</w:t>
      </w:r>
    </w:p>
    <w:sectPr w:rsidR="00FC693F" w:rsidRPr="0006063C" w:rsidSect="00034616">
      <w:pgSz w:w="12240" w:h="15840"/>
      <w:pgMar w:top="936" w:right="1800" w:bottom="936"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