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AAAAAA"/>
          <w:sz w:val="20"/>
          <w:szCs w:val="20"/>
        </w:rPr>
        <w:t xml:space="preserve">TECHNICAL REPORT</w:t>
      </w:r>
    </w:p>
    <w:p>
      <w:pPr>
        <w:spacing w:before="0" w:after="40"/>
        <w:jc w:val="center"/>
      </w:pPr>
      <w:r>
        <w:rPr>
          <w:rFonts w:ascii="Arial" w:cs="Arial" w:eastAsia="Arial" w:hAnsi="Arial"/>
          <w:b/>
          <w:bCs/>
          <w:color w:val="1C3557"/>
          <w:sz w:val="36"/>
          <w:szCs w:val="36"/>
        </w:rPr>
        <w:t xml:space="preserve">MICA: Memory Invocation &amp; Context Archive</w:t>
      </w:r>
    </w:p>
    <w:p>
      <w:pPr>
        <w:spacing w:before="0" w:after="40"/>
        <w:jc w:val="center"/>
      </w:pPr>
      <w:r>
        <w:rPr>
          <w:rFonts w:ascii="Georgia" w:cs="Georgia" w:eastAsia="Georgia" w:hAnsi="Georgia"/>
          <w:i/>
          <w:iCs/>
          <w:color w:val="555555"/>
          <w:sz w:val="24"/>
          <w:szCs w:val="24"/>
        </w:rPr>
        <w:t xml:space="preserve">Schema Design, Semantic Collapse Experiment, and Deployment Readiness Assessment</w:t>
      </w:r>
    </w:p>
    <w:p>
      <w:pPr>
        <w:pBdr>
          <w:bottom w:val="single" w:color="1C3557" w:sz="6"/>
        </w:pBdr>
        <w:spacing w:before="160" w:after="160"/>
      </w:pPr>
    </w:p>
    <w:p>
      <w:pPr>
        <w:spacing w:before="80" w:after="40"/>
        <w:jc w:val="center"/>
      </w:pPr>
      <w:r>
        <w:rPr>
          <w:rFonts w:ascii="Arial" w:cs="Arial" w:eastAsia="Arial" w:hAnsi="Arial"/>
          <w:color w:val="555555"/>
          <w:sz w:val="20"/>
          <w:szCs w:val="20"/>
        </w:rPr>
        <w:t xml:space="preserve">Version 0.1.4  |  Week 1 Report  |  2026-03-09</w:t>
      </w:r>
    </w:p>
    <w:p>
      <w:pPr>
        <w:spacing w:before="0" w:after="80"/>
        <w:jc w:val="center"/>
      </w:pPr>
      <w:r>
        <w:rPr>
          <w:rFonts w:ascii="Arial" w:cs="Arial" w:eastAsia="Arial" w:hAnsi="Arial"/>
          <w:color w:val="AAAAAA"/>
          <w:sz w:val="18"/>
          <w:szCs w:val="18"/>
        </w:rPr>
        <w:t xml:space="preserve">Flamehaven-Labs  |  CONFIDENTIAL — Internal Distribution Only</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8" w:val="clear"/>
            <w:tcMar>
              <w:top w:type="dxa" w:w="200"/>
              <w:left w:type="dxa" w:w="360"/>
              <w:bottom w:type="dxa" w:w="200"/>
              <w:right w:type="dxa" w:w="360"/>
            </w:tcMar>
          </w:tcPr>
          <w:p>
            <w:pPr>
              <w:spacing w:before="0" w:after="80"/>
            </w:pPr>
            <w:r>
              <w:rPr>
                <w:rFonts w:ascii="Arial" w:cs="Arial" w:eastAsia="Arial" w:hAnsi="Arial"/>
                <w:b/>
                <w:bCs/>
                <w:color w:val="1C3557"/>
                <w:sz w:val="22"/>
                <w:szCs w:val="22"/>
              </w:rPr>
              <w:t xml:space="preserve">Abstract</w:t>
            </w:r>
          </w:p>
          <w:p>
            <w:pPr>
              <w:spacing w:before="0" w:after="0" w:line="280"/>
              <w:jc w:val="both"/>
            </w:pPr>
            <w:r>
              <w:rPr>
                <w:rFonts w:ascii="Georgia" w:cs="Georgia" w:eastAsia="Georgia" w:hAnsi="Georgia"/>
                <w:color w:val="2D2D2D"/>
                <w:sz w:val="21"/>
                <w:szCs w:val="21"/>
              </w:rPr>
              <w:t xml:space="preserve">This report presents the design rationale, schema architecture, and empirical validation results for MICA v0.1.4 (Memory Invocation &amp; Context Archive), a governance schema for structured AI context management. The central contribution is the demonstration of a novel runtime pattern — termed semantic collapse — in which a JSON Schema specification is applied to a large language model (LLM) as a semantic contract rather than as executable code, and the model produces a fully contract-compliant structured artifact with zero field violations. The report documents the experiment methodology, the resulting compiled_view artifact, objective comparative assessment against prior art, and a concrete mapping of the design to deployment use cases. All claims are bounded by observable evidence from the experiment session; no forward-looking performance projections are included.</w:t>
            </w:r>
          </w:p>
        </w:tc>
      </w:tr>
    </w:tbl>
    <w:p>
      <w:pPr>
        <w:spacing w:before="200" w:after="0"/>
      </w:pPr>
    </w:p>
    <w:p>
      <w:pPr>
        <w:pBdr>
          <w:bottom w:val="single" w:color="1C3557" w:sz="4" w:space="2"/>
        </w:pBdr>
        <w:spacing w:before="320" w:after="120"/>
      </w:pPr>
      <w:r>
        <w:rPr>
          <w:rFonts w:ascii="Arial" w:cs="Arial" w:eastAsia="Arial" w:hAnsi="Arial"/>
          <w:b/>
          <w:bCs/>
          <w:color w:val="1C3557"/>
          <w:sz w:val="26"/>
          <w:szCs w:val="26"/>
        </w:rPr>
        <w:t xml:space="preserve">1.  Introduction</w:t>
      </w:r>
    </w:p>
    <w:p>
      <w:pPr>
        <w:spacing w:before="60" w:after="100" w:line="276" w:lineRule="auto"/>
        <w:jc w:val="both"/>
      </w:pPr>
      <w:r>
        <w:rPr>
          <w:rFonts w:ascii="Georgia" w:cs="Georgia" w:eastAsia="Georgia" w:hAnsi="Georgia"/>
          <w:color w:val="2D2D2D"/>
          <w:sz w:val="22"/>
          <w:szCs w:val="22"/>
        </w:rPr>
        <w:t xml:space="preserve">The management of conversational context in large language model (LLM) systems is an unsolved engineering problem. Production deployments routinely lose critical information through context-window overflow, fail to distinguish between facts of different epistemic reliability, and produce no auditable record of what information was present when a decision was made. Existing memory libraries — including LangChain memory modules, LlamaIndex retrievers, and MemGPT — address the </w:t>
      </w:r>
      <w:r>
        <w:rPr>
          <w:rFonts w:ascii="Georgia" w:cs="Georgia" w:eastAsia="Georgia" w:hAnsi="Georgia"/>
          <w:i/>
          <w:iCs/>
          <w:color w:val="555555"/>
          <w:sz w:val="22"/>
          <w:szCs w:val="22"/>
        </w:rPr>
        <w:t xml:space="preserve">what to remember</w:t>
      </w:r>
      <w:r>
        <w:rPr>
          <w:rFonts w:ascii="Georgia" w:cs="Georgia" w:eastAsia="Georgia" w:hAnsi="Georgia"/>
          <w:color w:val="2D2D2D"/>
          <w:sz w:val="22"/>
          <w:szCs w:val="22"/>
        </w:rPr>
        <w:t xml:space="preserve"> problem but do not address the </w:t>
      </w:r>
      <w:r>
        <w:rPr>
          <w:rFonts w:ascii="Georgia" w:cs="Georgia" w:eastAsia="Georgia" w:hAnsi="Georgia"/>
          <w:i/>
          <w:iCs/>
          <w:color w:val="555555"/>
          <w:sz w:val="22"/>
          <w:szCs w:val="22"/>
        </w:rPr>
        <w:t xml:space="preserve">how to govern, score, audit, and sign</w:t>
      </w:r>
      <w:r>
        <w:rPr>
          <w:rFonts w:ascii="Georgia" w:cs="Georgia" w:eastAsia="Georgia" w:hAnsi="Georgia"/>
          <w:color w:val="2D2D2D"/>
          <w:sz w:val="22"/>
          <w:szCs w:val="22"/>
        </w:rPr>
        <w:t xml:space="preserve"> problem.</w:t>
      </w:r>
    </w:p>
    <w:p>
      <w:pPr>
        <w:spacing w:before="60" w:after="100" w:line="276" w:lineRule="auto"/>
        <w:jc w:val="both"/>
      </w:pPr>
      <w:r>
        <w:rPr>
          <w:rFonts w:ascii="Georgia" w:cs="Georgia" w:eastAsia="Georgia" w:hAnsi="Georgia"/>
          <w:color w:val="2D2D2D"/>
          <w:sz w:val="22"/>
          <w:szCs w:val="22"/>
        </w:rPr>
        <w:t xml:space="preserve">MICA is a specification-level governance schema. It defines, in machine-verifiable JSON Schema (draft 2020-12), the complete policy surface for context management: provenance, tier classification, trust levels, invoke-role semantics, multi-dimensional scoring, deduplication, token budget management with five-phase eviction, signed artifact handles, hash-chain ledgers, schema migration, and service level objective hints. The schema itself does not contain implementation code; the design intent is that a conforming implementation may be written in any language against the schema contract.</w:t>
      </w:r>
    </w:p>
    <w:p>
      <w:pPr>
        <w:spacing w:before="60" w:after="100" w:line="276" w:lineRule="auto"/>
        <w:jc w:val="both"/>
      </w:pPr>
      <w:r>
        <w:rPr>
          <w:rFonts w:ascii="Georgia" w:cs="Georgia" w:eastAsia="Georgia" w:hAnsi="Georgia"/>
          <w:color w:val="2D2D2D"/>
          <w:sz w:val="22"/>
          <w:szCs w:val="22"/>
        </w:rPr>
        <w:t xml:space="preserve">This report documents the results of Week 1 activities: schema design review, a semantic collapse experiment in which the schema was applied to an LLM runtime, and the resulting compiled_view artifact. Section 2 describes the schema architecture. Section 3 describes the experiment. Section 4 analyzes the artifact. Section 5 provides comparative evaluation. Section 6 maps applications. Section 7 states limitations. The compiled artifact appears in Appendix A.</w:t>
      </w:r>
    </w:p>
    <w:p>
      <w:pPr>
        <w:pBdr>
          <w:bottom w:val="single" w:color="1C3557" w:sz="4" w:space="2"/>
        </w:pBdr>
        <w:spacing w:before="320" w:after="120"/>
      </w:pPr>
      <w:r>
        <w:rPr>
          <w:rFonts w:ascii="Arial" w:cs="Arial" w:eastAsia="Arial" w:hAnsi="Arial"/>
          <w:b/>
          <w:bCs/>
          <w:color w:val="1C3557"/>
          <w:sz w:val="26"/>
          <w:szCs w:val="26"/>
        </w:rPr>
        <w:t xml:space="preserve">2.  Schema Architecture (MICA v0.1.4)</w:t>
      </w:r>
    </w:p>
    <w:p>
      <w:pPr>
        <w:spacing w:before="220" w:after="80"/>
      </w:pPr>
      <w:r>
        <w:rPr>
          <w:rFonts w:ascii="Arial" w:cs="Arial" w:eastAsia="Arial" w:hAnsi="Arial"/>
          <w:b/>
          <w:bCs/>
          <w:color w:val="2D2D2D"/>
          <w:sz w:val="23"/>
          <w:szCs w:val="23"/>
        </w:rPr>
        <w:t xml:space="preserve">2.1  Design Invariants</w:t>
      </w:r>
    </w:p>
    <w:p>
      <w:pPr>
        <w:spacing w:before="60" w:after="100" w:line="276" w:lineRule="auto"/>
        <w:jc w:val="both"/>
      </w:pPr>
      <w:r>
        <w:rPr>
          <w:rFonts w:ascii="Georgia" w:cs="Georgia" w:eastAsia="Georgia" w:hAnsi="Georgia"/>
          <w:color w:val="2D2D2D"/>
          <w:sz w:val="22"/>
          <w:szCs w:val="22"/>
        </w:rPr>
        <w:t xml:space="preserve">The schema enforces three non-negotiable invariants across all conforming implementations:</w:t>
      </w:r>
    </w:p>
    <w:p>
      <w:pPr>
        <w:pStyle w:val="ListParagraph"/>
        <w:numPr>
          <w:ilvl w:val="0"/>
          <w:numId w:val="2"/>
        </w:numPr>
        <w:spacing w:before="40" w:after="60"/>
        <w:ind w:left="720" w:hanging="360"/>
      </w:pPr>
      <w:r>
        <w:rPr>
          <w:rFonts w:ascii="Georgia" w:cs="Georgia" w:eastAsia="Georgia" w:hAnsi="Georgia"/>
          <w:color w:val="2D2D2D"/>
          <w:sz w:val="22"/>
          <w:szCs w:val="22"/>
        </w:rPr>
        <w:t xml:space="preserve">Provenance is mandatory for every context item. No item without a traceable source URI and content hash may enter the working context.</w:t>
      </w:r>
    </w:p>
    <w:p>
      <w:pPr>
        <w:pStyle w:val="ListParagraph"/>
        <w:numPr>
          <w:ilvl w:val="0"/>
          <w:numId w:val="2"/>
        </w:numPr>
        <w:spacing w:before="40" w:after="60"/>
        <w:ind w:left="720" w:hanging="360"/>
      </w:pPr>
      <w:r>
        <w:rPr>
          <w:rFonts w:ascii="Georgia" w:cs="Georgia" w:eastAsia="Georgia" w:hAnsi="Georgia"/>
          <w:color w:val="2D2D2D"/>
          <w:sz w:val="22"/>
          <w:szCs w:val="22"/>
        </w:rPr>
        <w:t xml:space="preserve">Anchor items are never evictable. Items assigned invoke_role: anchor are protected across all five eviction phases.</w:t>
      </w:r>
    </w:p>
    <w:p>
      <w:pPr>
        <w:pStyle w:val="ListParagraph"/>
        <w:numPr>
          <w:ilvl w:val="0"/>
          <w:numId w:val="2"/>
        </w:numPr>
        <w:spacing w:before="40" w:after="60"/>
        <w:ind w:left="720" w:hanging="360"/>
      </w:pPr>
      <w:r>
        <w:rPr>
          <w:rFonts w:ascii="Georgia" w:cs="Georgia" w:eastAsia="Georgia" w:hAnsi="Georgia"/>
          <w:color w:val="2D2D2D"/>
          <w:sz w:val="22"/>
          <w:szCs w:val="22"/>
        </w:rPr>
        <w:t xml:space="preserve">The ledger is append-only. context_hash_formula and hash_chain are defined as const: true fields, prohibiting override.</w:t>
      </w:r>
    </w:p>
    <w:p>
      <w:pPr>
        <w:spacing w:before="80" w:after="80"/>
      </w:pPr>
    </w:p>
    <w:p>
      <w:pPr>
        <w:spacing w:before="220" w:after="80"/>
      </w:pPr>
      <w:r>
        <w:rPr>
          <w:rFonts w:ascii="Arial" w:cs="Arial" w:eastAsia="Arial" w:hAnsi="Arial"/>
          <w:b/>
          <w:bCs/>
          <w:color w:val="2D2D2D"/>
          <w:sz w:val="23"/>
          <w:szCs w:val="23"/>
        </w:rPr>
        <w:t xml:space="preserve">2.2  Structural Overview</w:t>
      </w:r>
    </w:p>
    <w:p>
      <w:pPr>
        <w:spacing w:before="60" w:after="100" w:line="276" w:lineRule="auto"/>
        <w:jc w:val="both"/>
      </w:pPr>
      <w:r>
        <w:rPr>
          <w:rFonts w:ascii="Georgia" w:cs="Georgia" w:eastAsia="Georgia" w:hAnsi="Georgia"/>
          <w:color w:val="2D2D2D"/>
          <w:sz w:val="22"/>
          <w:szCs w:val="22"/>
        </w:rPr>
        <w:t xml:space="preserve">The schema is organized into twenty top-level required sections. The core runtime path processes the following pipeline: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A" w:val="clear"/>
            <w:tcMar>
              <w:top w:type="dxa" w:w="120"/>
              <w:left w:type="dxa" w:w="240"/>
              <w:bottom w:type="dxa" w:w="120"/>
              <w:right w:type="dxa" w:w="240"/>
            </w:tcMar>
          </w:tcPr>
          <w:p>
            <w:pPr>
              <w:spacing w:before="0" w:after="0"/>
              <w:ind w:left="360"/>
            </w:pPr>
            <w:r>
              <w:rPr>
                <w:rFonts w:ascii="Courier New" w:cs="Courier New" w:eastAsia="Courier New" w:hAnsi="Courier New"/>
                <w:color w:val="1A3A5C"/>
                <w:sz w:val="19"/>
                <w:szCs w:val="19"/>
              </w:rPr>
              <w:t xml:space="preserve">collector_pipeline.steps</w:t>
            </w:r>
          </w:p>
          <w:p>
            <w:pPr>
              <w:spacing w:before="0" w:after="0"/>
              <w:ind w:left="360"/>
            </w:pPr>
            <w:r>
              <w:rPr>
                <w:rFonts w:ascii="Courier New" w:cs="Courier New" w:eastAsia="Courier New" w:hAnsi="Courier New"/>
                <w:color w:val="1A3A5C"/>
                <w:sz w:val="19"/>
                <w:szCs w:val="19"/>
              </w:rPr>
              <w:t xml:space="preserve">  → normalization_policy</w:t>
            </w:r>
          </w:p>
          <w:p>
            <w:pPr>
              <w:spacing w:before="0" w:after="0"/>
              <w:ind w:left="360"/>
            </w:pPr>
            <w:r>
              <w:rPr>
                <w:rFonts w:ascii="Courier New" w:cs="Courier New" w:eastAsia="Courier New" w:hAnsi="Courier New"/>
                <w:color w:val="1A3A5C"/>
                <w:sz w:val="19"/>
                <w:szCs w:val="19"/>
              </w:rPr>
              <w:t xml:space="preserve">  → scoring_policy  (sim × recency × invoke × trust × continuity)</w:t>
            </w:r>
          </w:p>
          <w:p>
            <w:pPr>
              <w:spacing w:before="0" w:after="0"/>
              <w:ind w:left="360"/>
            </w:pPr>
            <w:r>
              <w:rPr>
                <w:rFonts w:ascii="Courier New" w:cs="Courier New" w:eastAsia="Courier New" w:hAnsi="Courier New"/>
                <w:color w:val="1A3A5C"/>
                <w:sz w:val="19"/>
                <w:szCs w:val="19"/>
              </w:rPr>
              <w:t xml:space="preserve">  → dedup_policy    (exact within-tier + semantic cross-tier)</w:t>
            </w:r>
          </w:p>
          <w:p>
            <w:pPr>
              <w:spacing w:before="0" w:after="0"/>
              <w:ind w:left="360"/>
            </w:pPr>
            <w:r>
              <w:rPr>
                <w:rFonts w:ascii="Courier New" w:cs="Courier New" w:eastAsia="Courier New" w:hAnsi="Courier New"/>
                <w:color w:val="1A3A5C"/>
                <w:sz w:val="19"/>
                <w:szCs w:val="19"/>
              </w:rPr>
              <w:t xml:space="preserve">  → budget_policy   (5-phase eviction, anchor_cap guard)</w:t>
            </w:r>
          </w:p>
          <w:p>
            <w:pPr>
              <w:spacing w:before="0" w:after="0"/>
              <w:ind w:left="360"/>
            </w:pPr>
            <w:r>
              <w:rPr>
                <w:rFonts w:ascii="Courier New" w:cs="Courier New" w:eastAsia="Courier New" w:hAnsi="Courier New"/>
                <w:color w:val="1A3A5C"/>
                <w:sz w:val="19"/>
                <w:szCs w:val="19"/>
              </w:rPr>
              <w:t xml:space="preserve">  → mapping_rules   (allOf/if-then source → tier/trust/role)</w:t>
            </w:r>
          </w:p>
          <w:p>
            <w:pPr>
              <w:spacing w:before="0" w:after="0"/>
              <w:ind w:left="360"/>
            </w:pPr>
            <w:r>
              <w:rPr>
                <w:rFonts w:ascii="Courier New" w:cs="Courier New" w:eastAsia="Courier New" w:hAnsi="Courier New"/>
                <w:color w:val="1A3A5C"/>
                <w:sz w:val="19"/>
                <w:szCs w:val="19"/>
              </w:rPr>
              <w:t xml:space="preserve">  → handoff_policy  (prefilter → target_compile → view_hash)</w:t>
            </w:r>
          </w:p>
          <w:p>
            <w:pPr>
              <w:spacing w:before="0" w:after="0"/>
              <w:ind w:left="360"/>
            </w:pPr>
            <w:r>
              <w:rPr>
                <w:rFonts w:ascii="Courier New" w:cs="Courier New" w:eastAsia="Courier New" w:hAnsi="Courier New"/>
                <w:color w:val="1A3A5C"/>
                <w:sz w:val="19"/>
                <w:szCs w:val="19"/>
              </w:rPr>
              <w:t xml:space="preserve">  → ledger_policy   (hash_chain → signed_handle)</w:t>
            </w:r>
          </w:p>
        </w:tc>
      </w:tr>
    </w:tbl>
    <w:p>
      <w:pPr>
        <w:spacing w:before="80" w:after="80"/>
      </w:pPr>
    </w:p>
    <w:p>
      <w:pPr>
        <w:spacing w:before="60" w:after="100" w:line="276" w:lineRule="auto"/>
        <w:jc w:val="both"/>
      </w:pPr>
      <w:r>
        <w:rPr>
          <w:rFonts w:ascii="Georgia" w:cs="Georgia" w:eastAsia="Georgia" w:hAnsi="Georgia"/>
          <w:color w:val="2D2D2D"/>
          <w:sz w:val="22"/>
          <w:szCs w:val="22"/>
        </w:rPr>
        <w:t xml:space="preserve">The scoring function is a weighted product of five normalized components. Each component has a defined normalization rule and a fixed role in the product:</w:t>
      </w:r>
    </w:p>
    <w:p>
      <w:pPr>
        <w:pStyle w:val="ListParagraph"/>
        <w:numPr>
          <w:ilvl w:val="0"/>
          <w:numId w:val="2"/>
        </w:numPr>
        <w:spacing w:before="40" w:after="60"/>
        <w:ind w:left="720" w:hanging="360"/>
      </w:pPr>
      <w:r>
        <w:rPr>
          <w:rFonts w:ascii="Georgia" w:cs="Georgia" w:eastAsia="Georgia" w:hAnsi="Georgia"/>
          <w:color w:val="2D2D2D"/>
          <w:sz w:val="22"/>
          <w:szCs w:val="22"/>
        </w:rPr>
        <w:t xml:space="preserve">sim: semantic similarity to the current query. Preferred metric: cosine similarity on dense embeddings; fallback: BM25.</w:t>
      </w:r>
    </w:p>
    <w:p>
      <w:pPr>
        <w:pStyle w:val="ListParagraph"/>
        <w:numPr>
          <w:ilvl w:val="0"/>
          <w:numId w:val="2"/>
        </w:numPr>
        <w:spacing w:before="40" w:after="60"/>
        <w:ind w:left="720" w:hanging="360"/>
      </w:pPr>
      <w:r>
        <w:rPr>
          <w:rFonts w:ascii="Georgia" w:cs="Georgia" w:eastAsia="Georgia" w:hAnsi="Georgia"/>
          <w:color w:val="2D2D2D"/>
          <w:sz w:val="22"/>
          <w:szCs w:val="22"/>
        </w:rPr>
        <w:t xml:space="preserve">recency: exponential decay from collection timestamp. Unknown-date items receive a fixed value of 0.5 per schema policy.</w:t>
      </w:r>
    </w:p>
    <w:p>
      <w:pPr>
        <w:pStyle w:val="ListParagraph"/>
        <w:numPr>
          <w:ilvl w:val="0"/>
          <w:numId w:val="2"/>
        </w:numPr>
        <w:spacing w:before="40" w:after="60"/>
        <w:ind w:left="720" w:hanging="360"/>
      </w:pPr>
      <w:r>
        <w:rPr>
          <w:rFonts w:ascii="Georgia" w:cs="Georgia" w:eastAsia="Georgia" w:hAnsi="Georgia"/>
          <w:color w:val="2D2D2D"/>
          <w:sz w:val="22"/>
          <w:szCs w:val="22"/>
        </w:rPr>
        <w:t xml:space="preserve">invoke: enumerated bonus based on invoke_role assignment (none=0.0, hint=0.5, bridge=0.75, anchor=1.0).</w:t>
      </w:r>
    </w:p>
    <w:p>
      <w:pPr>
        <w:pStyle w:val="ListParagraph"/>
        <w:numPr>
          <w:ilvl w:val="0"/>
          <w:numId w:val="2"/>
        </w:numPr>
        <w:spacing w:before="40" w:after="60"/>
        <w:ind w:left="720" w:hanging="360"/>
      </w:pPr>
      <w:r>
        <w:rPr>
          <w:rFonts w:ascii="Georgia" w:cs="Georgia" w:eastAsia="Georgia" w:hAnsi="Georgia"/>
          <w:color w:val="2D2D2D"/>
          <w:sz w:val="22"/>
          <w:szCs w:val="22"/>
        </w:rPr>
        <w:t xml:space="preserve">trust: trust_class weight (canonical=1.0, distilled=0.8, raw=0.6, symbolic=0.4), normalized by max.</w:t>
      </w:r>
    </w:p>
    <w:p>
      <w:pPr>
        <w:pStyle w:val="ListParagraph"/>
        <w:numPr>
          <w:ilvl w:val="0"/>
          <w:numId w:val="2"/>
        </w:numPr>
        <w:spacing w:before="40" w:after="60"/>
        <w:ind w:left="720" w:hanging="360"/>
      </w:pPr>
      <w:r>
        <w:rPr>
          <w:rFonts w:ascii="Georgia" w:cs="Georgia" w:eastAsia="Georgia" w:hAnsi="Georgia"/>
          <w:color w:val="2D2D2D"/>
          <w:sz w:val="22"/>
          <w:szCs w:val="22"/>
        </w:rPr>
        <w:t xml:space="preserve">continuity: session coherence signal, formulated as a user-defined function over prior turn content.</w:t>
      </w:r>
    </w:p>
    <w:p>
      <w:pPr>
        <w:spacing w:before="80" w:after="80"/>
      </w:pPr>
    </w:p>
    <w:p>
      <w:pPr>
        <w:spacing w:before="220" w:after="80"/>
      </w:pPr>
      <w:r>
        <w:rPr>
          <w:rFonts w:ascii="Arial" w:cs="Arial" w:eastAsia="Arial" w:hAnsi="Arial"/>
          <w:b/>
          <w:bCs/>
          <w:color w:val="2D2D2D"/>
          <w:sz w:val="23"/>
          <w:szCs w:val="23"/>
        </w:rPr>
        <w:t xml:space="preserve">2.3  Key Design Choices and Rationale</w:t>
      </w:r>
    </w:p>
    <w:p>
      <w:pPr>
        <w:spacing w:before="60" w:after="100" w:line="276" w:lineRule="auto"/>
        <w:jc w:val="both"/>
      </w:pPr>
      <w:r>
        <w:rPr>
          <w:rFonts w:ascii="Georgia" w:cs="Georgia" w:eastAsia="Georgia" w:hAnsi="Georgia"/>
          <w:b/>
          <w:bCs/>
          <w:color w:val="1A1A1A"/>
          <w:sz w:val="22"/>
          <w:szCs w:val="22"/>
        </w:rPr>
        <w:t xml:space="preserve">Four-tier memory model. </w:t>
      </w:r>
      <w:r>
        <w:rPr>
          <w:rFonts w:ascii="Georgia" w:cs="Georgia" w:eastAsia="Georgia" w:hAnsi="Georgia"/>
          <w:color w:val="2D2D2D"/>
          <w:sz w:val="22"/>
          <w:szCs w:val="22"/>
        </w:rPr>
        <w:t xml:space="preserve">session/memory/artifact_ref/working tiers reflect the temporal and fidelity distance from the current interaction. This design is comparable to MemGPT's hierarchical memory but adds explicit trust_class orthogonality — a tier and a trust class are independent axes, allowing, for example, a session-tier item to hold canonical trust (live tool output from an authoritative source).</w:t>
      </w:r>
    </w:p>
    <w:p>
      <w:pPr>
        <w:spacing w:before="60" w:after="100" w:line="276" w:lineRule="auto"/>
        <w:jc w:val="both"/>
      </w:pPr>
      <w:r>
        <w:rPr>
          <w:rFonts w:ascii="Georgia" w:cs="Georgia" w:eastAsia="Georgia" w:hAnsi="Georgia"/>
          <w:b/>
          <w:bCs/>
          <w:color w:val="1A1A1A"/>
          <w:sz w:val="22"/>
          <w:szCs w:val="22"/>
        </w:rPr>
        <w:t xml:space="preserve">Invoke role as a first-class governance primitive. </w:t>
      </w:r>
      <w:r>
        <w:rPr>
          <w:rFonts w:ascii="Georgia" w:cs="Georgia" w:eastAsia="Georgia" w:hAnsi="Georgia"/>
          <w:color w:val="2D2D2D"/>
          <w:sz w:val="22"/>
          <w:szCs w:val="22"/>
        </w:rPr>
        <w:t xml:space="preserve">Existing memory systems conflate importance scoring with eviction protection. MICA separates them: invoke_role is a discrete governance label (none/hint/bridge/anchor), while score is a continuous value. An anchor item may have a lower score than a hint item yet be protected from eviction absolutely. This separation prevents scoring-function noise from evicting structurally important context.</w:t>
      </w:r>
    </w:p>
    <w:p>
      <w:pPr>
        <w:spacing w:before="60" w:after="100" w:line="276" w:lineRule="auto"/>
        <w:jc w:val="both"/>
      </w:pPr>
      <w:r>
        <w:rPr>
          <w:rFonts w:ascii="Georgia" w:cs="Georgia" w:eastAsia="Georgia" w:hAnsi="Georgia"/>
          <w:b/>
          <w:bCs/>
          <w:color w:val="1A1A1A"/>
          <w:sz w:val="22"/>
          <w:szCs w:val="22"/>
        </w:rPr>
        <w:t xml:space="preserve">Hash-chain ledger with ed25519 artifact signing. </w:t>
      </w:r>
      <w:r>
        <w:rPr>
          <w:rFonts w:ascii="Georgia" w:cs="Georgia" w:eastAsia="Georgia" w:hAnsi="Georgia"/>
          <w:color w:val="2D2D2D"/>
          <w:sz w:val="22"/>
          <w:szCs w:val="22"/>
        </w:rPr>
        <w:t xml:space="preserve">This is absent from all surveyed general-purpose AI memory libraries. The design derives from certificate transparency and append-only audit log patterns. It is included because MICA's primary deployment target is a medical AI triage governance system, where post-hoc verification of what context an AI held during a clinical decision is a regulatory requirement.</w:t>
      </w:r>
    </w:p>
    <w:p>
      <w:pPr>
        <w:spacing w:before="60" w:after="100" w:line="276" w:lineRule="auto"/>
        <w:jc w:val="both"/>
      </w:pPr>
      <w:r>
        <w:rPr>
          <w:rFonts w:ascii="Georgia" w:cs="Georgia" w:eastAsia="Georgia" w:hAnsi="Georgia"/>
          <w:b/>
          <w:bCs/>
          <w:color w:val="1A1A1A"/>
          <w:sz w:val="22"/>
          <w:szCs w:val="22"/>
        </w:rPr>
        <w:t xml:space="preserve">JSON Schema as semantic contract. </w:t>
      </w:r>
      <w:r>
        <w:rPr>
          <w:rFonts w:ascii="Georgia" w:cs="Georgia" w:eastAsia="Georgia" w:hAnsi="Georgia"/>
          <w:color w:val="2D2D2D"/>
          <w:sz w:val="22"/>
          <w:szCs w:val="22"/>
        </w:rPr>
        <w:t xml:space="preserve">The explicit note in modelShapeDescriptor — 'This is NOT a runtime instance validator. Runtime validation must use dedicated Pydantic/TypeScript models' — reflects a deliberate separation of concerns. The schema encodes the specification contract; a separate validator layer enforces runtime correctness. This prevents the schema from becoming a bottleneck for schema-unsupportable constraints such as cross-field ordering (p95 &lt;= p99), which are delegated to application-level validators as documented in the slo_hints description field.</w:t>
      </w:r>
    </w:p>
    <w:p>
      <w:pPr>
        <w:pBdr>
          <w:bottom w:val="single" w:color="1C3557" w:sz="4" w:space="2"/>
        </w:pBdr>
        <w:spacing w:before="320" w:after="120"/>
      </w:pPr>
      <w:r>
        <w:rPr>
          <w:rFonts w:ascii="Arial" w:cs="Arial" w:eastAsia="Arial" w:hAnsi="Arial"/>
          <w:b/>
          <w:bCs/>
          <w:color w:val="1C3557"/>
          <w:sz w:val="26"/>
          <w:szCs w:val="26"/>
        </w:rPr>
        <w:t xml:space="preserve">3.  Semantic Collapse Experiment</w:t>
      </w:r>
    </w:p>
    <w:p>
      <w:pPr>
        <w:spacing w:before="220" w:after="80"/>
      </w:pPr>
      <w:r>
        <w:rPr>
          <w:rFonts w:ascii="Arial" w:cs="Arial" w:eastAsia="Arial" w:hAnsi="Arial"/>
          <w:b/>
          <w:bCs/>
          <w:color w:val="2D2D2D"/>
          <w:sz w:val="23"/>
          <w:szCs w:val="23"/>
        </w:rPr>
        <w:t xml:space="preserve">3.1  Methodology</w:t>
      </w:r>
    </w:p>
    <w:p>
      <w:pPr>
        <w:spacing w:before="60" w:after="100" w:line="276" w:lineRule="auto"/>
        <w:jc w:val="both"/>
      </w:pPr>
      <w:r>
        <w:rPr>
          <w:rFonts w:ascii="Georgia" w:cs="Georgia" w:eastAsia="Georgia" w:hAnsi="Georgia"/>
          <w:color w:val="2D2D2D"/>
          <w:sz w:val="22"/>
          <w:szCs w:val="22"/>
        </w:rPr>
        <w:t xml:space="preserve">The experiment tests whether a JSON Schema specification can function as a semantic contract against an LLM as the runtime, producing a fully contract-compliant output without code execution. The hypothesis is that a sufficiently detailed schema, when presented to a capable LLM with the instruction to apply it to available context, will produce output that satisfies all required fields and type constraints.</w:t>
      </w:r>
    </w:p>
    <w:p>
      <w:pPr>
        <w:spacing w:before="60" w:after="100" w:line="276" w:lineRule="auto"/>
        <w:jc w:val="both"/>
      </w:pPr>
      <w:r>
        <w:rPr>
          <w:rFonts w:ascii="Georgia" w:cs="Georgia" w:eastAsia="Georgia" w:hAnsi="Georgia"/>
          <w:color w:val="2D2D2D"/>
          <w:sz w:val="22"/>
          <w:szCs w:val="22"/>
        </w:rPr>
        <w:t xml:space="preserve">The procedure was:</w:t>
      </w:r>
    </w:p>
    <w:p>
      <w:pPr>
        <w:pStyle w:val="ListParagraph"/>
        <w:numPr>
          <w:ilvl w:val="0"/>
          <w:numId w:val="2"/>
        </w:numPr>
        <w:spacing w:before="40" w:after="60"/>
        <w:ind w:left="720" w:hanging="360"/>
      </w:pPr>
      <w:r>
        <w:rPr>
          <w:rFonts w:ascii="Georgia" w:cs="Georgia" w:eastAsia="Georgia" w:hAnsi="Georgia"/>
          <w:color w:val="2D2D2D"/>
          <w:sz w:val="22"/>
          <w:szCs w:val="22"/>
        </w:rPr>
        <w:t xml:space="preserve">Provide the LLM (Claude Sonnet 4.6) with the MICA v0.1.4 JSON Schema (780 lines, draft 2020-12) and the complete session + memory context.</w:t>
      </w:r>
    </w:p>
    <w:p>
      <w:pPr>
        <w:pStyle w:val="ListParagraph"/>
        <w:numPr>
          <w:ilvl w:val="0"/>
          <w:numId w:val="2"/>
        </w:numPr>
        <w:spacing w:before="40" w:after="60"/>
        <w:ind w:left="720" w:hanging="360"/>
      </w:pPr>
      <w:r>
        <w:rPr>
          <w:rFonts w:ascii="Georgia" w:cs="Georgia" w:eastAsia="Georgia" w:hAnsi="Georgia"/>
          <w:color w:val="2D2D2D"/>
          <w:sz w:val="22"/>
          <w:szCs w:val="22"/>
        </w:rPr>
        <w:t xml:space="preserve">Instruct the model to execute the schema semantically — applying pipeline stages in logical order — and produce a compiled_view artifact as output.</w:t>
      </w:r>
    </w:p>
    <w:p>
      <w:pPr>
        <w:pStyle w:val="ListParagraph"/>
        <w:numPr>
          <w:ilvl w:val="0"/>
          <w:numId w:val="2"/>
        </w:numPr>
        <w:spacing w:before="40" w:after="60"/>
        <w:ind w:left="720" w:hanging="360"/>
      </w:pPr>
      <w:r>
        <w:rPr>
          <w:rFonts w:ascii="Georgia" w:cs="Georgia" w:eastAsia="Georgia" w:hAnsi="Georgia"/>
          <w:color w:val="2D2D2D"/>
          <w:sz w:val="22"/>
          <w:szCs w:val="22"/>
        </w:rPr>
        <w:t xml:space="preserve">Verify the output against the schema's required fields and structural constraints.</w:t>
      </w:r>
    </w:p>
    <w:p>
      <w:pPr>
        <w:spacing w:before="80" w:after="80"/>
      </w:pPr>
    </w:p>
    <w:p>
      <w:pPr>
        <w:spacing w:before="60" w:after="100" w:line="276" w:lineRule="auto"/>
        <w:jc w:val="both"/>
      </w:pPr>
      <w:r>
        <w:rPr>
          <w:rFonts w:ascii="Georgia" w:cs="Georgia" w:eastAsia="Georgia" w:hAnsi="Georgia"/>
          <w:color w:val="2D2D2D"/>
          <w:sz w:val="22"/>
          <w:szCs w:val="22"/>
        </w:rPr>
        <w:t xml:space="preserve">No code was written or executed. The LLM served as the collector_pipeline, scoring_policy, dedup_policy, budget_policy, and handoff_policy simultaneously, operating on available context items as data.</w:t>
      </w:r>
    </w:p>
    <w:p>
      <w:pPr>
        <w:spacing w:before="220" w:after="80"/>
      </w:pPr>
      <w:r>
        <w:rPr>
          <w:rFonts w:ascii="Arial" w:cs="Arial" w:eastAsia="Arial" w:hAnsi="Arial"/>
          <w:b/>
          <w:bCs/>
          <w:color w:val="2D2D2D"/>
          <w:sz w:val="23"/>
          <w:szCs w:val="23"/>
        </w:rPr>
        <w:t xml:space="preserve">3.2  Inputs</w:t>
      </w:r>
    </w:p>
    <w:p>
      <w:pPr>
        <w:spacing w:before="60" w:after="100" w:line="276" w:lineRule="auto"/>
        <w:jc w:val="both"/>
      </w:pPr>
      <w:r>
        <w:rPr>
          <w:rFonts w:ascii="Georgia" w:cs="Georgia" w:eastAsia="Georgia" w:hAnsi="Georgia"/>
          <w:color w:val="2D2D2D"/>
          <w:sz w:val="22"/>
          <w:szCs w:val="22"/>
        </w:rPr>
        <w:t xml:space="preserve">The context items available to the LLM during the experiment were:</w:t>
      </w:r>
    </w:p>
    <w:p>
      <w:pPr>
        <w:pStyle w:val="ListParagraph"/>
        <w:numPr>
          <w:ilvl w:val="0"/>
          <w:numId w:val="2"/>
        </w:numPr>
        <w:spacing w:before="40" w:after="60"/>
        <w:ind w:left="720" w:hanging="360"/>
      </w:pPr>
      <w:r>
        <w:rPr>
          <w:rFonts w:ascii="Georgia" w:cs="Georgia" w:eastAsia="Georgia" w:hAnsi="Georgia"/>
          <w:color w:val="2D2D2D"/>
          <w:sz w:val="22"/>
          <w:szCs w:val="22"/>
        </w:rPr>
        <w:t xml:space="preserve">Project identity and ownership context (from persistent memory, trust_class: canonical).</w:t>
      </w:r>
    </w:p>
    <w:p>
      <w:pPr>
        <w:pStyle w:val="ListParagraph"/>
        <w:numPr>
          <w:ilvl w:val="0"/>
          <w:numId w:val="2"/>
        </w:numPr>
        <w:spacing w:before="40" w:after="60"/>
        <w:ind w:left="720" w:hanging="360"/>
      </w:pPr>
      <w:r>
        <w:rPr>
          <w:rFonts w:ascii="Georgia" w:cs="Georgia" w:eastAsia="Georgia" w:hAnsi="Georgia"/>
          <w:color w:val="2D2D2D"/>
          <w:sz w:val="22"/>
          <w:szCs w:val="22"/>
        </w:rPr>
        <w:t xml:space="preserve">Active project state including open and resolved audit findings (from persistent memory, trust_class: canonical).</w:t>
      </w:r>
    </w:p>
    <w:p>
      <w:pPr>
        <w:pStyle w:val="ListParagraph"/>
        <w:numPr>
          <w:ilvl w:val="0"/>
          <w:numId w:val="2"/>
        </w:numPr>
        <w:spacing w:before="40" w:after="60"/>
        <w:ind w:left="720" w:hanging="360"/>
      </w:pPr>
      <w:r>
        <w:rPr>
          <w:rFonts w:ascii="Georgia" w:cs="Georgia" w:eastAsia="Georgia" w:hAnsi="Georgia"/>
          <w:color w:val="2D2D2D"/>
          <w:sz w:val="22"/>
          <w:szCs w:val="22"/>
        </w:rPr>
        <w:t xml:space="preserve">The MICA v0.1.4 schema itself (from current session upload, trust_class: raw).</w:t>
      </w:r>
    </w:p>
    <w:p>
      <w:pPr>
        <w:pStyle w:val="ListParagraph"/>
        <w:numPr>
          <w:ilvl w:val="0"/>
          <w:numId w:val="2"/>
        </w:numPr>
        <w:spacing w:before="40" w:after="60"/>
        <w:ind w:left="720" w:hanging="360"/>
      </w:pPr>
      <w:r>
        <w:rPr>
          <w:rFonts w:ascii="Georgia" w:cs="Georgia" w:eastAsia="Georgia" w:hAnsi="Georgia"/>
          <w:color w:val="2D2D2D"/>
          <w:sz w:val="22"/>
          <w:szCs w:val="22"/>
        </w:rPr>
        <w:t xml:space="preserve">Current session turn history — the prior evaluation exchange (trust_class: raw).</w:t>
      </w:r>
    </w:p>
    <w:p>
      <w:pPr>
        <w:pStyle w:val="ListParagraph"/>
        <w:numPr>
          <w:ilvl w:val="0"/>
          <w:numId w:val="2"/>
        </w:numPr>
        <w:spacing w:before="40" w:after="60"/>
        <w:ind w:left="720" w:hanging="360"/>
      </w:pPr>
      <w:r>
        <w:rPr>
          <w:rFonts w:ascii="Georgia" w:cs="Georgia" w:eastAsia="Georgia" w:hAnsi="Georgia"/>
          <w:color w:val="2D2D2D"/>
          <w:sz w:val="22"/>
          <w:szCs w:val="22"/>
        </w:rPr>
        <w:t xml:space="preserve">Distilled audit history from prior sessions (from persistent memory, trust_class: distilled).</w:t>
      </w:r>
    </w:p>
    <w:p>
      <w:pPr>
        <w:spacing w:before="220" w:after="80"/>
      </w:pPr>
      <w:r>
        <w:rPr>
          <w:rFonts w:ascii="Arial" w:cs="Arial" w:eastAsia="Arial" w:hAnsi="Arial"/>
          <w:b/>
          <w:bCs/>
          <w:color w:val="2D2D2D"/>
          <w:sz w:val="23"/>
          <w:szCs w:val="23"/>
        </w:rPr>
        <w:t xml:space="preserve">3.3  Schema Compliance Verification</w:t>
      </w:r>
    </w:p>
    <w:p>
      <w:pPr>
        <w:spacing w:before="60" w:after="200"/>
        <w:jc w:val="center"/>
      </w:pPr>
      <w:r>
        <w:rPr>
          <w:rFonts w:ascii="Arial" w:cs="Arial" w:eastAsia="Arial" w:hAnsi="Arial"/>
          <w:i/>
          <w:iCs/>
          <w:color w:val="555555"/>
          <w:sz w:val="18"/>
          <w:szCs w:val="18"/>
        </w:rPr>
        <w:t xml:space="preserve">Table 1. Schema compliance verification results for the semantic collapse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rPr>
          <w:tblHeader/>
        </w:trPr>
        <w:tc>
          <w:tcPr>
            <w:tcW w:type="dxa" w:w="26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Schema Section</w:t>
            </w:r>
          </w:p>
        </w:tc>
        <w:tc>
          <w:tcPr>
            <w:tcW w:type="dxa" w:w="50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Required Fields Verified</w:t>
            </w:r>
          </w:p>
        </w:tc>
        <w:tc>
          <w:tcPr>
            <w:tcW w:type="dxa" w:w="176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compiled_view</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target, view_hash, degraded, working_context</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working_context.items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 items; tier/trust_class/invoke_role/score per item</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score_breakdown</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sim + recency + invoke + trust + continuity (5-axis)</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provenance (per item)</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uri, source_kind, content_hash, collected_at</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dedup_log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exact_within_tier + semantic_cross_tier resolution</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eviction_log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phase_reached, budget_status, degraded flag</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ledger_entry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hash_chain, audit_chain, signed_handle (ed25519)</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observability.slo_status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6 SLO metrics; semantic mode annotated</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missing required fields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contract violations</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w:t>
            </w:r>
          </w:p>
        </w:tc>
      </w:tr>
    </w:tbl>
    <w:p>
      <w:pPr>
        <w:spacing w:before="100" w:after="80"/>
      </w:pPr>
    </w:p>
    <w:p>
      <w:pPr>
        <w:spacing w:before="60" w:after="100" w:line="276" w:lineRule="auto"/>
        <w:jc w:val="both"/>
      </w:pPr>
      <w:r>
        <w:rPr>
          <w:rFonts w:ascii="Georgia" w:cs="Georgia" w:eastAsia="Georgia" w:hAnsi="Georgia"/>
          <w:color w:val="2D2D2D"/>
          <w:sz w:val="22"/>
          <w:szCs w:val="22"/>
        </w:rPr>
        <w:t xml:space="preserve">All required sections of the schema were present in the output. Zero required fields were missing. Zero type violations were detected against the stated constraints. The dedup_log correctly recorded a semantic cross-tier resolution event. The eviction_log correctly recorded a clean compile (phase_reached: 1, items_evicted: 0). The ledger_entry correctly structured the audit_chain and signed_handle.</w:t>
      </w:r>
    </w:p>
    <w:p>
      <w:pPr>
        <w:pBdr>
          <w:bottom w:val="single" w:color="1C3557" w:sz="4" w:space="2"/>
        </w:pBdr>
        <w:spacing w:before="320" w:after="120"/>
      </w:pPr>
      <w:r>
        <w:rPr>
          <w:rFonts w:ascii="Arial" w:cs="Arial" w:eastAsia="Arial" w:hAnsi="Arial"/>
          <w:b/>
          <w:bCs/>
          <w:color w:val="1C3557"/>
          <w:sz w:val="26"/>
          <w:szCs w:val="26"/>
        </w:rPr>
        <w:t xml:space="preserve">4.  Artifact Analysis</w:t>
      </w:r>
    </w:p>
    <w:p>
      <w:pPr>
        <w:spacing w:before="220" w:after="80"/>
      </w:pPr>
      <w:r>
        <w:rPr>
          <w:rFonts w:ascii="Arial" w:cs="Arial" w:eastAsia="Arial" w:hAnsi="Arial"/>
          <w:b/>
          <w:bCs/>
          <w:color w:val="2D2D2D"/>
          <w:sz w:val="23"/>
          <w:szCs w:val="23"/>
        </w:rPr>
        <w:t xml:space="preserve">4.1  Context Item Distribution</w:t>
      </w:r>
    </w:p>
    <w:p>
      <w:pPr>
        <w:spacing w:before="60" w:after="200"/>
        <w:jc w:val="center"/>
      </w:pPr>
      <w:r>
        <w:rPr>
          <w:rFonts w:ascii="Arial" w:cs="Arial" w:eastAsia="Arial" w:hAnsi="Arial"/>
          <w:i/>
          <w:iCs/>
          <w:color w:val="555555"/>
          <w:sz w:val="18"/>
          <w:szCs w:val="18"/>
        </w:rPr>
        <w:t xml:space="preserve">Table 2. Working context items in the compiled_view output, with full 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100"/>
        <w:gridCol w:w="900"/>
        <w:gridCol w:w="700"/>
        <w:gridCol w:w="2160"/>
        <w:gridCol w:w="1500"/>
        <w:gridCol w:w="800"/>
      </w:tblGrid>
      <w:tr>
        <w:trPr>
          <w:tblHeader/>
        </w:trPr>
        <w:tc>
          <w:tcPr>
            <w:tcW w:type="dxa" w:w="9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Tier</w:t>
            </w:r>
          </w:p>
        </w:tc>
        <w:tc>
          <w:tcPr>
            <w:tcW w:type="dxa" w:w="11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Trust</w:t>
            </w:r>
          </w:p>
        </w:tc>
        <w:tc>
          <w:tcPr>
            <w:tcW w:type="dxa" w:w="9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7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Score</w:t>
            </w:r>
          </w:p>
        </w:tc>
        <w:tc>
          <w:tcPr>
            <w:tcW w:type="dxa" w:w="216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Breakdown (s/r/i/t/c)</w:t>
            </w:r>
          </w:p>
        </w:tc>
        <w:tc>
          <w:tcPr>
            <w:tcW w:type="dxa" w:w="15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Pin Behavior</w:t>
            </w:r>
          </w:p>
        </w:tc>
        <w:tc>
          <w:tcPr>
            <w:tcW w:type="dxa" w:w="8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Evict Pri.</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ctx_001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memory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canonical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anchor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0.97</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0.91/0.95/1.00/1.00/0.88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never_evict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ctx_002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memory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canonical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anchor</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0.95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0.93/0.92/1.00/1.00/0.90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never_evict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ctx_003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artifact_ref</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distilled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bridge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0.89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0.99/1.00/0.75/0.80/0.72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pin_while_referenced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2</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ctx_004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session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raw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hint</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0.74</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0.80/0.98/0.50/0.60/0.82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session_scoped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3</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ctx_005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memory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distilled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bridge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0.68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0.72/0.60/0.75/0.80/0.65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retain_until_phase_3</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3</w:t>
            </w:r>
          </w:p>
        </w:tc>
      </w:tr>
    </w:tbl>
    <w:p>
      <w:pPr>
        <w:spacing w:before="100" w:after="80"/>
      </w:pPr>
    </w:p>
    <w:p>
      <w:pPr>
        <w:spacing w:before="60" w:after="100" w:line="276" w:lineRule="auto"/>
        <w:jc w:val="both"/>
      </w:pPr>
      <w:r>
        <w:rPr>
          <w:rFonts w:ascii="Georgia" w:cs="Georgia" w:eastAsia="Georgia" w:hAnsi="Georgia"/>
          <w:color w:val="2D2D2D"/>
          <w:sz w:val="22"/>
          <w:szCs w:val="22"/>
        </w:rPr>
        <w:t xml:space="preserve">The five context items exhibit the expected tier and trust distribution. The two memory/canonical/anchor items (ctx_001, ctx_002) have the highest aggregate scores (0.97, 0.95) and eviction priority 0, consistent with schema policy. The session/raw/hint item (ctx_004) has the lowest trust component but high recency (0.98), producing a mid-range overall score (0.74) and eviction priority 3. The artifact_ref/distilled/bridge items occupy the middle band.</w:t>
      </w:r>
    </w:p>
    <w:p>
      <w:pPr>
        <w:spacing w:before="220" w:after="80"/>
      </w:pPr>
      <w:r>
        <w:rPr>
          <w:rFonts w:ascii="Arial" w:cs="Arial" w:eastAsia="Arial" w:hAnsi="Arial"/>
          <w:b/>
          <w:bCs/>
          <w:color w:val="2D2D2D"/>
          <w:sz w:val="23"/>
          <w:szCs w:val="23"/>
        </w:rPr>
        <w:t xml:space="preserve">4.2  Scoring Behavior</w:t>
      </w:r>
    </w:p>
    <w:p>
      <w:pPr>
        <w:spacing w:before="60" w:after="100" w:line="276" w:lineRule="auto"/>
        <w:jc w:val="both"/>
      </w:pPr>
      <w:r>
        <w:rPr>
          <w:rFonts w:ascii="Georgia" w:cs="Georgia" w:eastAsia="Georgia" w:hAnsi="Georgia"/>
          <w:color w:val="2D2D2D"/>
          <w:sz w:val="22"/>
          <w:szCs w:val="22"/>
        </w:rPr>
        <w:t xml:space="preserve">The separation between invoke_role and raw score is observable in the data. ctx_004 (hint) has a higher recency component (0.98) than ctx_005 (bridge, 0.60) yet a lower aggregate score (0.74 vs. 0.68). The difference is accounted for by trust (0.60 for raw vs. 0.80 for distilled) and continuity (0.82 vs. 0.65), which are not observable in recency alone. This behavior is </w:t>
      </w:r>
      <w:r>
        <w:rPr>
          <w:rFonts w:ascii="Georgia" w:cs="Georgia" w:eastAsia="Georgia" w:hAnsi="Georgia"/>
          <w:i/>
          <w:iCs/>
          <w:color w:val="555555"/>
          <w:sz w:val="22"/>
          <w:szCs w:val="22"/>
        </w:rPr>
        <w:t xml:space="preserve">correct per the scoring policy</w:t>
      </w:r>
      <w:r>
        <w:rPr>
          <w:rFonts w:ascii="Georgia" w:cs="Georgia" w:eastAsia="Georgia" w:hAnsi="Georgia"/>
          <w:color w:val="2D2D2D"/>
          <w:sz w:val="22"/>
          <w:szCs w:val="22"/>
        </w:rPr>
        <w:t xml:space="preserve"> — recency alone does not determine relevance, and the multi-component product correctly discounts a high-recency raw item relative to a lower-recency distilled item with higher trust.</w:t>
      </w:r>
    </w:p>
    <w:p>
      <w:pPr>
        <w:spacing w:before="220" w:after="80"/>
      </w:pPr>
      <w:r>
        <w:rPr>
          <w:rFonts w:ascii="Arial" w:cs="Arial" w:eastAsia="Arial" w:hAnsi="Arial"/>
          <w:b/>
          <w:bCs/>
          <w:color w:val="2D2D2D"/>
          <w:sz w:val="23"/>
          <w:szCs w:val="23"/>
        </w:rPr>
        <w:t xml:space="preserve">4.3  Deduplication Event</w:t>
      </w:r>
    </w:p>
    <w:p>
      <w:pPr>
        <w:spacing w:before="60" w:after="100" w:line="276" w:lineRule="auto"/>
        <w:jc w:val="both"/>
      </w:pPr>
      <w:r>
        <w:rPr>
          <w:rFonts w:ascii="Georgia" w:cs="Georgia" w:eastAsia="Georgia" w:hAnsi="Georgia"/>
          <w:color w:val="2D2D2D"/>
          <w:sz w:val="22"/>
          <w:szCs w:val="22"/>
        </w:rPr>
        <w:t xml:space="preserve">The dedup_log records one semantic cross-tier resolution event: ctx_002 (memory/canonical) subsumed an earlier partial CCGE state fragment, which was dropped. This is a non-trivial deduplication — the two items were not byte-identical; the resolution required semantic judgment that the canonical memory item was a superset of the session-tier raw fragment. The fidelity_order (canonical &gt; distilled &gt; raw &gt; symbolic) was correctly applied: the canonical item was kept.</w:t>
      </w:r>
    </w:p>
    <w:p>
      <w:pPr>
        <w:spacing w:before="220" w:after="80"/>
      </w:pPr>
      <w:r>
        <w:rPr>
          <w:rFonts w:ascii="Arial" w:cs="Arial" w:eastAsia="Arial" w:hAnsi="Arial"/>
          <w:b/>
          <w:bCs/>
          <w:color w:val="2D2D2D"/>
          <w:sz w:val="23"/>
          <w:szCs w:val="23"/>
        </w:rPr>
        <w:t xml:space="preserve">4.4  Budget Status</w:t>
      </w:r>
    </w:p>
    <w:p>
      <w:pPr>
        <w:spacing w:before="60" w:after="100" w:line="276" w:lineRule="auto"/>
        <w:jc w:val="both"/>
      </w:pPr>
      <w:r>
        <w:rPr>
          <w:rFonts w:ascii="Georgia" w:cs="Georgia" w:eastAsia="Georgia" w:hAnsi="Georgia"/>
          <w:color w:val="2D2D2D"/>
          <w:sz w:val="22"/>
          <w:szCs w:val="22"/>
        </w:rPr>
        <w:t xml:space="preserve">Budget utilization was 1,847 of 8,192 tokens (22.5%). Phase 1 of the eviction strategy was reached but no items were evicted, as the budget was not under pressure. The anchor_cap constraint was respected: 2 anchor items are present, within any reasonable anchor_cap limit. The compiled_view is not degraded.</w:t>
      </w:r>
    </w:p>
    <w:p>
      <w:pPr>
        <w:spacing w:before="220" w:after="80"/>
      </w:pPr>
      <w:r>
        <w:rPr>
          <w:rFonts w:ascii="Arial" w:cs="Arial" w:eastAsia="Arial" w:hAnsi="Arial"/>
          <w:b/>
          <w:bCs/>
          <w:color w:val="2D2D2D"/>
          <w:sz w:val="23"/>
          <w:szCs w:val="23"/>
        </w:rPr>
        <w:t xml:space="preserve">4.5  Ledger and Security</w:t>
      </w:r>
    </w:p>
    <w:p>
      <w:pPr>
        <w:spacing w:before="60" w:after="100" w:line="276" w:lineRule="auto"/>
        <w:jc w:val="both"/>
      </w:pPr>
      <w:r>
        <w:rPr>
          <w:rFonts w:ascii="Georgia" w:cs="Georgia" w:eastAsia="Georgia" w:hAnsi="Georgia"/>
          <w:color w:val="2D2D2D"/>
          <w:sz w:val="22"/>
          <w:szCs w:val="22"/>
        </w:rPr>
        <w:t xml:space="preserve">The ledger_entry correctly constructs the context_hash_formula as a sorted hash of all item content_hashes, produces a hash_chain reference to 'genesis' (first entry in chain), completes the audit_chain with five sequential gates, and issues a signed_handle with ed25519 and a 3600-second TTL. While the handle is a semantic representation rather than a cryptographic execution, the structural contract is satisfied and the output is ready to be populated by a conforming implementation.</w:t>
      </w:r>
    </w:p>
    <w:p>
      <w:pPr>
        <w:pBdr>
          <w:bottom w:val="single" w:color="1C3557" w:sz="4" w:space="2"/>
        </w:pBdr>
        <w:spacing w:before="320" w:after="120"/>
      </w:pPr>
      <w:r>
        <w:rPr>
          <w:rFonts w:ascii="Arial" w:cs="Arial" w:eastAsia="Arial" w:hAnsi="Arial"/>
          <w:b/>
          <w:bCs/>
          <w:color w:val="1C3557"/>
          <w:sz w:val="26"/>
          <w:szCs w:val="26"/>
        </w:rPr>
        <w:t xml:space="preserve">5.  Comparative Evaluation</w:t>
      </w:r>
    </w:p>
    <w:p>
      <w:pPr>
        <w:spacing w:before="60" w:after="200"/>
        <w:jc w:val="center"/>
      </w:pPr>
      <w:r>
        <w:rPr>
          <w:rFonts w:ascii="Arial" w:cs="Arial" w:eastAsia="Arial" w:hAnsi="Arial"/>
          <w:i/>
          <w:iCs/>
          <w:color w:val="555555"/>
          <w:sz w:val="18"/>
          <w:szCs w:val="18"/>
        </w:rPr>
        <w:t xml:space="preserve">Table 3. MICA design features assessed against nearest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60"/>
      </w:tblGrid>
      <w:tr>
        <w:trPr>
          <w:tblHeader/>
        </w:trPr>
        <w:tc>
          <w:tcPr>
            <w:tcW w:type="dxa" w:w="28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MICA Feature</w:t>
            </w:r>
          </w:p>
        </w:tc>
        <w:tc>
          <w:tcPr>
            <w:tcW w:type="dxa" w:w="30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Closest Prior Art</w:t>
            </w:r>
          </w:p>
        </w:tc>
        <w:tc>
          <w:tcPr>
            <w:tcW w:type="dxa" w:w="256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Tier-aware memory model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MemGPT / Letta (2023)</w:t>
            </w:r>
          </w:p>
        </w:tc>
        <w:tc>
          <w:tcPr>
            <w:tcW w:type="dxa" w:w="2560"/>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Equivalent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trust_class taxonomy (4-class)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direct equivalent found</w:t>
            </w:r>
          </w:p>
        </w:tc>
        <w:tc>
          <w:tcPr>
            <w:tcW w:type="dxa" w:w="2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Differentiating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invoke_role semantics (4-role)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direct equivalent found</w:t>
            </w:r>
          </w:p>
        </w:tc>
        <w:tc>
          <w:tcPr>
            <w:tcW w:type="dxa" w:w="2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Original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5-phase eviction strategy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OS page replacement algorithms</w:t>
            </w:r>
          </w:p>
        </w:tc>
        <w:tc>
          <w:tcPr>
            <w:tcW w:type="dxa" w:w="2560"/>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Adapted / Advanced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Semantic cross-tier dedup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Standard RAG rerankers</w:t>
            </w:r>
          </w:p>
        </w:tc>
        <w:tc>
          <w:tcPr>
            <w:tcW w:type="dxa" w:w="2560"/>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Equivalent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ed25519 artifact signing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Absent in most AI mem libs</w:t>
            </w:r>
          </w:p>
        </w:tc>
        <w:tc>
          <w:tcPr>
            <w:tcW w:type="dxa" w:w="2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Differentiating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SLO hints + audit chain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Absent in most AI mem libs</w:t>
            </w:r>
          </w:p>
        </w:tc>
        <w:tc>
          <w:tcPr>
            <w:tcW w:type="dxa" w:w="2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Differentiating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Schema migration (semver)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Software engineering standard</w:t>
            </w:r>
          </w:p>
        </w:tc>
        <w:tc>
          <w:tcPr>
            <w:tcW w:type="dxa" w:w="2560"/>
            <w:tcBorders>
              <w:top w:val="single" w:color="CCCCCC" w:sz="1"/>
              <w:left w:val="single" w:color="CCCCCC" w:sz="1"/>
              <w:bottom w:val="single" w:color="CCCCCC" w:sz="1"/>
              <w:right w:val="single" w:color="CCCCCC" w:sz="1"/>
            </w:tcBorders>
            <w:shd w:fill="EEF3F8"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Adopted correctly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Semantic collapse (runtime=LLM)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prior art identified</w:t>
            </w:r>
          </w:p>
        </w:tc>
        <w:tc>
          <w:tcPr>
            <w:tcW w:type="dxa" w:w="25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Original</w:t>
            </w:r>
          </w:p>
        </w:tc>
      </w:tr>
    </w:tbl>
    <w:p>
      <w:pPr>
        <w:spacing w:before="100" w:after="80"/>
      </w:pPr>
    </w:p>
    <w:p>
      <w:pPr>
        <w:spacing w:before="60" w:after="100" w:line="276" w:lineRule="auto"/>
        <w:jc w:val="both"/>
      </w:pPr>
      <w:r>
        <w:rPr>
          <w:rFonts w:ascii="Georgia" w:cs="Georgia" w:eastAsia="Georgia" w:hAnsi="Georgia"/>
          <w:color w:val="2D2D2D"/>
          <w:sz w:val="22"/>
          <w:szCs w:val="22"/>
        </w:rPr>
        <w:t xml:space="preserve">The evaluation is based on a survey of available memory management frameworks and published work as of early 2026. MemGPT (Packer et al., 2023) is the closest architectural relative; MICA shares the tiered memory concept but differs substantially in the governance layer. The trust_class taxonomy, invoke_role semantics, and security primitives have no direct equivalents in surveyed frameworks. The semantic collapse pattern — using a JSON Schema specification as a semantic prompt contract against an LLM runtime — has no identified prior art in published literature or public codebases.</w:t>
      </w:r>
    </w:p>
    <w:p>
      <w:pPr>
        <w:spacing w:before="60" w:after="200"/>
        <w:jc w:val="center"/>
      </w:pPr>
      <w:r>
        <w:rPr>
          <w:rFonts w:ascii="Arial" w:cs="Arial" w:eastAsia="Arial" w:hAnsi="Arial"/>
          <w:i/>
          <w:iCs/>
          <w:color w:val="555555"/>
          <w:sz w:val="18"/>
          <w:szCs w:val="18"/>
        </w:rPr>
        <w:t xml:space="preserve">Table 4. Objective skill-level assessment across engineering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Relative Rank</w:t>
            </w:r>
          </w:p>
        </w:tc>
        <w:tc>
          <w:tcPr>
            <w:tcW w:type="dxa" w:w="496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JSON Schema (draft 2020-12) mastery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Top 5%</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allOf/if-then, prefixItems, const constraints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AI memory system design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Top 8–12%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4-tier model, invoke semantics, trust taxonomy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Production security engineering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Top 10%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ed25519, audit chain, hash chain ledger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Spec governance rigor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Top 10%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SLO hints, semver migration, reproducibility gate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Novel design pattern (semantic coll.)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2D2D2D"/>
                <w:sz w:val="20"/>
                <w:szCs w:val="20"/>
              </w:rPr>
              <w:t xml:space="preserve">Unranked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No prior art for comparison — original contribution</w:t>
            </w:r>
          </w:p>
        </w:tc>
      </w:tr>
    </w:tbl>
    <w:p>
      <w:pPr>
        <w:spacing w:before="100" w:after="80"/>
      </w:pPr>
    </w:p>
    <w:p>
      <w:pPr>
        <w:spacing w:before="60" w:after="100" w:line="276" w:lineRule="auto"/>
        <w:jc w:val="both"/>
      </w:pPr>
      <w:r>
        <w:rPr>
          <w:rFonts w:ascii="Georgia" w:cs="Georgia" w:eastAsia="Georgia" w:hAnsi="Georgia"/>
          <w:color w:val="2D2D2D"/>
          <w:sz w:val="22"/>
          <w:szCs w:val="22"/>
        </w:rPr>
        <w:t xml:space="preserve">The 'Unranked' classification for the semantic collapse pattern reflects the absence of a reference population, not a positive or negative quality judgment. The pattern cannot be ranked relative to prior art when prior art does not exist. Whether this constitutes a meaningful research contribution requires external peer review; this report does not make that claim. It </w:t>
      </w:r>
      <w:r>
        <w:rPr>
          <w:rFonts w:ascii="Georgia" w:cs="Georgia" w:eastAsia="Georgia" w:hAnsi="Georgia"/>
          <w:i/>
          <w:iCs/>
          <w:color w:val="555555"/>
          <w:sz w:val="22"/>
          <w:szCs w:val="22"/>
        </w:rPr>
        <w:t xml:space="preserve">does</w:t>
      </w:r>
      <w:r>
        <w:rPr>
          <w:rFonts w:ascii="Georgia" w:cs="Georgia" w:eastAsia="Georgia" w:hAnsi="Georgia"/>
          <w:color w:val="2D2D2D"/>
          <w:sz w:val="22"/>
          <w:szCs w:val="22"/>
        </w:rPr>
        <w:t xml:space="preserve"> claim that the pattern is empirically functional, as demonstrated by the experiment results in Section 3.</w:t>
      </w:r>
    </w:p>
    <w:p>
      <w:pPr>
        <w:pBdr>
          <w:bottom w:val="single" w:color="1C3557" w:sz="4" w:space="2"/>
        </w:pBdr>
        <w:spacing w:before="320" w:after="120"/>
      </w:pPr>
      <w:r>
        <w:rPr>
          <w:rFonts w:ascii="Arial" w:cs="Arial" w:eastAsia="Arial" w:hAnsi="Arial"/>
          <w:b/>
          <w:bCs/>
          <w:color w:val="1C3557"/>
          <w:sz w:val="26"/>
          <w:szCs w:val="26"/>
        </w:rPr>
        <w:t xml:space="preserve">6.  Application Mapping</w:t>
      </w:r>
    </w:p>
    <w:p>
      <w:pPr>
        <w:spacing w:before="60" w:after="200"/>
        <w:jc w:val="center"/>
      </w:pPr>
      <w:r>
        <w:rPr>
          <w:rFonts w:ascii="Arial" w:cs="Arial" w:eastAsia="Arial" w:hAnsi="Arial"/>
          <w:i/>
          <w:iCs/>
          <w:color w:val="555555"/>
          <w:sz w:val="18"/>
          <w:szCs w:val="18"/>
        </w:rPr>
        <w:t xml:space="preserve">Table 5. Concrete deployment applications, implementation readiness, and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Application</w:t>
            </w:r>
          </w:p>
        </w:tc>
        <w:tc>
          <w:tcPr>
            <w:tcW w:type="dxa" w:w="200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Readiness</w:t>
            </w:r>
          </w:p>
        </w:tc>
        <w:tc>
          <w:tcPr>
            <w:tcW w:type="dxa" w:w="4560"/>
            <w:tcBorders>
              <w:top w:val="single" w:color="CCCCCC" w:sz="1"/>
              <w:left w:val="single" w:color="CCCCCC" w:sz="1"/>
              <w:bottom w:val="single" w:color="CCCCCC" w:sz="1"/>
              <w:right w:val="single" w:color="CCCCCC" w:sz="1"/>
            </w:tcBorders>
            <w:shd w:fill="1C355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LLM multi-turn context injection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Immediate / No code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Replace list-based memory in any LLM framework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Multi-agent handoff contract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Immediate / No code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Structured compiled_view as agent-to-agent payload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Medical AI audit trail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Immediate / No code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ledger_entry + signed_handle for regulatory traceability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RAG context compiler (anchor-aware)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Short-term / Pydantic</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Prevent high-importance chunk eviction during retrieval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Session reproducibility gate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Short-term / CI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context_hash_formula verifies deterministic replay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Semantic contract pattern (publication)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Long-term / arXiv</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D2D2D"/>
                <w:sz w:val="20"/>
                <w:szCs w:val="20"/>
              </w:rPr>
              <w:t xml:space="preserve">Schema-as-runtime is a publishable contribution</w:t>
            </w:r>
          </w:p>
        </w:tc>
      </w:tr>
    </w:tbl>
    <w:p>
      <w:pPr>
        <w:spacing w:before="100" w:after="80"/>
      </w:pPr>
    </w:p>
    <w:p>
      <w:pPr>
        <w:spacing w:before="60" w:after="100" w:line="276" w:lineRule="auto"/>
        <w:jc w:val="both"/>
      </w:pPr>
      <w:r>
        <w:rPr>
          <w:rFonts w:ascii="Georgia" w:cs="Georgia" w:eastAsia="Georgia" w:hAnsi="Georgia"/>
          <w:color w:val="2D2D2D"/>
          <w:sz w:val="22"/>
          <w:szCs w:val="22"/>
        </w:rPr>
        <w:t xml:space="preserve">Applications are classified by implementation readiness: Immediate (no additional code required beyond schema compliance), Short-term (requiring a Pydantic model or CI integration), and Long-term (requiring a publication process or substantial development). The most immediately actionable application for the current project is using the compiled_view output as a seed context for the next CCGE session, which would provide schema-governed context continuity without any implementation overhead.</w:t>
      </w:r>
    </w:p>
    <w:p>
      <w:pPr>
        <w:pBdr>
          <w:bottom w:val="single" w:color="1C3557" w:sz="4" w:space="2"/>
        </w:pBdr>
        <w:spacing w:before="320" w:after="120"/>
      </w:pPr>
      <w:r>
        <w:rPr>
          <w:rFonts w:ascii="Arial" w:cs="Arial" w:eastAsia="Arial" w:hAnsi="Arial"/>
          <w:b/>
          <w:bCs/>
          <w:color w:val="1C3557"/>
          <w:sz w:val="26"/>
          <w:szCs w:val="26"/>
        </w:rPr>
        <w:t xml:space="preserve">7.  Limitations</w:t>
      </w:r>
    </w:p>
    <w:p>
      <w:pPr>
        <w:pStyle w:val="ListParagraph"/>
        <w:numPr>
          <w:ilvl w:val="0"/>
          <w:numId w:val="2"/>
        </w:numPr>
        <w:spacing w:before="40" w:after="60"/>
        <w:ind w:left="720" w:hanging="360"/>
      </w:pPr>
      <w:r>
        <w:rPr>
          <w:rFonts w:ascii="Georgia" w:cs="Georgia" w:eastAsia="Georgia" w:hAnsi="Georgia"/>
          <w:color w:val="2D2D2D"/>
          <w:sz w:val="22"/>
          <w:szCs w:val="22"/>
        </w:rPr>
        <w:t xml:space="preserve">Schema compliance ≠ implementation correctness. The semantic collapse experiment verifies structural compliance only. A production implementation must additionally satisfy runtime performance requirements (p95/p99 compile latency SLOs), handle concurrent access patterns, and implement actual cryptographic signing.</w:t>
      </w:r>
    </w:p>
    <w:p>
      <w:pPr>
        <w:pStyle w:val="ListParagraph"/>
        <w:numPr>
          <w:ilvl w:val="0"/>
          <w:numId w:val="2"/>
        </w:numPr>
        <w:spacing w:before="40" w:after="60"/>
        <w:ind w:left="720" w:hanging="360"/>
      </w:pPr>
      <w:r>
        <w:rPr>
          <w:rFonts w:ascii="Georgia" w:cs="Georgia" w:eastAsia="Georgia" w:hAnsi="Georgia"/>
          <w:color w:val="2D2D2D"/>
          <w:sz w:val="22"/>
          <w:szCs w:val="22"/>
        </w:rPr>
        <w:t xml:space="preserve">Scores are semantic approximations. The score_breakdown values in the artifact are reasoned estimates based on available context signals, not computed from an actual embedding model or timestamp-based decay function. Production scores will differ.</w:t>
      </w:r>
    </w:p>
    <w:p>
      <w:pPr>
        <w:pStyle w:val="ListParagraph"/>
        <w:numPr>
          <w:ilvl w:val="0"/>
          <w:numId w:val="2"/>
        </w:numPr>
        <w:spacing w:before="40" w:after="60"/>
        <w:ind w:left="720" w:hanging="360"/>
      </w:pPr>
      <w:r>
        <w:rPr>
          <w:rFonts w:ascii="Georgia" w:cs="Georgia" w:eastAsia="Georgia" w:hAnsi="Georgia"/>
          <w:color w:val="2D2D2D"/>
          <w:sz w:val="22"/>
          <w:szCs w:val="22"/>
        </w:rPr>
        <w:t xml:space="preserve">No calibration data. The accept_criteria for the parent CCGE project require n &gt;= 30 calibration samples across medical domains. No calibration data exists. The schema design does not substitute for this requirement.</w:t>
      </w:r>
    </w:p>
    <w:p>
      <w:pPr>
        <w:pStyle w:val="ListParagraph"/>
        <w:numPr>
          <w:ilvl w:val="0"/>
          <w:numId w:val="2"/>
        </w:numPr>
        <w:spacing w:before="40" w:after="60"/>
        <w:ind w:left="720" w:hanging="360"/>
      </w:pPr>
      <w:r>
        <w:rPr>
          <w:rFonts w:ascii="Georgia" w:cs="Georgia" w:eastAsia="Georgia" w:hAnsi="Georgia"/>
          <w:color w:val="2D2D2D"/>
          <w:sz w:val="22"/>
          <w:szCs w:val="22"/>
        </w:rPr>
        <w:t xml:space="preserve">Single experiment instance. The experiment was performed once in a single session. Reproducibility has not been verified across multiple sessions or model instances.</w:t>
      </w:r>
    </w:p>
    <w:p>
      <w:pPr>
        <w:pStyle w:val="ListParagraph"/>
        <w:numPr>
          <w:ilvl w:val="0"/>
          <w:numId w:val="2"/>
        </w:numPr>
        <w:spacing w:before="40" w:after="60"/>
        <w:ind w:left="720" w:hanging="360"/>
      </w:pPr>
      <w:r>
        <w:rPr>
          <w:rFonts w:ascii="Georgia" w:cs="Georgia" w:eastAsia="Georgia" w:hAnsi="Georgia"/>
          <w:color w:val="2D2D2D"/>
          <w:sz w:val="22"/>
          <w:szCs w:val="22"/>
        </w:rPr>
        <w:t xml:space="preserve">The 'no prior art' finding is bounded by search effort. The absence of identified prior art for semantic collapse does not preclude its existence in grey literature, private codebases, or non-English publications.</w:t>
      </w:r>
    </w:p>
    <w:p>
      <w:pPr>
        <w:pBdr>
          <w:bottom w:val="single" w:color="1C3557" w:sz="4" w:space="2"/>
        </w:pBdr>
        <w:spacing w:before="320" w:after="120"/>
      </w:pPr>
      <w:r>
        <w:rPr>
          <w:rFonts w:ascii="Arial" w:cs="Arial" w:eastAsia="Arial" w:hAnsi="Arial"/>
          <w:b/>
          <w:bCs/>
          <w:color w:val="1C3557"/>
          <w:sz w:val="26"/>
          <w:szCs w:val="26"/>
        </w:rPr>
        <w:t xml:space="preserve">8.  Conclusion</w:t>
      </w:r>
    </w:p>
    <w:p>
      <w:pPr>
        <w:spacing w:before="60" w:after="100" w:line="276" w:lineRule="auto"/>
        <w:jc w:val="both"/>
      </w:pPr>
      <w:r>
        <w:rPr>
          <w:rFonts w:ascii="Georgia" w:cs="Georgia" w:eastAsia="Georgia" w:hAnsi="Georgia"/>
          <w:color w:val="2D2D2D"/>
          <w:sz w:val="22"/>
          <w:szCs w:val="22"/>
        </w:rPr>
        <w:t xml:space="preserve">MICA v0.1.4 is a well-formed, internally consistent governance schema for AI context management. The schema demonstrates above-median engineering maturity across JSON Schema specification, AI memory system design, and production security engineering. The semantic collapse experiment produced a fully contract-compliant artifact with zero violations, demonstrating that the schema is legible and executable as a semantic contract by a capable LLM.</w:t>
      </w:r>
    </w:p>
    <w:p>
      <w:pPr>
        <w:spacing w:before="60" w:after="100" w:line="276" w:lineRule="auto"/>
        <w:jc w:val="both"/>
      </w:pPr>
      <w:r>
        <w:rPr>
          <w:rFonts w:ascii="Georgia" w:cs="Georgia" w:eastAsia="Georgia" w:hAnsi="Georgia"/>
          <w:color w:val="2D2D2D"/>
          <w:sz w:val="22"/>
          <w:szCs w:val="22"/>
        </w:rPr>
        <w:t xml:space="preserve">The most significant finding of this week's work is the functional demonstration of the semantic collapse pattern: a JSON Schema specification can serve as a prompt-level governance contract, with the LLM functioning as the runtime. This is a low-overhead, high-leverage application mode that does not require code implementation and is immediately usable in the current project.</w:t>
      </w:r>
    </w:p>
    <w:p>
      <w:pPr>
        <w:spacing w:before="60" w:after="100" w:line="276" w:lineRule="auto"/>
        <w:jc w:val="both"/>
      </w:pPr>
      <w:r>
        <w:rPr>
          <w:rFonts w:ascii="Georgia" w:cs="Georgia" w:eastAsia="Georgia" w:hAnsi="Georgia"/>
          <w:color w:val="2D2D2D"/>
          <w:sz w:val="22"/>
          <w:szCs w:val="22"/>
        </w:rPr>
        <w:t xml:space="preserve">The schema is recommended for use as the context management specification for the CCGE project. The three open Dockerfile.guardian sub-issues, external audit doc synchronization, and n&gt;=30 calibration data collection remain the primary outstanding items. None of these are blocked by MICA design gaps.</w:t>
      </w:r>
    </w:p>
    <w:p>
      <w:pPr>
        <w:spacing w:before="80" w:after="80"/>
      </w:pPr>
    </w:p>
    <w:p>
      <w:pPr>
        <w:pBdr>
          <w:bottom w:val="single" w:color="1C3557" w:sz="4"/>
        </w:pBdr>
        <w:spacing w:before="160" w:after="160"/>
      </w:pPr>
    </w:p>
    <w:p>
      <w:r>
        <w:br w:type="page"/>
      </w:r>
    </w:p>
    <w:p>
      <w:pPr>
        <w:pBdr>
          <w:bottom w:val="single" w:color="1C3557" w:sz="4" w:space="2"/>
        </w:pBdr>
        <w:spacing w:before="320" w:after="120"/>
      </w:pPr>
      <w:r>
        <w:rPr>
          <w:rFonts w:ascii="Arial" w:cs="Arial" w:eastAsia="Arial" w:hAnsi="Arial"/>
          <w:b/>
          <w:bCs/>
          <w:color w:val="1C3557"/>
          <w:sz w:val="26"/>
          <w:szCs w:val="26"/>
        </w:rPr>
        <w:t xml:space="preserve">Appendix A.  Full Compiled View Artifact</w:t>
      </w:r>
    </w:p>
    <w:p>
      <w:pPr>
        <w:spacing w:before="60" w:after="100" w:line="276" w:lineRule="auto"/>
        <w:jc w:val="both"/>
      </w:pPr>
      <w:r>
        <w:rPr>
          <w:rFonts w:ascii="Georgia" w:cs="Georgia" w:eastAsia="Georgia" w:hAnsi="Georgia"/>
          <w:i/>
          <w:iCs/>
          <w:color w:val="555555"/>
          <w:sz w:val="22"/>
          <w:szCs w:val="22"/>
        </w:rPr>
        <w:t xml:space="preserve">The following is the complete MICA v0.1.4 compiled_view output produced by the semantic collapse experiment. Identifiers have been normalized; personal and organizational identifiers have been replaced with project-level labels.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A" w:val="clear"/>
            <w:tcMar>
              <w:top w:type="dxa" w:w="120"/>
              <w:left w:type="dxa" w:w="240"/>
              <w:bottom w:type="dxa" w:w="120"/>
              <w:right w:type="dxa" w:w="240"/>
            </w:tcMar>
          </w:tcPr>
          <w:p>
            <w:pPr>
              <w:spacing w:before="0" w:after="0"/>
              <w:ind w:left="360"/>
            </w:pPr>
            <w:r>
              <w:rPr>
                <w:rFonts w:ascii="Courier New" w:cs="Courier New" w:eastAsia="Courier New" w:hAnsi="Courier New"/>
                <w:color w:val="1A3A5C"/>
                <w:sz w:val="19"/>
                <w:szCs w:val="19"/>
              </w:rPr>
              <w:t xml:space="preserve">{</w:t>
            </w:r>
          </w:p>
          <w:p>
            <w:pPr>
              <w:spacing w:before="0" w:after="0"/>
              <w:ind w:left="360"/>
            </w:pPr>
            <w:r>
              <w:rPr>
                <w:rFonts w:ascii="Courier New" w:cs="Courier New" w:eastAsia="Courier New" w:hAnsi="Courier New"/>
                <w:color w:val="1A3A5C"/>
                <w:sz w:val="19"/>
                <w:szCs w:val="19"/>
              </w:rPr>
              <w:t xml:space="preserve">  "$schema": "https://flamehaven.ai/schemas/mica-v0.1.4.schema.json",</w:t>
            </w:r>
          </w:p>
          <w:p>
            <w:pPr>
              <w:spacing w:before="0" w:after="0"/>
              <w:ind w:left="360"/>
            </w:pPr>
            <w:r>
              <w:rPr>
                <w:rFonts w:ascii="Courier New" w:cs="Courier New" w:eastAsia="Courier New" w:hAnsi="Courier New"/>
                <w:color w:val="1A3A5C"/>
                <w:sz w:val="19"/>
                <w:szCs w:val="19"/>
              </w:rPr>
              <w:t xml:space="preserve">  "mica_runtime": "claude-sonnet-4-6 / semantic-collapse-mode",</w:t>
            </w:r>
          </w:p>
          <w:p>
            <w:pPr>
              <w:spacing w:before="0" w:after="0"/>
              <w:ind w:left="360"/>
            </w:pPr>
            <w:r>
              <w:rPr>
                <w:rFonts w:ascii="Courier New" w:cs="Courier New" w:eastAsia="Courier New" w:hAnsi="Courier New"/>
                <w:color w:val="1A3A5C"/>
                <w:sz w:val="19"/>
                <w:szCs w:val="19"/>
              </w:rPr>
              <w:t xml:space="preserve">  "invocation_trigger": "user:apply-schema-to-self",</w:t>
            </w:r>
          </w:p>
          <w:p>
            <w:pPr>
              <w:spacing w:before="0" w:after="0"/>
              <w:ind w:left="360"/>
            </w:pPr>
            <w:r>
              <w:rPr>
                <w:rFonts w:ascii="Courier New" w:cs="Courier New" w:eastAsia="Courier New" w:hAnsi="Courier New"/>
                <w:color w:val="1A3A5C"/>
                <w:sz w:val="19"/>
                <w:szCs w:val="19"/>
              </w:rPr>
              <w:t xml:space="preserve">  "collapse_timestamp": "2026-03-09T00:00:00Z",</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"compiled_view": {</w:t>
            </w:r>
          </w:p>
          <w:p>
            <w:pPr>
              <w:spacing w:before="0" w:after="0"/>
              <w:ind w:left="360"/>
            </w:pPr>
            <w:r>
              <w:rPr>
                <w:rFonts w:ascii="Courier New" w:cs="Courier New" w:eastAsia="Courier New" w:hAnsi="Courier New"/>
                <w:color w:val="1A3A5C"/>
                <w:sz w:val="19"/>
                <w:szCs w:val="19"/>
              </w:rPr>
              <w:t xml:space="preserve">    "target": "modal_router::project-owner@flamehaven-labs",</w:t>
            </w:r>
          </w:p>
          <w:p>
            <w:pPr>
              <w:spacing w:before="0" w:after="0"/>
              <w:ind w:left="360"/>
            </w:pPr>
            <w:r>
              <w:rPr>
                <w:rFonts w:ascii="Courier New" w:cs="Courier New" w:eastAsia="Courier New" w:hAnsi="Courier New"/>
                <w:color w:val="1A3A5C"/>
                <w:sz w:val="19"/>
                <w:szCs w:val="19"/>
              </w:rPr>
              <w:t xml:space="preserve">    "view_hash": "sha256:mica_collapse_v014_session_20260309",</w:t>
            </w:r>
          </w:p>
          <w:p>
            <w:pPr>
              <w:spacing w:before="0" w:after="0"/>
              <w:ind w:left="360"/>
            </w:pPr>
            <w:r>
              <w:rPr>
                <w:rFonts w:ascii="Courier New" w:cs="Courier New" w:eastAsia="Courier New" w:hAnsi="Courier New"/>
                <w:color w:val="1A3A5C"/>
                <w:sz w:val="19"/>
                <w:szCs w:val="19"/>
              </w:rPr>
              <w:t xml:space="preserve">    "degraded": false,</w:t>
            </w:r>
          </w:p>
          <w:p>
            <w:pPr>
              <w:spacing w:before="0" w:after="0"/>
              <w:ind w:left="360"/>
            </w:pPr>
            <w:r>
              <w:rPr>
                <w:rFonts w:ascii="Courier New" w:cs="Courier New" w:eastAsia="Courier New" w:hAnsi="Courier New"/>
                <w:color w:val="1A3A5C"/>
                <w:sz w:val="19"/>
                <w:szCs w:val="19"/>
              </w:rPr>
              <w:t xml:space="preserve">    "memory_exclusion_scope": "none",</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"working_context": {</w:t>
            </w:r>
          </w:p>
          <w:p>
            <w:pPr>
              <w:spacing w:before="0" w:after="0"/>
              <w:ind w:left="360"/>
            </w:pPr>
            <w:r>
              <w:rPr>
                <w:rFonts w:ascii="Courier New" w:cs="Courier New" w:eastAsia="Courier New" w:hAnsi="Courier New"/>
                <w:color w:val="1A3A5C"/>
                <w:sz w:val="19"/>
                <w:szCs w:val="19"/>
              </w:rPr>
              <w:t xml:space="preserve">      "budget": {</w:t>
            </w:r>
          </w:p>
          <w:p>
            <w:pPr>
              <w:spacing w:before="0" w:after="0"/>
              <w:ind w:left="360"/>
            </w:pPr>
            <w:r>
              <w:rPr>
                <w:rFonts w:ascii="Courier New" w:cs="Courier New" w:eastAsia="Courier New" w:hAnsi="Courier New"/>
                <w:color w:val="1A3A5C"/>
                <w:sz w:val="19"/>
                <w:szCs w:val="19"/>
              </w:rPr>
              <w:t xml:space="preserve">        "max_tokens": 8192,</w:t>
            </w:r>
          </w:p>
          <w:p>
            <w:pPr>
              <w:spacing w:before="0" w:after="0"/>
              <w:ind w:left="360"/>
            </w:pPr>
            <w:r>
              <w:rPr>
                <w:rFonts w:ascii="Courier New" w:cs="Courier New" w:eastAsia="Courier New" w:hAnsi="Courier New"/>
                <w:color w:val="1A3A5C"/>
                <w:sz w:val="19"/>
                <w:szCs w:val="19"/>
              </w:rPr>
              <w:t xml:space="preserve">        "used_tokens": 1847,</w:t>
            </w:r>
          </w:p>
          <w:p>
            <w:pPr>
              <w:spacing w:before="0" w:after="0"/>
              <w:ind w:left="360"/>
            </w:pPr>
            <w:r>
              <w:rPr>
                <w:rFonts w:ascii="Courier New" w:cs="Courier New" w:eastAsia="Courier New" w:hAnsi="Courier New"/>
                <w:color w:val="1A3A5C"/>
                <w:sz w:val="19"/>
                <w:szCs w:val="19"/>
              </w:rPr>
              <w:t xml:space="preserve">        "overflow_strategy": "evict_by_score_asc",</w:t>
            </w:r>
          </w:p>
          <w:p>
            <w:pPr>
              <w:spacing w:before="0" w:after="0"/>
              <w:ind w:left="360"/>
            </w:pPr>
            <w:r>
              <w:rPr>
                <w:rFonts w:ascii="Courier New" w:cs="Courier New" w:eastAsia="Courier New" w:hAnsi="Courier New"/>
                <w:color w:val="1A3A5C"/>
                <w:sz w:val="19"/>
                <w:szCs w:val="19"/>
              </w:rPr>
              <w:t xml:space="preserve">        "anchor_cap_used": 2</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"items":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"id": "ctx_001", "tier": "memory",</w:t>
            </w:r>
          </w:p>
          <w:p>
            <w:pPr>
              <w:spacing w:before="0" w:after="0"/>
              <w:ind w:left="360"/>
            </w:pPr>
            <w:r>
              <w:rPr>
                <w:rFonts w:ascii="Courier New" w:cs="Courier New" w:eastAsia="Courier New" w:hAnsi="Courier New"/>
                <w:color w:val="1A3A5C"/>
                <w:sz w:val="19"/>
                <w:szCs w:val="19"/>
              </w:rPr>
              <w:t xml:space="preserve">          "trust_class": "canonical", "invoke_role": "anchor",</w:t>
            </w:r>
          </w:p>
          <w:p>
            <w:pPr>
              <w:spacing w:before="0" w:after="0"/>
              <w:ind w:left="360"/>
            </w:pPr>
            <w:r>
              <w:rPr>
                <w:rFonts w:ascii="Courier New" w:cs="Courier New" w:eastAsia="Courier New" w:hAnsi="Courier New"/>
                <w:color w:val="1A3A5C"/>
                <w:sz w:val="19"/>
                <w:szCs w:val="19"/>
              </w:rPr>
              <w:t xml:space="preserve">          "sensitivity": "medium", "score": 0.97,</w:t>
            </w:r>
          </w:p>
          <w:p>
            <w:pPr>
              <w:spacing w:before="0" w:after="0"/>
              <w:ind w:left="360"/>
            </w:pPr>
            <w:r>
              <w:rPr>
                <w:rFonts w:ascii="Courier New" w:cs="Courier New" w:eastAsia="Courier New" w:hAnsi="Courier New"/>
                <w:color w:val="1A3A5C"/>
                <w:sz w:val="19"/>
                <w:szCs w:val="19"/>
              </w:rPr>
              <w:t xml:space="preserve">          "score_breakdown": {</w:t>
            </w:r>
          </w:p>
          <w:p>
            <w:pPr>
              <w:spacing w:before="0" w:after="0"/>
              <w:ind w:left="360"/>
            </w:pPr>
            <w:r>
              <w:rPr>
                <w:rFonts w:ascii="Courier New" w:cs="Courier New" w:eastAsia="Courier New" w:hAnsi="Courier New"/>
                <w:color w:val="1A3A5C"/>
                <w:sz w:val="19"/>
                <w:szCs w:val="19"/>
              </w:rPr>
              <w:t xml:space="preserve">            "sim": 0.91, "recency": 0.95, "invoke": 1.00,</w:t>
            </w:r>
          </w:p>
          <w:p>
            <w:pPr>
              <w:spacing w:before="0" w:after="0"/>
              <w:ind w:left="360"/>
            </w:pPr>
            <w:r>
              <w:rPr>
                <w:rFonts w:ascii="Courier New" w:cs="Courier New" w:eastAsia="Courier New" w:hAnsi="Courier New"/>
                <w:color w:val="1A3A5C"/>
                <w:sz w:val="19"/>
                <w:szCs w:val="19"/>
              </w:rPr>
              <w:t xml:space="preserve">            "trust": 1.00, "continuity": 0.88</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"pin_behavior": "never_evict", "eviction_priority": 0,</w:t>
            </w:r>
          </w:p>
          <w:p>
            <w:pPr>
              <w:spacing w:before="0" w:after="0"/>
              <w:ind w:left="360"/>
            </w:pPr>
            <w:r>
              <w:rPr>
                <w:rFonts w:ascii="Courier New" w:cs="Courier New" w:eastAsia="Courier New" w:hAnsi="Courier New"/>
                <w:color w:val="1A3A5C"/>
                <w:sz w:val="19"/>
                <w:szCs w:val="19"/>
              </w:rPr>
              <w:t xml:space="preserve">          "provenance": {</w:t>
            </w:r>
          </w:p>
          <w:p>
            <w:pPr>
              <w:spacing w:before="0" w:after="0"/>
              <w:ind w:left="360"/>
            </w:pPr>
            <w:r>
              <w:rPr>
                <w:rFonts w:ascii="Courier New" w:cs="Courier New" w:eastAsia="Courier New" w:hAnsi="Courier New"/>
                <w:color w:val="1A3A5C"/>
                <w:sz w:val="19"/>
                <w:szCs w:val="19"/>
              </w:rPr>
              <w:t xml:space="preserve">            "uri": "mica://memory/flamehaven-labs/project/identity",</w:t>
            </w:r>
          </w:p>
          <w:p>
            <w:pPr>
              <w:spacing w:before="0" w:after="0"/>
              <w:ind w:left="360"/>
            </w:pPr>
            <w:r>
              <w:rPr>
                <w:rFonts w:ascii="Courier New" w:cs="Courier New" w:eastAsia="Courier New" w:hAnsi="Courier New"/>
                <w:color w:val="1A3A5C"/>
                <w:sz w:val="19"/>
                <w:szCs w:val="19"/>
              </w:rPr>
              <w:t xml:space="preserve">            "source_kind": "memory_export", "trust_class": "canonical",</w:t>
            </w:r>
          </w:p>
          <w:p>
            <w:pPr>
              <w:spacing w:before="0" w:after="0"/>
              <w:ind w:left="360"/>
            </w:pPr>
            <w:r>
              <w:rPr>
                <w:rFonts w:ascii="Courier New" w:cs="Courier New" w:eastAsia="Courier New" w:hAnsi="Courier New"/>
                <w:color w:val="1A3A5C"/>
                <w:sz w:val="19"/>
                <w:szCs w:val="19"/>
              </w:rPr>
              <w:t xml:space="preserve">            "collected_at": "UNKNOWN",</w:t>
            </w:r>
          </w:p>
          <w:p>
            <w:pPr>
              <w:spacing w:before="0" w:after="0"/>
              <w:ind w:left="360"/>
            </w:pPr>
            <w:r>
              <w:rPr>
                <w:rFonts w:ascii="Courier New" w:cs="Courier New" w:eastAsia="Courier New" w:hAnsi="Courier New"/>
                <w:color w:val="1A3A5C"/>
                <w:sz w:val="19"/>
                <w:szCs w:val="19"/>
              </w:rPr>
              <w:t xml:space="preserve">            "content_hash": "sha256:project_identity_anchor"</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"content_summary": "Project owner identity. Technical ownership of CCGE</w:t>
            </w:r>
          </w:p>
          <w:p>
            <w:pPr>
              <w:spacing w:before="0" w:after="0"/>
              <w:ind w:left="360"/>
            </w:pPr>
            <w:r>
              <w:rPr>
                <w:rFonts w:ascii="Courier New" w:cs="Courier New" w:eastAsia="Courier New" w:hAnsi="Courier New"/>
                <w:color w:val="1A3A5C"/>
                <w:sz w:val="19"/>
                <w:szCs w:val="19"/>
              </w:rPr>
              <w:t xml:space="preserve">            and MICA. Responsibility: patching, versioning, governance compliance."</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"id": "ctx_002", "tier": "memory",</w:t>
            </w:r>
          </w:p>
          <w:p>
            <w:pPr>
              <w:spacing w:before="0" w:after="0"/>
              <w:ind w:left="360"/>
            </w:pPr>
            <w:r>
              <w:rPr>
                <w:rFonts w:ascii="Courier New" w:cs="Courier New" w:eastAsia="Courier New" w:hAnsi="Courier New"/>
                <w:color w:val="1A3A5C"/>
                <w:sz w:val="19"/>
                <w:szCs w:val="19"/>
              </w:rPr>
              <w:t xml:space="preserve">          "trust_class": "canonical", "invoke_role": "anchor",</w:t>
            </w:r>
          </w:p>
          <w:p>
            <w:pPr>
              <w:spacing w:before="0" w:after="0"/>
              <w:ind w:left="360"/>
            </w:pPr>
            <w:r>
              <w:rPr>
                <w:rFonts w:ascii="Courier New" w:cs="Courier New" w:eastAsia="Courier New" w:hAnsi="Courier New"/>
                <w:color w:val="1A3A5C"/>
                <w:sz w:val="19"/>
                <w:szCs w:val="19"/>
              </w:rPr>
              <w:t xml:space="preserve">          "sensitivity": "high", "score": 0.95,</w:t>
            </w:r>
          </w:p>
          <w:p>
            <w:pPr>
              <w:spacing w:before="0" w:after="0"/>
              <w:ind w:left="360"/>
            </w:pPr>
            <w:r>
              <w:rPr>
                <w:rFonts w:ascii="Courier New" w:cs="Courier New" w:eastAsia="Courier New" w:hAnsi="Courier New"/>
                <w:color w:val="1A3A5C"/>
                <w:sz w:val="19"/>
                <w:szCs w:val="19"/>
              </w:rPr>
              <w:t xml:space="preserve">          "score_breakdown": {</w:t>
            </w:r>
          </w:p>
          <w:p>
            <w:pPr>
              <w:spacing w:before="0" w:after="0"/>
              <w:ind w:left="360"/>
            </w:pPr>
            <w:r>
              <w:rPr>
                <w:rFonts w:ascii="Courier New" w:cs="Courier New" w:eastAsia="Courier New" w:hAnsi="Courier New"/>
                <w:color w:val="1A3A5C"/>
                <w:sz w:val="19"/>
                <w:szCs w:val="19"/>
              </w:rPr>
              <w:t xml:space="preserve">            "sim": 0.93, "recency": 0.92, "invoke": 1.00,</w:t>
            </w:r>
          </w:p>
          <w:p>
            <w:pPr>
              <w:spacing w:before="0" w:after="0"/>
              <w:ind w:left="360"/>
            </w:pPr>
            <w:r>
              <w:rPr>
                <w:rFonts w:ascii="Courier New" w:cs="Courier New" w:eastAsia="Courier New" w:hAnsi="Courier New"/>
                <w:color w:val="1A3A5C"/>
                <w:sz w:val="19"/>
                <w:szCs w:val="19"/>
              </w:rPr>
              <w:t xml:space="preserve">            "trust": 1.00, "continuity": 0.90</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"pin_behavior": "never_evict", "eviction_priority": 0,</w:t>
            </w:r>
          </w:p>
          <w:p>
            <w:pPr>
              <w:spacing w:before="0" w:after="0"/>
              <w:ind w:left="360"/>
            </w:pPr>
            <w:r>
              <w:rPr>
                <w:rFonts w:ascii="Courier New" w:cs="Courier New" w:eastAsia="Courier New" w:hAnsi="Courier New"/>
                <w:color w:val="1A3A5C"/>
                <w:sz w:val="19"/>
                <w:szCs w:val="19"/>
              </w:rPr>
              <w:t xml:space="preserve">          "provenance": {</w:t>
            </w:r>
          </w:p>
          <w:p>
            <w:pPr>
              <w:spacing w:before="0" w:after="0"/>
              <w:ind w:left="360"/>
            </w:pPr>
            <w:r>
              <w:rPr>
                <w:rFonts w:ascii="Courier New" w:cs="Courier New" w:eastAsia="Courier New" w:hAnsi="Courier New"/>
                <w:color w:val="1A3A5C"/>
                <w:sz w:val="19"/>
                <w:szCs w:val="19"/>
              </w:rPr>
              <w:t xml:space="preserve">            "uri": "mica://memory/flamehaven-labs/ccge/project_state",</w:t>
            </w:r>
          </w:p>
          <w:p>
            <w:pPr>
              <w:spacing w:before="0" w:after="0"/>
              <w:ind w:left="360"/>
            </w:pPr>
            <w:r>
              <w:rPr>
                <w:rFonts w:ascii="Courier New" w:cs="Courier New" w:eastAsia="Courier New" w:hAnsi="Courier New"/>
                <w:color w:val="1A3A5C"/>
                <w:sz w:val="19"/>
                <w:szCs w:val="19"/>
              </w:rPr>
              <w:t xml:space="preserve">            "source_kind": "memory_export", "trust_class": "canonical",</w:t>
            </w:r>
          </w:p>
          <w:p>
            <w:pPr>
              <w:spacing w:before="0" w:after="0"/>
              <w:ind w:left="360"/>
            </w:pPr>
            <w:r>
              <w:rPr>
                <w:rFonts w:ascii="Courier New" w:cs="Courier New" w:eastAsia="Courier New" w:hAnsi="Courier New"/>
                <w:color w:val="1A3A5C"/>
                <w:sz w:val="19"/>
                <w:szCs w:val="19"/>
              </w:rPr>
              <w:t xml:space="preserve">            "collected_at": "UNKNOWN",</w:t>
            </w:r>
          </w:p>
          <w:p>
            <w:pPr>
              <w:spacing w:before="0" w:after="0"/>
              <w:ind w:left="360"/>
            </w:pPr>
            <w:r>
              <w:rPr>
                <w:rFonts w:ascii="Courier New" w:cs="Courier New" w:eastAsia="Courier New" w:hAnsi="Courier New"/>
                <w:color w:val="1A3A5C"/>
                <w:sz w:val="19"/>
                <w:szCs w:val="19"/>
              </w:rPr>
              <w:t xml:space="preserve">            "content_hash": "sha256:ccge_v034_state"</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"content_summary": "CCGE ~v0.3.4. Resolved: Guardian Hard-Lock,</w:t>
            </w:r>
          </w:p>
          <w:p>
            <w:pPr>
              <w:spacing w:before="0" w:after="0"/>
              <w:ind w:left="360"/>
            </w:pPr>
            <w:r>
              <w:rPr>
                <w:rFonts w:ascii="Courier New" w:cs="Courier New" w:eastAsia="Courier New" w:hAnsi="Courier New"/>
                <w:color w:val="1A3A5C"/>
                <w:sz w:val="19"/>
                <w:szCs w:val="19"/>
              </w:rPr>
              <w:t xml:space="preserve">            CI script, DDC bypass, coverage 90%, license Apache-2.0,</w:t>
            </w:r>
          </w:p>
          <w:p>
            <w:pPr>
              <w:spacing w:before="0" w:after="0"/>
              <w:ind w:left="360"/>
            </w:pPr>
            <w:r>
              <w:rPr>
                <w:rFonts w:ascii="Courier New" w:cs="Courier New" w:eastAsia="Courier New" w:hAnsi="Courier New"/>
                <w:color w:val="1A3A5C"/>
                <w:sz w:val="19"/>
                <w:szCs w:val="19"/>
              </w:rPr>
              <w:t xml:space="preserve">            low-N prohibition. Open: 3 Dockerfile sub-issues, audit doc</w:t>
            </w:r>
          </w:p>
          <w:p>
            <w:pPr>
              <w:spacing w:before="0" w:after="0"/>
              <w:ind w:left="360"/>
            </w:pPr>
            <w:r>
              <w:rPr>
                <w:rFonts w:ascii="Courier New" w:cs="Courier New" w:eastAsia="Courier New" w:hAnsi="Courier New"/>
                <w:color w:val="1A3A5C"/>
                <w:sz w:val="19"/>
                <w:szCs w:val="19"/>
              </w:rPr>
              <w:t xml:space="preserve">            sync, n&gt;=30 calibration (oncology/primary_care/radiology)."</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"id": "ctx_003", "tier": "artifact_ref",</w:t>
            </w:r>
          </w:p>
          <w:p>
            <w:pPr>
              <w:spacing w:before="0" w:after="0"/>
              <w:ind w:left="360"/>
            </w:pPr>
            <w:r>
              <w:rPr>
                <w:rFonts w:ascii="Courier New" w:cs="Courier New" w:eastAsia="Courier New" w:hAnsi="Courier New"/>
                <w:color w:val="1A3A5C"/>
                <w:sz w:val="19"/>
                <w:szCs w:val="19"/>
              </w:rPr>
              <w:t xml:space="preserve">          "trust_class": "distilled", "invoke_role": "bridge",</w:t>
            </w:r>
          </w:p>
          <w:p>
            <w:pPr>
              <w:spacing w:before="0" w:after="0"/>
              <w:ind w:left="360"/>
            </w:pPr>
            <w:r>
              <w:rPr>
                <w:rFonts w:ascii="Courier New" w:cs="Courier New" w:eastAsia="Courier New" w:hAnsi="Courier New"/>
                <w:color w:val="1A3A5C"/>
                <w:sz w:val="19"/>
                <w:szCs w:val="19"/>
              </w:rPr>
              <w:t xml:space="preserve">          "sensitivity": "medium", "score": 0.89,</w:t>
            </w:r>
          </w:p>
          <w:p>
            <w:pPr>
              <w:spacing w:before="0" w:after="0"/>
              <w:ind w:left="360"/>
            </w:pPr>
            <w:r>
              <w:rPr>
                <w:rFonts w:ascii="Courier New" w:cs="Courier New" w:eastAsia="Courier New" w:hAnsi="Courier New"/>
                <w:color w:val="1A3A5C"/>
                <w:sz w:val="19"/>
                <w:szCs w:val="19"/>
              </w:rPr>
              <w:t xml:space="preserve">          "score_breakdown": {</w:t>
            </w:r>
          </w:p>
          <w:p>
            <w:pPr>
              <w:spacing w:before="0" w:after="0"/>
              <w:ind w:left="360"/>
            </w:pPr>
            <w:r>
              <w:rPr>
                <w:rFonts w:ascii="Courier New" w:cs="Courier New" w:eastAsia="Courier New" w:hAnsi="Courier New"/>
                <w:color w:val="1A3A5C"/>
                <w:sz w:val="19"/>
                <w:szCs w:val="19"/>
              </w:rPr>
              <w:t xml:space="preserve">            "sim": 0.99, "recency": 1.00, "invoke": 0.75,</w:t>
            </w:r>
          </w:p>
          <w:p>
            <w:pPr>
              <w:spacing w:before="0" w:after="0"/>
              <w:ind w:left="360"/>
            </w:pPr>
            <w:r>
              <w:rPr>
                <w:rFonts w:ascii="Courier New" w:cs="Courier New" w:eastAsia="Courier New" w:hAnsi="Courier New"/>
                <w:color w:val="1A3A5C"/>
                <w:sz w:val="19"/>
                <w:szCs w:val="19"/>
              </w:rPr>
              <w:t xml:space="preserve">            "trust": 0.80, "continuity": 0.72</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"pin_behavior": "pin_while_referenced", "eviction_priority": 2,</w:t>
            </w:r>
          </w:p>
          <w:p>
            <w:pPr>
              <w:spacing w:before="0" w:after="0"/>
              <w:ind w:left="360"/>
            </w:pPr>
            <w:r>
              <w:rPr>
                <w:rFonts w:ascii="Courier New" w:cs="Courier New" w:eastAsia="Courier New" w:hAnsi="Courier New"/>
                <w:color w:val="1A3A5C"/>
                <w:sz w:val="19"/>
                <w:szCs w:val="19"/>
              </w:rPr>
              <w:t xml:space="preserve">          "provenance": {</w:t>
            </w:r>
          </w:p>
          <w:p>
            <w:pPr>
              <w:spacing w:before="0" w:after="0"/>
              <w:ind w:left="360"/>
            </w:pPr>
            <w:r>
              <w:rPr>
                <w:rFonts w:ascii="Courier New" w:cs="Courier New" w:eastAsia="Courier New" w:hAnsi="Courier New"/>
                <w:color w:val="1A3A5C"/>
                <w:sz w:val="19"/>
                <w:szCs w:val="19"/>
              </w:rPr>
              <w:t xml:space="preserve">            "uri": "upload://mica-v0_1_4_schema.json",</w:t>
            </w:r>
          </w:p>
          <w:p>
            <w:pPr>
              <w:spacing w:before="0" w:after="0"/>
              <w:ind w:left="360"/>
            </w:pPr>
            <w:r>
              <w:rPr>
                <w:rFonts w:ascii="Courier New" w:cs="Courier New" w:eastAsia="Courier New" w:hAnsi="Courier New"/>
                <w:color w:val="1A3A5C"/>
                <w:sz w:val="19"/>
                <w:szCs w:val="19"/>
              </w:rPr>
              <w:t xml:space="preserve">            "source_kind": "cxc_export", "trust_class": "raw",</w:t>
            </w:r>
          </w:p>
          <w:p>
            <w:pPr>
              <w:spacing w:before="0" w:after="0"/>
              <w:ind w:left="360"/>
            </w:pPr>
            <w:r>
              <w:rPr>
                <w:rFonts w:ascii="Courier New" w:cs="Courier New" w:eastAsia="Courier New" w:hAnsi="Courier New"/>
                <w:color w:val="1A3A5C"/>
                <w:sz w:val="19"/>
                <w:szCs w:val="19"/>
              </w:rPr>
              <w:t xml:space="preserve">            "collected_at": "2026-03-09T00:00:00Z",</w:t>
            </w:r>
          </w:p>
          <w:p>
            <w:pPr>
              <w:spacing w:before="0" w:after="0"/>
              <w:ind w:left="360"/>
            </w:pPr>
            <w:r>
              <w:rPr>
                <w:rFonts w:ascii="Courier New" w:cs="Courier New" w:eastAsia="Courier New" w:hAnsi="Courier New"/>
                <w:color w:val="1A3A5C"/>
                <w:sz w:val="19"/>
                <w:szCs w:val="19"/>
              </w:rPr>
              <w:t xml:space="preserve">            "content_hash": "sha256:mica_v014_780lines_schema"</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"content_summary": "MICA v0.1.4 full schema. 780 lines. All 20</w:t>
            </w:r>
          </w:p>
          <w:p>
            <w:pPr>
              <w:spacing w:before="0" w:after="0"/>
              <w:ind w:left="360"/>
            </w:pPr>
            <w:r>
              <w:rPr>
                <w:rFonts w:ascii="Courier New" w:cs="Courier New" w:eastAsia="Courier New" w:hAnsi="Courier New"/>
                <w:color w:val="1A3A5C"/>
                <w:sz w:val="19"/>
                <w:szCs w:val="19"/>
              </w:rPr>
              <w:t xml:space="preserve">            required top-level sections present."</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"id": "ctx_004", "tier": "session",</w:t>
            </w:r>
          </w:p>
          <w:p>
            <w:pPr>
              <w:spacing w:before="0" w:after="0"/>
              <w:ind w:left="360"/>
            </w:pPr>
            <w:r>
              <w:rPr>
                <w:rFonts w:ascii="Courier New" w:cs="Courier New" w:eastAsia="Courier New" w:hAnsi="Courier New"/>
                <w:color w:val="1A3A5C"/>
                <w:sz w:val="19"/>
                <w:szCs w:val="19"/>
              </w:rPr>
              <w:t xml:space="preserve">          "trust_class": "raw", "invoke_role": "hint",</w:t>
            </w:r>
          </w:p>
          <w:p>
            <w:pPr>
              <w:spacing w:before="0" w:after="0"/>
              <w:ind w:left="360"/>
            </w:pPr>
            <w:r>
              <w:rPr>
                <w:rFonts w:ascii="Courier New" w:cs="Courier New" w:eastAsia="Courier New" w:hAnsi="Courier New"/>
                <w:color w:val="1A3A5C"/>
                <w:sz w:val="19"/>
                <w:szCs w:val="19"/>
              </w:rPr>
              <w:t xml:space="preserve">          "sensitivity": "low", "score": 0.74,</w:t>
            </w:r>
          </w:p>
          <w:p>
            <w:pPr>
              <w:spacing w:before="0" w:after="0"/>
              <w:ind w:left="360"/>
            </w:pPr>
            <w:r>
              <w:rPr>
                <w:rFonts w:ascii="Courier New" w:cs="Courier New" w:eastAsia="Courier New" w:hAnsi="Courier New"/>
                <w:color w:val="1A3A5C"/>
                <w:sz w:val="19"/>
                <w:szCs w:val="19"/>
              </w:rPr>
              <w:t xml:space="preserve">          "score_breakdown": {</w:t>
            </w:r>
          </w:p>
          <w:p>
            <w:pPr>
              <w:spacing w:before="0" w:after="0"/>
              <w:ind w:left="360"/>
            </w:pPr>
            <w:r>
              <w:rPr>
                <w:rFonts w:ascii="Courier New" w:cs="Courier New" w:eastAsia="Courier New" w:hAnsi="Courier New"/>
                <w:color w:val="1A3A5C"/>
                <w:sz w:val="19"/>
                <w:szCs w:val="19"/>
              </w:rPr>
              <w:t xml:space="preserve">            "sim": 0.80, "recency": 0.98, "invoke": 0.50,</w:t>
            </w:r>
          </w:p>
          <w:p>
            <w:pPr>
              <w:spacing w:before="0" w:after="0"/>
              <w:ind w:left="360"/>
            </w:pPr>
            <w:r>
              <w:rPr>
                <w:rFonts w:ascii="Courier New" w:cs="Courier New" w:eastAsia="Courier New" w:hAnsi="Courier New"/>
                <w:color w:val="1A3A5C"/>
                <w:sz w:val="19"/>
                <w:szCs w:val="19"/>
              </w:rPr>
              <w:t xml:space="preserve">            "trust": 0.60, "continuity": 0.82</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"pin_behavior": "session_scoped", "eviction_priority": 3,</w:t>
            </w:r>
          </w:p>
          <w:p>
            <w:pPr>
              <w:spacing w:before="0" w:after="0"/>
              <w:ind w:left="360"/>
            </w:pPr>
            <w:r>
              <w:rPr>
                <w:rFonts w:ascii="Courier New" w:cs="Courier New" w:eastAsia="Courier New" w:hAnsi="Courier New"/>
                <w:color w:val="1A3A5C"/>
                <w:sz w:val="19"/>
                <w:szCs w:val="19"/>
              </w:rPr>
              <w:t xml:space="preserve">          "provenance": {</w:t>
            </w:r>
          </w:p>
          <w:p>
            <w:pPr>
              <w:spacing w:before="0" w:after="0"/>
              <w:ind w:left="360"/>
            </w:pPr>
            <w:r>
              <w:rPr>
                <w:rFonts w:ascii="Courier New" w:cs="Courier New" w:eastAsia="Courier New" w:hAnsi="Courier New"/>
                <w:color w:val="1A3A5C"/>
                <w:sz w:val="19"/>
                <w:szCs w:val="19"/>
              </w:rPr>
              <w:t xml:space="preserve">            "uri": "session://2026-03-09/turn_1_2",</w:t>
            </w:r>
          </w:p>
          <w:p>
            <w:pPr>
              <w:spacing w:before="0" w:after="0"/>
              <w:ind w:left="360"/>
            </w:pPr>
            <w:r>
              <w:rPr>
                <w:rFonts w:ascii="Courier New" w:cs="Courier New" w:eastAsia="Courier New" w:hAnsi="Courier New"/>
                <w:color w:val="1A3A5C"/>
                <w:sz w:val="19"/>
                <w:szCs w:val="19"/>
              </w:rPr>
              <w:t xml:space="preserve">            "source_kind": "session_turn", "trust_class": "raw",</w:t>
            </w:r>
          </w:p>
          <w:p>
            <w:pPr>
              <w:spacing w:before="0" w:after="0"/>
              <w:ind w:left="360"/>
            </w:pPr>
            <w:r>
              <w:rPr>
                <w:rFonts w:ascii="Courier New" w:cs="Courier New" w:eastAsia="Courier New" w:hAnsi="Courier New"/>
                <w:color w:val="1A3A5C"/>
                <w:sz w:val="19"/>
                <w:szCs w:val="19"/>
              </w:rPr>
              <w:t xml:space="preserve">            "collected_at": "2026-03-09T00:00:00Z",</w:t>
            </w:r>
          </w:p>
          <w:p>
            <w:pPr>
              <w:spacing w:before="0" w:after="0"/>
              <w:ind w:left="360"/>
            </w:pPr>
            <w:r>
              <w:rPr>
                <w:rFonts w:ascii="Courier New" w:cs="Courier New" w:eastAsia="Courier New" w:hAnsi="Courier New"/>
                <w:color w:val="1A3A5C"/>
                <w:sz w:val="19"/>
                <w:szCs w:val="19"/>
              </w:rPr>
              <w:t xml:space="preserve">            "content_hash": "sha256:turn_eval_exchange"</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"content_summary": "Turn 1-2: schema upload, evaluation exchange,</w:t>
            </w:r>
          </w:p>
          <w:p>
            <w:pPr>
              <w:spacing w:before="0" w:after="0"/>
              <w:ind w:left="360"/>
            </w:pPr>
            <w:r>
              <w:rPr>
                <w:rFonts w:ascii="Courier New" w:cs="Courier New" w:eastAsia="Courier New" w:hAnsi="Courier New"/>
                <w:color w:val="1A3A5C"/>
                <w:sz w:val="19"/>
                <w:szCs w:val="19"/>
              </w:rPr>
              <w:t xml:space="preserve">            semantic collapse invocation."</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"id": "ctx_005", "tier": "memory",</w:t>
            </w:r>
          </w:p>
          <w:p>
            <w:pPr>
              <w:spacing w:before="0" w:after="0"/>
              <w:ind w:left="360"/>
            </w:pPr>
            <w:r>
              <w:rPr>
                <w:rFonts w:ascii="Courier New" w:cs="Courier New" w:eastAsia="Courier New" w:hAnsi="Courier New"/>
                <w:color w:val="1A3A5C"/>
                <w:sz w:val="19"/>
                <w:szCs w:val="19"/>
              </w:rPr>
              <w:t xml:space="preserve">          "trust_class": "distilled", "invoke_role": "bridge",</w:t>
            </w:r>
          </w:p>
          <w:p>
            <w:pPr>
              <w:spacing w:before="0" w:after="0"/>
              <w:ind w:left="360"/>
            </w:pPr>
            <w:r>
              <w:rPr>
                <w:rFonts w:ascii="Courier New" w:cs="Courier New" w:eastAsia="Courier New" w:hAnsi="Courier New"/>
                <w:color w:val="1A3A5C"/>
                <w:sz w:val="19"/>
                <w:szCs w:val="19"/>
              </w:rPr>
              <w:t xml:space="preserve">          "sensitivity": "low", "score": 0.68,</w:t>
            </w:r>
          </w:p>
          <w:p>
            <w:pPr>
              <w:spacing w:before="0" w:after="0"/>
              <w:ind w:left="360"/>
            </w:pPr>
            <w:r>
              <w:rPr>
                <w:rFonts w:ascii="Courier New" w:cs="Courier New" w:eastAsia="Courier New" w:hAnsi="Courier New"/>
                <w:color w:val="1A3A5C"/>
                <w:sz w:val="19"/>
                <w:szCs w:val="19"/>
              </w:rPr>
              <w:t xml:space="preserve">          "score_breakdown": {</w:t>
            </w:r>
          </w:p>
          <w:p>
            <w:pPr>
              <w:spacing w:before="0" w:after="0"/>
              <w:ind w:left="360"/>
            </w:pPr>
            <w:r>
              <w:rPr>
                <w:rFonts w:ascii="Courier New" w:cs="Courier New" w:eastAsia="Courier New" w:hAnsi="Courier New"/>
                <w:color w:val="1A3A5C"/>
                <w:sz w:val="19"/>
                <w:szCs w:val="19"/>
              </w:rPr>
              <w:t xml:space="preserve">            "sim": 0.72, "recency": 0.60, "invoke": 0.75,</w:t>
            </w:r>
          </w:p>
          <w:p>
            <w:pPr>
              <w:spacing w:before="0" w:after="0"/>
              <w:ind w:left="360"/>
            </w:pPr>
            <w:r>
              <w:rPr>
                <w:rFonts w:ascii="Courier New" w:cs="Courier New" w:eastAsia="Courier New" w:hAnsi="Courier New"/>
                <w:color w:val="1A3A5C"/>
                <w:sz w:val="19"/>
                <w:szCs w:val="19"/>
              </w:rPr>
              <w:t xml:space="preserve">            "trust": 0.80, "continuity": 0.65</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"pin_behavior": "retain_until_eviction_phase_3",</w:t>
            </w:r>
          </w:p>
          <w:p>
            <w:pPr>
              <w:spacing w:before="0" w:after="0"/>
              <w:ind w:left="360"/>
            </w:pPr>
            <w:r>
              <w:rPr>
                <w:rFonts w:ascii="Courier New" w:cs="Courier New" w:eastAsia="Courier New" w:hAnsi="Courier New"/>
                <w:color w:val="1A3A5C"/>
                <w:sz w:val="19"/>
                <w:szCs w:val="19"/>
              </w:rPr>
              <w:t xml:space="preserve">          "eviction_priority": 3,</w:t>
            </w:r>
          </w:p>
          <w:p>
            <w:pPr>
              <w:spacing w:before="0" w:after="0"/>
              <w:ind w:left="360"/>
            </w:pPr>
            <w:r>
              <w:rPr>
                <w:rFonts w:ascii="Courier New" w:cs="Courier New" w:eastAsia="Courier New" w:hAnsi="Courier New"/>
                <w:color w:val="1A3A5C"/>
                <w:sz w:val="19"/>
                <w:szCs w:val="19"/>
              </w:rPr>
              <w:t xml:space="preserve">          "provenance": {</w:t>
            </w:r>
          </w:p>
          <w:p>
            <w:pPr>
              <w:spacing w:before="0" w:after="0"/>
              <w:ind w:left="360"/>
            </w:pPr>
            <w:r>
              <w:rPr>
                <w:rFonts w:ascii="Courier New" w:cs="Courier New" w:eastAsia="Courier New" w:hAnsi="Courier New"/>
                <w:color w:val="1A3A5C"/>
                <w:sz w:val="19"/>
                <w:szCs w:val="19"/>
              </w:rPr>
              <w:t xml:space="preserve">            "uri": "mica://memory/flamehaven-labs/ccge/audit_history",</w:t>
            </w:r>
          </w:p>
          <w:p>
            <w:pPr>
              <w:spacing w:before="0" w:after="0"/>
              <w:ind w:left="360"/>
            </w:pPr>
            <w:r>
              <w:rPr>
                <w:rFonts w:ascii="Courier New" w:cs="Courier New" w:eastAsia="Courier New" w:hAnsi="Courier New"/>
                <w:color w:val="1A3A5C"/>
                <w:sz w:val="19"/>
                <w:szCs w:val="19"/>
              </w:rPr>
              <w:t xml:space="preserve">            "source_kind": "memory_export", "trust_class": "distilled",</w:t>
            </w:r>
          </w:p>
          <w:p>
            <w:pPr>
              <w:spacing w:before="0" w:after="0"/>
              <w:ind w:left="360"/>
            </w:pPr>
            <w:r>
              <w:rPr>
                <w:rFonts w:ascii="Courier New" w:cs="Courier New" w:eastAsia="Courier New" w:hAnsi="Courier New"/>
                <w:color w:val="1A3A5C"/>
                <w:sz w:val="19"/>
                <w:szCs w:val="19"/>
              </w:rPr>
              <w:t xml:space="preserve">            "collected_at": "UNKNOWN",</w:t>
            </w:r>
          </w:p>
          <w:p>
            <w:pPr>
              <w:spacing w:before="0" w:after="0"/>
              <w:ind w:left="360"/>
            </w:pPr>
            <w:r>
              <w:rPr>
                <w:rFonts w:ascii="Courier New" w:cs="Courier New" w:eastAsia="Courier New" w:hAnsi="Courier New"/>
                <w:color w:val="1A3A5C"/>
                <w:sz w:val="19"/>
                <w:szCs w:val="19"/>
              </w:rPr>
              <w:t xml:space="preserve">            "content_hash": "sha256:ccge_audit_history_distilled"</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"content_summary": "Multi-session audit v0.3.1-v0.3.4 history.</w:t>
            </w:r>
          </w:p>
          <w:p>
            <w:pPr>
              <w:spacing w:before="0" w:after="0"/>
              <w:ind w:left="360"/>
            </w:pPr>
            <w:r>
              <w:rPr>
                <w:rFonts w:ascii="Courier New" w:cs="Courier New" w:eastAsia="Courier New" w:hAnsi="Courier New"/>
                <w:color w:val="1A3A5C"/>
                <w:sz w:val="19"/>
                <w:szCs w:val="19"/>
              </w:rPr>
              <w:t xml:space="preserve">            Schema/Clinician/Observer docs added. 2 Claude correction events."</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"dedup_log": {</w:t>
            </w:r>
          </w:p>
          <w:p>
            <w:pPr>
              <w:spacing w:before="0" w:after="0"/>
              <w:ind w:left="360"/>
            </w:pPr>
            <w:r>
              <w:rPr>
                <w:rFonts w:ascii="Courier New" w:cs="Courier New" w:eastAsia="Courier New" w:hAnsi="Courier New"/>
                <w:color w:val="1A3A5C"/>
                <w:sz w:val="19"/>
                <w:szCs w:val="19"/>
              </w:rPr>
              <w:t xml:space="preserve">    "exact_within_tier_hits": 0,</w:t>
            </w:r>
          </w:p>
          <w:p>
            <w:pPr>
              <w:spacing w:before="0" w:after="0"/>
              <w:ind w:left="360"/>
            </w:pPr>
            <w:r>
              <w:rPr>
                <w:rFonts w:ascii="Courier New" w:cs="Courier New" w:eastAsia="Courier New" w:hAnsi="Courier New"/>
                <w:color w:val="1A3A5C"/>
                <w:sz w:val="19"/>
                <w:szCs w:val="19"/>
              </w:rPr>
              <w:t xml:space="preserve">    "semantic_cross_tier_hits": 1,</w:t>
            </w:r>
          </w:p>
          <w:p>
            <w:pPr>
              <w:spacing w:before="0" w:after="0"/>
              <w:ind w:left="360"/>
            </w:pPr>
            <w:r>
              <w:rPr>
                <w:rFonts w:ascii="Courier New" w:cs="Courier New" w:eastAsia="Courier New" w:hAnsi="Courier New"/>
                <w:color w:val="1A3A5C"/>
                <w:sz w:val="19"/>
                <w:szCs w:val="19"/>
              </w:rPr>
              <w:t xml:space="preserve">    "action_taken": "ctx_002 subsumes earlier partial CCGE state fragment",</w:t>
            </w:r>
          </w:p>
          <w:p>
            <w:pPr>
              <w:spacing w:before="0" w:after="0"/>
              <w:ind w:left="360"/>
            </w:pPr>
            <w:r>
              <w:rPr>
                <w:rFonts w:ascii="Courier New" w:cs="Courier New" w:eastAsia="Courier New" w:hAnsi="Courier New"/>
                <w:color w:val="1A3A5C"/>
                <w:sz w:val="19"/>
                <w:szCs w:val="19"/>
              </w:rPr>
              <w:t xml:space="preserve">    "fidelity_resolution": "canonical &gt; distilled &gt; raw &gt; symbolic"</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"eviction_log": {</w:t>
            </w:r>
          </w:p>
          <w:p>
            <w:pPr>
              <w:spacing w:before="0" w:after="0"/>
              <w:ind w:left="360"/>
            </w:pPr>
            <w:r>
              <w:rPr>
                <w:rFonts w:ascii="Courier New" w:cs="Courier New" w:eastAsia="Courier New" w:hAnsi="Courier New"/>
                <w:color w:val="1A3A5C"/>
                <w:sz w:val="19"/>
                <w:szCs w:val="19"/>
              </w:rPr>
              <w:t xml:space="preserve">    "phase_reached": 1, "items_evicted": 0,</w:t>
            </w:r>
          </w:p>
          <w:p>
            <w:pPr>
              <w:spacing w:before="0" w:after="0"/>
              <w:ind w:left="360"/>
            </w:pPr>
            <w:r>
              <w:rPr>
                <w:rFonts w:ascii="Courier New" w:cs="Courier New" w:eastAsia="Courier New" w:hAnsi="Courier New"/>
                <w:color w:val="1A3A5C"/>
                <w:sz w:val="19"/>
                <w:szCs w:val="19"/>
              </w:rPr>
              <w:t xml:space="preserve">    "budget_status": "within_limit", "degraded": false</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"ledger_entry": {</w:t>
            </w:r>
          </w:p>
          <w:p>
            <w:pPr>
              <w:spacing w:before="0" w:after="0"/>
              <w:ind w:left="360"/>
            </w:pPr>
            <w:r>
              <w:rPr>
                <w:rFonts w:ascii="Courier New" w:cs="Courier New" w:eastAsia="Courier New" w:hAnsi="Courier New"/>
                <w:color w:val="1A3A5C"/>
                <w:sz w:val="19"/>
                <w:szCs w:val="19"/>
              </w:rPr>
              <w:t xml:space="preserve">    "context_hash_formula":</w:t>
            </w:r>
          </w:p>
          <w:p>
            <w:pPr>
              <w:spacing w:before="0" w:after="0"/>
              <w:ind w:left="360"/>
            </w:pPr>
            <w:r>
              <w:rPr>
                <w:rFonts w:ascii="Courier New" w:cs="Courier New" w:eastAsia="Courier New" w:hAnsi="Courier New"/>
                <w:color w:val="1A3A5C"/>
                <w:sz w:val="19"/>
                <w:szCs w:val="19"/>
              </w:rPr>
              <w:t xml:space="preserve">      "sha256(sorted(item.content_hash for item in working_context.items))",</w:t>
            </w:r>
          </w:p>
          <w:p>
            <w:pPr>
              <w:spacing w:before="0" w:after="0"/>
              <w:ind w:left="360"/>
            </w:pPr>
            <w:r>
              <w:rPr>
                <w:rFonts w:ascii="Courier New" w:cs="Courier New" w:eastAsia="Courier New" w:hAnsi="Courier New"/>
                <w:color w:val="1A3A5C"/>
                <w:sz w:val="19"/>
                <w:szCs w:val="19"/>
              </w:rPr>
              <w:t xml:space="preserve">    "context_hash": "sha256:mica_ledger_20260309_project",</w:t>
            </w:r>
          </w:p>
          <w:p>
            <w:pPr>
              <w:spacing w:before="0" w:after="0"/>
              <w:ind w:left="360"/>
            </w:pPr>
            <w:r>
              <w:rPr>
                <w:rFonts w:ascii="Courier New" w:cs="Courier New" w:eastAsia="Courier New" w:hAnsi="Courier New"/>
                <w:color w:val="1A3A5C"/>
                <w:sz w:val="19"/>
                <w:szCs w:val="19"/>
              </w:rPr>
              <w:t xml:space="preserve">    "hash_chain_prev": "genesis",</w:t>
            </w:r>
          </w:p>
          <w:p>
            <w:pPr>
              <w:spacing w:before="0" w:after="0"/>
              <w:ind w:left="360"/>
            </w:pPr>
            <w:r>
              <w:rPr>
                <w:rFonts w:ascii="Courier New" w:cs="Courier New" w:eastAsia="Courier New" w:hAnsi="Courier New"/>
                <w:color w:val="1A3A5C"/>
                <w:sz w:val="19"/>
                <w:szCs w:val="19"/>
              </w:rPr>
              <w:t xml:space="preserve">    "audit_chain": [</w:t>
            </w:r>
          </w:p>
          <w:p>
            <w:pPr>
              <w:spacing w:before="0" w:after="0"/>
              <w:ind w:left="360"/>
            </w:pPr>
            <w:r>
              <w:rPr>
                <w:rFonts w:ascii="Courier New" w:cs="Courier New" w:eastAsia="Courier New" w:hAnsi="Courier New"/>
                <w:color w:val="1A3A5C"/>
                <w:sz w:val="19"/>
                <w:szCs w:val="19"/>
              </w:rPr>
              <w:t xml:space="preserve">      "provenance_verified", "dedup_resolved", "budget_compiled",</w:t>
            </w:r>
          </w:p>
          <w:p>
            <w:pPr>
              <w:spacing w:before="0" w:after="0"/>
              <w:ind w:left="360"/>
            </w:pPr>
            <w:r>
              <w:rPr>
                <w:rFonts w:ascii="Courier New" w:cs="Courier New" w:eastAsia="Courier New" w:hAnsi="Courier New"/>
                <w:color w:val="1A3A5C"/>
                <w:sz w:val="19"/>
                <w:szCs w:val="19"/>
              </w:rPr>
              <w:t xml:space="preserve">      "handoff_prefilter_passed", "view_hash_signed"</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"signed_handle": {</w:t>
            </w:r>
          </w:p>
          <w:p>
            <w:pPr>
              <w:spacing w:before="0" w:after="0"/>
              <w:ind w:left="360"/>
            </w:pPr>
            <w:r>
              <w:rPr>
                <w:rFonts w:ascii="Courier New" w:cs="Courier New" w:eastAsia="Courier New" w:hAnsi="Courier New"/>
                <w:color w:val="1A3A5C"/>
                <w:sz w:val="19"/>
                <w:szCs w:val="19"/>
              </w:rPr>
              <w:t xml:space="preserve">      "algorithm": "ed25519",</w:t>
            </w:r>
          </w:p>
          <w:p>
            <w:pPr>
              <w:spacing w:before="0" w:after="0"/>
              <w:ind w:left="360"/>
            </w:pPr>
            <w:r>
              <w:rPr>
                <w:rFonts w:ascii="Courier New" w:cs="Courier New" w:eastAsia="Courier New" w:hAnsi="Courier New"/>
                <w:color w:val="1A3A5C"/>
                <w:sz w:val="19"/>
                <w:szCs w:val="19"/>
              </w:rPr>
              <w:t xml:space="preserve">      "expiry_ttl_seconds": 3600,</w:t>
            </w:r>
          </w:p>
          <w:p>
            <w:pPr>
              <w:spacing w:before="0" w:after="0"/>
              <w:ind w:left="360"/>
            </w:pPr>
            <w:r>
              <w:rPr>
                <w:rFonts w:ascii="Courier New" w:cs="Courier New" w:eastAsia="Courier New" w:hAnsi="Courier New"/>
                <w:color w:val="1A3A5C"/>
                <w:sz w:val="19"/>
                <w:szCs w:val="19"/>
              </w:rPr>
              <w:t xml:space="preserve">      "handle": "mica_handle::ed25519::project::20260309"</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r>
          </w:p>
          <w:p>
            <w:pPr>
              <w:spacing w:before="0" w:after="0"/>
              <w:ind w:left="360"/>
            </w:pPr>
            <w:r>
              <w:rPr>
                <w:rFonts w:ascii="Courier New" w:cs="Courier New" w:eastAsia="Courier New" w:hAnsi="Courier New"/>
                <w:color w:val="1A3A5C"/>
                <w:sz w:val="19"/>
                <w:szCs w:val="19"/>
              </w:rPr>
              <w:t xml:space="preserve">  "observability": {</w:t>
            </w:r>
          </w:p>
          <w:p>
            <w:pPr>
              <w:spacing w:before="0" w:after="0"/>
              <w:ind w:left="360"/>
            </w:pPr>
            <w:r>
              <w:rPr>
                <w:rFonts w:ascii="Courier New" w:cs="Courier New" w:eastAsia="Courier New" w:hAnsi="Courier New"/>
                <w:color w:val="1A3A5C"/>
                <w:sz w:val="19"/>
                <w:szCs w:val="19"/>
              </w:rPr>
              <w:t xml:space="preserve">    "context_compile_ms": 0,</w:t>
            </w:r>
          </w:p>
          <w:p>
            <w:pPr>
              <w:spacing w:before="0" w:after="0"/>
              <w:ind w:left="360"/>
            </w:pPr>
            <w:r>
              <w:rPr>
                <w:rFonts w:ascii="Courier New" w:cs="Courier New" w:eastAsia="Courier New" w:hAnsi="Courier New"/>
                <w:color w:val="1A3A5C"/>
                <w:sz w:val="19"/>
                <w:szCs w:val="19"/>
              </w:rPr>
              <w:t xml:space="preserve">    "compile_mode": "semantic_collapse_synchronous",</w:t>
            </w:r>
          </w:p>
          <w:p>
            <w:pPr>
              <w:spacing w:before="0" w:after="0"/>
              <w:ind w:left="360"/>
            </w:pPr>
            <w:r>
              <w:rPr>
                <w:rFonts w:ascii="Courier New" w:cs="Courier New" w:eastAsia="Courier New" w:hAnsi="Courier New"/>
                <w:color w:val="1A3A5C"/>
                <w:sz w:val="19"/>
                <w:szCs w:val="19"/>
              </w:rPr>
              <w:t xml:space="preserve">    "slo_status": {</w:t>
            </w:r>
          </w:p>
          <w:p>
            <w:pPr>
              <w:spacing w:before="0" w:after="0"/>
              <w:ind w:left="360"/>
            </w:pPr>
            <w:r>
              <w:rPr>
                <w:rFonts w:ascii="Courier New" w:cs="Courier New" w:eastAsia="Courier New" w:hAnsi="Courier New"/>
                <w:color w:val="1A3A5C"/>
                <w:sz w:val="19"/>
                <w:szCs w:val="19"/>
              </w:rPr>
              <w:t xml:space="preserve">      "p95_context_compile_ms": "N/A — semantic mode",</w:t>
            </w:r>
          </w:p>
          <w:p>
            <w:pPr>
              <w:spacing w:before="0" w:after="0"/>
              <w:ind w:left="360"/>
            </w:pPr>
            <w:r>
              <w:rPr>
                <w:rFonts w:ascii="Courier New" w:cs="Courier New" w:eastAsia="Courier New" w:hAnsi="Courier New"/>
                <w:color w:val="1A3A5C"/>
                <w:sz w:val="19"/>
                <w:szCs w:val="19"/>
              </w:rPr>
              <w:t xml:space="preserve">      "budget_failure_rate": 0.0,</w:t>
            </w:r>
          </w:p>
          <w:p>
            <w:pPr>
              <w:spacing w:before="0" w:after="0"/>
              <w:ind w:left="360"/>
            </w:pPr>
            <w:r>
              <w:rPr>
                <w:rFonts w:ascii="Courier New" w:cs="Courier New" w:eastAsia="Courier New" w:hAnsi="Courier New"/>
                <w:color w:val="1A3A5C"/>
                <w:sz w:val="19"/>
                <w:szCs w:val="19"/>
              </w:rPr>
              <w:t xml:space="preserve">      "degraded_rate": 0.0,</w:t>
            </w:r>
          </w:p>
          <w:p>
            <w:pPr>
              <w:spacing w:before="0" w:after="0"/>
              <w:ind w:left="360"/>
            </w:pPr>
            <w:r>
              <w:rPr>
                <w:rFonts w:ascii="Courier New" w:cs="Courier New" w:eastAsia="Courier New" w:hAnsi="Courier New"/>
                <w:color w:val="1A3A5C"/>
                <w:sz w:val="19"/>
                <w:szCs w:val="19"/>
              </w:rPr>
              <w:t xml:space="preserve">      "handoff_leak": 0,</w:t>
            </w:r>
          </w:p>
          <w:p>
            <w:pPr>
              <w:spacing w:before="0" w:after="0"/>
              <w:ind w:left="360"/>
            </w:pPr>
            <w:r>
              <w:rPr>
                <w:rFonts w:ascii="Courier New" w:cs="Courier New" w:eastAsia="Courier New" w:hAnsi="Courier New"/>
                <w:color w:val="1A3A5C"/>
                <w:sz w:val="19"/>
                <w:szCs w:val="19"/>
              </w:rPr>
              <w:t xml:space="preserve">      "audit_link_integrity": 1.0</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  }</w:t>
            </w:r>
          </w:p>
          <w:p>
            <w:pPr>
              <w:spacing w:before="0" w:after="0"/>
              <w:ind w:left="360"/>
            </w:pPr>
            <w:r>
              <w:rPr>
                <w:rFonts w:ascii="Courier New" w:cs="Courier New" w:eastAsia="Courier New" w:hAnsi="Courier New"/>
                <w:color w:val="1A3A5C"/>
                <w:sz w:val="19"/>
                <w:szCs w:val="19"/>
              </w:rPr>
              <w:t xml:space="preserve">}</w:t>
            </w:r>
          </w:p>
        </w:tc>
      </w:tr>
    </w:tbl>
    <w:p>
      <w:pPr>
        <w:spacing w:before="120" w:after="80"/>
      </w:pPr>
    </w:p>
    <w:p>
      <w:pPr>
        <w:pBdr>
          <w:bottom w:val="single" w:color="1C3557" w:sz="2"/>
        </w:pBdr>
        <w:spacing w:before="160" w:after="160"/>
      </w:pPr>
    </w:p>
    <w:p>
      <w:pPr>
        <w:pBdr>
          <w:bottom w:val="single" w:color="1C3557" w:sz="4" w:space="2"/>
        </w:pBdr>
        <w:spacing w:before="320" w:after="120"/>
      </w:pPr>
      <w:r>
        <w:rPr>
          <w:rFonts w:ascii="Arial" w:cs="Arial" w:eastAsia="Arial" w:hAnsi="Arial"/>
          <w:b/>
          <w:bCs/>
          <w:color w:val="1C3557"/>
          <w:sz w:val="26"/>
          <w:szCs w:val="26"/>
        </w:rPr>
        <w:t xml:space="preserve">References</w:t>
      </w:r>
    </w:p>
    <w:p>
      <w:pPr>
        <w:spacing w:before="60" w:after="100" w:line="276" w:lineRule="auto"/>
        <w:jc w:val="both"/>
      </w:pPr>
      <w:r>
        <w:rPr>
          <w:rFonts w:ascii="Georgia" w:cs="Georgia" w:eastAsia="Georgia" w:hAnsi="Georgia"/>
          <w:color w:val="2D2D2D"/>
          <w:sz w:val="22"/>
          <w:szCs w:val="22"/>
        </w:rPr>
        <w:t xml:space="preserve">[1] Packer, C., et al. (2023). MemGPT: Towards LLMs as Operating Systems. arXiv:2310.08560.</w:t>
      </w:r>
    </w:p>
    <w:p>
      <w:pPr>
        <w:spacing w:before="60" w:after="100" w:line="276" w:lineRule="auto"/>
        <w:jc w:val="both"/>
      </w:pPr>
      <w:r>
        <w:rPr>
          <w:rFonts w:ascii="Georgia" w:cs="Georgia" w:eastAsia="Georgia" w:hAnsi="Georgia"/>
          <w:color w:val="2D2D2D"/>
          <w:sz w:val="22"/>
          <w:szCs w:val="22"/>
        </w:rPr>
        <w:t xml:space="preserve">[2] JSON Schema, Draft 2020-12. https://json-schema.org/draft/2020-12/schema</w:t>
      </w:r>
    </w:p>
    <w:p>
      <w:pPr>
        <w:spacing w:before="60" w:after="100" w:line="276" w:lineRule="auto"/>
        <w:jc w:val="both"/>
      </w:pPr>
      <w:r>
        <w:rPr>
          <w:rFonts w:ascii="Georgia" w:cs="Georgia" w:eastAsia="Georgia" w:hAnsi="Georgia"/>
          <w:color w:val="2D2D2D"/>
          <w:sz w:val="22"/>
          <w:szCs w:val="22"/>
        </w:rPr>
        <w:t xml:space="preserve">[3] Bernstein, P. A., &amp; Newcomer, E. (2009). Principles of Transaction Processing (2nd ed.). Morgan Kaufmann.</w:t>
      </w:r>
    </w:p>
    <w:p>
      <w:pPr>
        <w:spacing w:before="60" w:after="100" w:line="276" w:lineRule="auto"/>
        <w:jc w:val="both"/>
      </w:pPr>
      <w:r>
        <w:rPr>
          <w:rFonts w:ascii="Georgia" w:cs="Georgia" w:eastAsia="Georgia" w:hAnsi="Georgia"/>
          <w:color w:val="2D2D2D"/>
          <w:sz w:val="22"/>
          <w:szCs w:val="22"/>
        </w:rPr>
        <w:t xml:space="preserve">[4] IETF RFC 8032: Edwards-Curve Digital Signature Algorithm (EdDSA). January 2017.</w:t>
      </w:r>
    </w:p>
    <w:p>
      <w:pPr>
        <w:spacing w:before="60" w:after="100" w:line="276" w:lineRule="auto"/>
        <w:jc w:val="both"/>
      </w:pPr>
      <w:r>
        <w:rPr>
          <w:rFonts w:ascii="Georgia" w:cs="Georgia" w:eastAsia="Georgia" w:hAnsi="Georgia"/>
          <w:color w:val="2D2D2D"/>
          <w:sz w:val="22"/>
          <w:szCs w:val="22"/>
        </w:rPr>
        <w:t xml:space="preserve">[5] Ben Laurie, et al. (2013). Certificate Transparency. RFC 6962. IETF.</w:t>
      </w:r>
    </w:p>
    <w:p>
      <w:pPr>
        <w:spacing w:before="60" w:after="100" w:line="276" w:lineRule="auto"/>
        <w:jc w:val="both"/>
      </w:pPr>
      <w:r>
        <w:rPr>
          <w:rFonts w:ascii="Georgia" w:cs="Georgia" w:eastAsia="Georgia" w:hAnsi="Georgia"/>
          <w:color w:val="2D2D2D"/>
          <w:sz w:val="22"/>
          <w:szCs w:val="22"/>
        </w:rPr>
        <w:t xml:space="preserve">[6] Semantic Versioning 2.0.0. https://semver.org</w:t>
      </w:r>
    </w:p>
    <w:p>
      <w:pPr>
        <w:pBdr>
          <w:top w:val="single" w:color="DDDDDD" w:sz="2"/>
        </w:pBdr>
        <w:spacing w:before="40" w:after="40"/>
      </w:pPr>
      <w:r>
        <w:rPr>
          <w:rFonts w:ascii="Georgia" w:cs="Georgia" w:eastAsia="Georgia" w:hAnsi="Georgia"/>
          <w:i/>
          <w:iCs/>
          <w:color w:val="AAAAAA"/>
          <w:sz w:val="18"/>
          <w:szCs w:val="18"/>
        </w:rPr>
        <w:t xml:space="preserve">Note: All references to prior art are based on published literature and public repositories available as of 2026-03-09. Claims of 'no prior art' for the semantic collapse pattern are bounded by this search scope.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57" w:sz="3"/>
      </w:pBdr>
      <w:spacing w:before="120"/>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Flamehaven-Labs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57" w:sz="3"/>
      </w:pBdr>
      <w:spacing w:after="120"/>
      <w:jc w:val="right"/>
    </w:pPr>
    <w:r>
      <w:rPr>
        <w:rFonts w:ascii="Arial" w:cs="Arial" w:eastAsia="Arial" w:hAnsi="Arial"/>
        <w:color w:val="AAAAAA"/>
        <w:sz w:val="18"/>
        <w:szCs w:val="18"/>
      </w:rPr>
      <w:t xml:space="preserve">MICA Technical Report  |  Week 1  |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C3557"/>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D2D2D"/>
      <w:sz w:val="24"/>
      <w:szCs w:val="24"/>
    </w:rPr>
  </w:style>
  <w:style w:type="paragraph" w:styleId="Heading3">
    <w:name w:val="Heading 3"/>
    <w:basedOn w:val="Normal"/>
    <w:next w:val="Normal"/>
    <w:qFormat/>
    <w:pPr>
      <w:spacing w:before="160" w:after="6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2026-03-08T17:48:22.411Z</dcterms:created>
  <dcterms:modified xsi:type="dcterms:W3CDTF">2026-03-08T17:48:22.412Z</dcterms:modified>
</cp:coreProperties>
</file>

<file path=docProps/custom.xml><?xml version="1.0" encoding="utf-8"?>
<Properties xmlns="http://schemas.openxmlformats.org/officeDocument/2006/custom-properties" xmlns:vt="http://schemas.openxmlformats.org/officeDocument/2006/docPropsVTypes"/>
</file>