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3C590">
      <w:pPr>
        <w:pStyle w:val="16"/>
        <w:rPr>
          <w:rFonts w:hint="eastAsia"/>
        </w:rPr>
      </w:pPr>
      <w:r>
        <w:rPr>
          <w:rFonts w:hint="eastAsia"/>
        </w:rPr>
        <w:t>项目测试说明文档</w:t>
      </w:r>
    </w:p>
    <w:tbl>
      <w:tblPr>
        <w:tblStyle w:val="5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43"/>
      </w:tblGrid>
      <w:tr w14:paraId="42C51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CC26F03">
            <w:pPr>
              <w:ind w:firstLine="0" w:firstLineChars="0"/>
              <w:jc w:val="right"/>
              <w:rPr>
                <w:rFonts w:hint="eastAsia" w:ascii="楷体" w:hAnsi="楷体" w:eastAsia="楷体" w:cs="Times New Roman"/>
                <w:b/>
                <w:bCs/>
                <w14:ligatures w14:val="none"/>
              </w:rPr>
            </w:pPr>
            <w:r>
              <w:rPr>
                <w:rFonts w:ascii="楷体" w:hAnsi="楷体" w:eastAsia="楷体" w:cs="Times New Roman"/>
                <w:b/>
                <w:bCs/>
                <w:szCs w:val="32"/>
                <w14:ligatures w14:val="none"/>
              </w:rPr>
              <w:t>所属赛道：</w:t>
            </w:r>
          </w:p>
        </w:tc>
        <w:tc>
          <w:tcPr>
            <w:tcW w:w="1343" w:type="dxa"/>
            <w:tcBorders>
              <w:bottom w:val="single" w:color="auto" w:sz="4" w:space="0"/>
            </w:tcBorders>
          </w:tcPr>
          <w:p w14:paraId="1A297047">
            <w:pPr>
              <w:ind w:firstLine="0" w:firstLineChars="0"/>
              <w:jc w:val="center"/>
              <w:rPr>
                <w:rFonts w:hint="eastAsia" w:ascii="楷体" w:hAnsi="楷体" w:eastAsia="楷体" w:cs="Times New Roman"/>
                <w:b/>
                <w:bCs/>
                <w14:ligatures w14:val="none"/>
              </w:rPr>
            </w:pPr>
            <w:r>
              <w:rPr>
                <w:rFonts w:hint="eastAsia" w:ascii="Times New Roman" w:hAnsi="Times New Roman" w:cs="Times New Roman"/>
                <w:iCs/>
                <w:sz w:val="24"/>
              </w:rPr>
              <w:t>主动控制</w:t>
            </w:r>
          </w:p>
        </w:tc>
      </w:tr>
    </w:tbl>
    <w:p w14:paraId="74DF3643">
      <w:pPr>
        <w:pStyle w:val="46"/>
        <w:autoSpaceDE/>
        <w:autoSpaceDN/>
        <w:spacing w:line="120" w:lineRule="exact"/>
        <w:ind w:firstLine="0" w:firstLineChars="0"/>
        <w:rPr>
          <w:rFonts w:hint="eastAsia" w:ascii="楷体" w:hAnsi="楷体" w:eastAsia="楷体" w:cs="Times New Roman"/>
          <w:b/>
          <w:bCs/>
          <w:color w:val="000000" w:themeColor="text1"/>
          <w:sz w:val="13"/>
          <w:szCs w:val="13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53"/>
        <w:tblW w:w="494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326"/>
        <w:gridCol w:w="1601"/>
        <w:gridCol w:w="2996"/>
      </w:tblGrid>
      <w:tr w14:paraId="56A4C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96" w:type="pct"/>
            <w:vAlign w:val="bottom"/>
          </w:tcPr>
          <w:p w14:paraId="13F16566">
            <w:pPr>
              <w:snapToGrid w:val="0"/>
              <w:ind w:firstLine="0" w:firstLineChars="0"/>
              <w:jc w:val="both"/>
              <w:rPr>
                <w:rFonts w:hint="eastAsia" w:ascii="楷体" w:hAnsi="楷体" w:eastAsia="楷体" w:cs="Times New Roman"/>
                <w:b/>
                <w:bCs/>
                <w:szCs w:val="32"/>
                <w14:ligatures w14:val="none"/>
              </w:rPr>
            </w:pPr>
            <w:r>
              <w:rPr>
                <w:rFonts w:ascii="楷体" w:hAnsi="楷体" w:eastAsia="楷体" w:cs="Times New Roman"/>
                <w:b/>
                <w:bCs/>
                <w:color w:val="156082" w:themeColor="accent1"/>
                <w:kern w:val="28"/>
                <w14:textFill>
                  <w14:solidFill>
                    <w14:schemeClr w14:val="accent1"/>
                  </w14:solidFill>
                </w14:textFill>
              </w:rPr>
              <w:t>项目名称：</w:t>
            </w:r>
          </w:p>
        </w:tc>
        <w:tc>
          <w:tcPr>
            <w:tcW w:w="4104" w:type="pct"/>
            <w:gridSpan w:val="3"/>
            <w:tcBorders>
              <w:bottom w:val="single" w:color="156082" w:themeColor="accent1" w:sz="8" w:space="0"/>
            </w:tcBorders>
            <w:vAlign w:val="bottom"/>
          </w:tcPr>
          <w:p w14:paraId="4155DB7F">
            <w:pPr>
              <w:snapToGrid w:val="0"/>
              <w:ind w:firstLine="0" w:firstLineChars="0"/>
              <w:jc w:val="center"/>
              <w:rPr>
                <w:rFonts w:hint="eastAsia" w:ascii="楷体" w:hAnsi="楷体" w:eastAsia="楷体" w:cs="Times New Roman"/>
                <w:b/>
                <w:bCs/>
                <w:color w:val="156082" w:themeColor="accent1"/>
                <w:spacing w:val="-10"/>
                <w:kern w:val="2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楷体" w:hAnsi="楷体" w:eastAsia="楷体" w:cs="Times New Roman"/>
                <w:b/>
                <w:bCs/>
                <w:color w:val="auto"/>
                <w:spacing w:val="-10"/>
                <w:kern w:val="28"/>
                <w:lang w:val="en-US" w:eastAsia="zh-CN"/>
              </w:rPr>
              <w:t>MetaBCI-WebGame：基于SSVEP的网页脑控游戏平台</w:t>
            </w:r>
          </w:p>
        </w:tc>
      </w:tr>
      <w:tr w14:paraId="073AF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96" w:type="pct"/>
            <w:vAlign w:val="bottom"/>
          </w:tcPr>
          <w:p w14:paraId="0B7B6A30">
            <w:pPr>
              <w:snapToGrid w:val="0"/>
              <w:ind w:firstLine="0" w:firstLineChars="0"/>
              <w:jc w:val="left"/>
              <w:rPr>
                <w:rFonts w:hint="eastAsia" w:ascii="楷体" w:hAnsi="楷体" w:eastAsia="楷体" w:cs="Times New Roman"/>
                <w:b/>
                <w:bCs/>
                <w:szCs w:val="32"/>
                <w14:ligatures w14:val="none"/>
              </w:rPr>
            </w:pPr>
            <w:r>
              <w:rPr>
                <w:rFonts w:ascii="楷体" w:hAnsi="楷体" w:eastAsia="楷体" w:cs="Times New Roman"/>
                <w:b/>
                <w:bCs/>
                <w:szCs w:val="32"/>
                <w14:ligatures w14:val="none"/>
              </w:rPr>
              <w:t>队伍名称：</w:t>
            </w:r>
          </w:p>
        </w:tc>
        <w:tc>
          <w:tcPr>
            <w:tcW w:w="1379" w:type="pct"/>
            <w:tcBorders>
              <w:top w:val="single" w:color="156082" w:themeColor="accent1" w:sz="8" w:space="0"/>
              <w:bottom w:val="single" w:color="auto" w:sz="4" w:space="0"/>
            </w:tcBorders>
            <w:vAlign w:val="bottom"/>
          </w:tcPr>
          <w:p w14:paraId="18A57C6C">
            <w:pPr>
              <w:snapToGrid w:val="0"/>
              <w:ind w:firstLine="0" w:firstLineChars="0"/>
              <w:jc w:val="center"/>
              <w:rPr>
                <w:rFonts w:hint="eastAsia" w:ascii="楷体" w:hAnsi="楷体" w:eastAsia="楷体" w:cs="Times New Roman"/>
                <w:b/>
                <w:bCs/>
                <w:szCs w:val="32"/>
                <w14:ligatures w14:val="none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Cs w:val="32"/>
                <w14:ligatures w14:val="none"/>
              </w:rPr>
              <w:t>咕咕嘎嘎</w:t>
            </w:r>
          </w:p>
        </w:tc>
        <w:tc>
          <w:tcPr>
            <w:tcW w:w="949" w:type="pct"/>
            <w:tcBorders>
              <w:top w:val="single" w:color="156082" w:themeColor="accent1" w:sz="8" w:space="0"/>
            </w:tcBorders>
            <w:vAlign w:val="bottom"/>
          </w:tcPr>
          <w:p w14:paraId="1FA2EB91">
            <w:pPr>
              <w:snapToGrid w:val="0"/>
              <w:ind w:firstLine="0" w:firstLineChars="0"/>
              <w:jc w:val="right"/>
              <w:rPr>
                <w:rFonts w:hint="eastAsia" w:ascii="楷体" w:hAnsi="楷体" w:eastAsia="楷体" w:cs="Times New Roman"/>
                <w:b/>
                <w:bCs/>
                <w:szCs w:val="32"/>
                <w14:ligatures w14:val="none"/>
              </w:rPr>
            </w:pPr>
            <w:r>
              <w:rPr>
                <w:rFonts w:ascii="楷体" w:hAnsi="楷体" w:eastAsia="楷体" w:cs="Times New Roman"/>
                <w:b/>
                <w:bCs/>
                <w:szCs w:val="32"/>
                <w14:ligatures w14:val="none"/>
              </w:rPr>
              <w:t>队伍单位：</w:t>
            </w:r>
          </w:p>
        </w:tc>
        <w:tc>
          <w:tcPr>
            <w:tcW w:w="1776" w:type="pct"/>
            <w:tcBorders>
              <w:top w:val="single" w:color="156082" w:themeColor="accent1" w:sz="8" w:space="0"/>
              <w:bottom w:val="single" w:color="auto" w:sz="4" w:space="0"/>
            </w:tcBorders>
            <w:vAlign w:val="bottom"/>
          </w:tcPr>
          <w:p w14:paraId="4833D338">
            <w:pPr>
              <w:snapToGrid w:val="0"/>
              <w:ind w:firstLine="0" w:firstLineChars="0"/>
              <w:jc w:val="center"/>
              <w:rPr>
                <w:rFonts w:hint="eastAsia" w:ascii="楷体" w:hAnsi="楷体" w:eastAsia="楷体" w:cs="Times New Roman"/>
                <w:b/>
                <w:bCs/>
                <w:szCs w:val="32"/>
                <w14:ligatures w14:val="none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Cs w:val="32"/>
                <w14:ligatures w14:val="none"/>
              </w:rPr>
              <w:t>重庆邮电大学</w:t>
            </w:r>
          </w:p>
        </w:tc>
      </w:tr>
    </w:tbl>
    <w:p w14:paraId="2FAF1ACD">
      <w:pPr>
        <w:pStyle w:val="46"/>
        <w:numPr>
          <w:ilvl w:val="0"/>
          <w:numId w:val="2"/>
        </w:numPr>
        <w:autoSpaceDE/>
        <w:autoSpaceDN/>
        <w:spacing w:before="312" w:beforeLines="100"/>
        <w:ind w:firstLine="0" w:firstLineChars="0"/>
        <w:rPr>
          <w:rFonts w:hint="eastAsia" w:ascii="楷体" w:hAnsi="楷体" w:eastAsia="楷体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项目整体成效</w:t>
      </w:r>
    </w:p>
    <w:p w14:paraId="6BA3FD1E">
      <w:pPr>
        <w:widowControl/>
        <w:ind w:firstLine="0" w:firstLineChars="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</w:rPr>
        <w:t>1.</w:t>
      </w:r>
      <w:r>
        <w:rPr>
          <w:rFonts w:hint="eastAsia" w:cs="Times New Roman"/>
          <w:b/>
          <w:bCs/>
          <w:color w:val="C00000"/>
        </w:rPr>
        <w:t xml:space="preserve"> </w:t>
      </w:r>
      <w:r>
        <w:rPr>
          <w:rFonts w:cs="Times New Roman"/>
          <w:b/>
          <w:bCs/>
        </w:rPr>
        <w:t>项目</w:t>
      </w:r>
      <w:r>
        <w:rPr>
          <w:rFonts w:hint="eastAsia" w:cs="Times New Roman"/>
          <w:b/>
          <w:bCs/>
        </w:rPr>
        <w:t>技术路径</w:t>
      </w:r>
    </w:p>
    <w:p w14:paraId="6B42B9D4">
      <w:pPr>
        <w:widowControl/>
        <w:ind w:left="0" w:leftChars="0" w:firstLine="420" w:firstLineChars="0"/>
        <w:jc w:val="left"/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依依托MetaBCI平台，“MetaBCI-WebGame”集成SSVEP编解码、WebSocket通信与前端交互，实现四方向实时脑控网页游戏。</w:t>
      </w:r>
    </w:p>
    <w:p w14:paraId="05732A3E">
      <w:pPr>
        <w:widowControl/>
        <w:ind w:left="0" w:leftChars="0" w:firstLine="420" w:firstLineChars="0"/>
        <w:jc w:val="left"/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① 刺激呈现：前端Canvas独立实现灰度调制刺激块（8.25/11.0/13.75/16.5 Hz），轻量跨平台。</w:t>
      </w:r>
    </w:p>
    <w:p w14:paraId="59D22A81">
      <w:pPr>
        <w:widowControl/>
        <w:ind w:left="0" w:leftChars="0" w:firstLine="420" w:firstLineChars="0"/>
        <w:jc w:val="left"/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② 数据获取：调用Neuracle放大器TCP/IP采集14通道EEG（250Hz），支持连续EEG+Trigger格式。</w:t>
      </w:r>
    </w:p>
    <w:p w14:paraId="0EAFAD4B">
      <w:pPr>
        <w:widowControl/>
        <w:ind w:left="0" w:leftChars="0" w:firstLine="420" w:firstLineChars="0"/>
        <w:jc w:val="left"/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③ 信号处理：基于FBTRCA/FBTDCA，训练0.5/1.0/1.5/2.0s四个模型，构建固定起点递增窗口动态停止策略，每100ms检测，满足阈值则提前输出，最晚2s输出。经离线伪在线验证，准确率98.12%，平均决策延迟688ms，93.1%试次提前停止。</w:t>
      </w:r>
    </w:p>
    <w:p w14:paraId="00B1BCF4">
      <w:pPr>
        <w:widowControl/>
        <w:ind w:left="0" w:leftChars="0" w:firstLine="420" w:firstLineChars="0"/>
        <w:jc w:val="left"/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④ 指令传输：WebSocket以JSON协议实时推送解码方向及置信度。</w:t>
      </w:r>
    </w:p>
    <w:p w14:paraId="5901AD27">
      <w:pPr>
        <w:widowControl/>
        <w:ind w:left="0" w:leftChars="0" w:firstLine="420" w:firstLineChars="0"/>
        <w:jc w:val="left"/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⑤ 前端交互：双Canvas架构实现迷宫/贪吃蛇/赛车三款游戏，实时显示置信度柱状图，内置离线演示与在线评测双模式。</w:t>
      </w:r>
      <w:r>
        <w:rPr>
          <w:rFonts w:hint="eastAsia" w:cs="Times New Roman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3511550"/>
            <wp:effectExtent l="0" t="0" r="10160" b="12700"/>
            <wp:docPr id="1" name="图片 1" descr="项目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框架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87AE">
      <w:pPr>
        <w:widowControl/>
        <w:ind w:left="0" w:leftChars="0" w:firstLine="0" w:firstLineChars="0"/>
        <w:jc w:val="center"/>
        <w:rPr>
          <w:rFonts w:hint="default" w:eastAsia="宋体" w:cs="Times New Roman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项目框架图</w:t>
      </w:r>
    </w:p>
    <w:p w14:paraId="06F84E75">
      <w:pPr>
        <w:widowControl/>
        <w:ind w:firstLine="0" w:firstLineChars="0"/>
        <w:rPr>
          <w:rFonts w:cs="Times New Roman"/>
        </w:rPr>
      </w:pPr>
    </w:p>
    <w:p w14:paraId="7EE69BF1">
      <w:pPr>
        <w:widowControl/>
        <w:ind w:firstLine="0" w:firstLineChars="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</w:rPr>
        <w:t>2.</w:t>
      </w:r>
      <w:r>
        <w:rPr>
          <w:rFonts w:cs="Times New Roman"/>
          <w:b/>
          <w:bCs/>
          <w:color w:val="C00000"/>
        </w:rPr>
        <w:t xml:space="preserve"> </w:t>
      </w:r>
      <w:r>
        <w:rPr>
          <w:rFonts w:cs="Times New Roman"/>
          <w:b/>
          <w:bCs/>
        </w:rPr>
        <w:t>项目整体效果</w:t>
      </w:r>
    </w:p>
    <w:p w14:paraId="6FF96AA7">
      <w:pPr>
        <w:widowControl/>
        <w:ind w:firstLine="0" w:firstLineChars="0"/>
        <w:jc w:val="both"/>
        <w:rPr>
          <w:rFonts w:cs="Times New Roman"/>
        </w:rPr>
      </w:pPr>
      <w:r>
        <w:rPr>
          <w:rFonts w:cs="Times New Roman"/>
        </w:rPr>
        <w:t>[说明：</w:t>
      </w:r>
      <w:r>
        <w:rPr>
          <w:rFonts w:hint="eastAsia" w:cs="Times New Roman"/>
        </w:rPr>
        <w:t>定性或定量表述项目使用MetaBCI所开发的项目成效，可附示意图，不多于300字。</w:t>
      </w:r>
      <w:r>
        <w:rPr>
          <w:rFonts w:cs="Times New Roman"/>
          <w:sz w:val="15"/>
          <w:szCs w:val="15"/>
        </w:rPr>
        <w:t>（灰色字体为示例</w:t>
      </w:r>
      <w:r>
        <w:rPr>
          <w:rFonts w:hint="eastAsia" w:cs="Times New Roman"/>
          <w:sz w:val="15"/>
          <w:szCs w:val="15"/>
        </w:rPr>
        <w:t>，正式填写时删除</w:t>
      </w:r>
      <w:r>
        <w:rPr>
          <w:rFonts w:cs="Times New Roman"/>
          <w:sz w:val="15"/>
          <w:szCs w:val="15"/>
        </w:rPr>
        <w:t>）</w:t>
      </w:r>
      <w:r>
        <w:rPr>
          <w:rFonts w:cs="Times New Roman"/>
        </w:rPr>
        <w:t>]</w:t>
      </w:r>
    </w:p>
    <w:p w14:paraId="4E7D7D7B">
      <w:pPr>
        <w:widowControl/>
        <w:ind w:firstLine="0" w:firstLineChars="0"/>
        <w:rPr>
          <w:rFonts w:cs="Times New Roman"/>
        </w:rPr>
      </w:pPr>
    </w:p>
    <w:p w14:paraId="2E52EB07">
      <w:pPr>
        <w:widowControl/>
        <w:ind w:firstLine="0" w:firstLineChars="0"/>
        <w:jc w:val="both"/>
        <w:rPr>
          <w:rFonts w:hint="eastAsia" w:cs="Times New Roman"/>
        </w:rPr>
      </w:pPr>
      <w:r>
        <w:rPr>
          <w:rFonts w:hint="eastAsia" w:cs="Times New Roman"/>
        </w:rPr>
        <w:t>本项目基于SSVEP范式构建了面向网页游戏的在线脑控交互系统。通过离线伪在线评估验证，系统达到以下性能：</w:t>
      </w:r>
    </w:p>
    <w:tbl>
      <w:tblPr>
        <w:tblStyle w:val="17"/>
        <w:tblW w:w="11229" w:type="dxa"/>
        <w:tblInd w:w="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9"/>
        <w:gridCol w:w="7020"/>
      </w:tblGrid>
      <w:tr w14:paraId="2B8EA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209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F1E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指标</w:t>
            </w:r>
          </w:p>
        </w:tc>
        <w:tc>
          <w:tcPr>
            <w:tcW w:w="702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366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数值</w:t>
            </w:r>
          </w:p>
        </w:tc>
      </w:tr>
      <w:tr w14:paraId="511B9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F9D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固定窗口离线准确率</w:t>
            </w:r>
          </w:p>
        </w:tc>
        <w:tc>
          <w:tcPr>
            <w:tcW w:w="70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820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99.69%</w:t>
            </w:r>
          </w:p>
        </w:tc>
      </w:tr>
      <w:tr w14:paraId="65E18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010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Growing Window离线伪在线准确率</w:t>
            </w:r>
          </w:p>
        </w:tc>
        <w:tc>
          <w:tcPr>
            <w:tcW w:w="70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99F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98.12%</w:t>
            </w:r>
          </w:p>
        </w:tc>
      </w:tr>
      <w:tr w14:paraId="23016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EBF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平均决策时间</w:t>
            </w:r>
          </w:p>
        </w:tc>
        <w:tc>
          <w:tcPr>
            <w:tcW w:w="70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0A4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688 ms</w:t>
            </w:r>
          </w:p>
        </w:tc>
      </w:tr>
      <w:tr w14:paraId="659BA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27A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提前停止率（2s前）</w:t>
            </w:r>
          </w:p>
        </w:tc>
        <w:tc>
          <w:tcPr>
            <w:tcW w:w="70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AAE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93.1%</w:t>
            </w:r>
          </w:p>
        </w:tc>
      </w:tr>
    </w:tbl>
    <w:p w14:paraId="7C0A99FA">
      <w:pPr>
        <w:widowControl/>
        <w:ind w:firstLine="420" w:firstLineChars="0"/>
        <w:jc w:val="both"/>
        <w:rPr>
          <w:rFonts w:hint="eastAsia" w:cs="Times New Roman"/>
        </w:rPr>
      </w:pPr>
      <w:r>
        <w:rPr>
          <w:rFonts w:hint="eastAsia" w:cs="Times New Roman"/>
        </w:rPr>
        <w:t>项目基于MetaBCI的brainda、brainstim、brainflow三个子平台完成开发，新增Growing Window动态停止模块、AdvancedVoter投票器及WebSocket通信接口，系统可稳定控制迷宫、贪吃蛇、赛车三款网页游戏。</w:t>
      </w:r>
    </w:p>
    <w:p w14:paraId="0F50474D">
      <w:pPr>
        <w:widowControl/>
        <w:ind w:firstLine="420" w:firstLineChars="0"/>
        <w:jc w:val="both"/>
        <w:rPr>
          <w:rFonts w:hint="eastAsia" w:cs="Times New Roman"/>
        </w:rPr>
      </w:pPr>
      <w:r>
        <w:rPr>
          <w:rFonts w:hint="eastAsia" w:cs="Times New Roman"/>
        </w:rPr>
        <w:t>测试示例程序路径：train_self_model.py（模型训练）、eval_growing_window.py（性能评估）、validate_threshold_robustness.py（参数验证）、index.html（前端评测）</w:t>
      </w:r>
    </w:p>
    <w:p w14:paraId="3E0F35DF">
      <w:pPr>
        <w:widowControl/>
        <w:ind w:firstLine="0" w:firstLineChars="0"/>
        <w:jc w:val="center"/>
        <w:rPr>
          <w:rFonts w:cs="Times New Roma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"C:\\Users\\Administrator\\Documents\\Tencent Files\\2633448051\\nt_qq\\nt_data\\Pic\\2026-06\\Ori\\f8b6e1a7dcce270a121c554854ce54d4.png"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13075" cy="2549525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l="24787" t="16316" r="24691" b="475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2870848">
      <w:pPr>
        <w:widowControl/>
        <w:ind w:firstLine="0" w:firstLineChars="0"/>
        <w:jc w:val="center"/>
        <w:rPr>
          <w:rFonts w:cs="Times New Roman"/>
          <w:color w:val="AEAEAE" w:themeColor="background2" w:themeShade="BF"/>
        </w:rPr>
      </w:pPr>
      <w:r>
        <w:rPr>
          <w:rFonts w:hint="eastAsia" w:cs="Times New Roman"/>
          <w:b w:val="0"/>
          <w:bCs w:val="0"/>
          <w:color w:val="auto"/>
        </w:rPr>
        <w:t>整体效果示意图</w:t>
      </w:r>
      <w:r>
        <w:rPr>
          <w:rFonts w:cs="Times New Roman"/>
          <w:color w:val="AEAEAE" w:themeColor="background2" w:themeShade="BF"/>
        </w:rPr>
        <w:br w:type="textWrapping"/>
      </w:r>
    </w:p>
    <w:p w14:paraId="17BF4C8B">
      <w:pPr>
        <w:pStyle w:val="46"/>
        <w:numPr>
          <w:ilvl w:val="0"/>
          <w:numId w:val="2"/>
        </w:numPr>
        <w:autoSpaceDE/>
        <w:autoSpaceDN/>
        <w:spacing w:before="312" w:beforeLines="100"/>
        <w:ind w:firstLine="0" w:firstLineChars="0"/>
        <w:rPr>
          <w:rFonts w:hint="eastAsia" w:ascii="楷体" w:hAnsi="楷体" w:eastAsia="楷体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代码功能明细</w:t>
      </w:r>
    </w:p>
    <w:p w14:paraId="3E43A0E9">
      <w:pPr>
        <w:widowControl/>
        <w:spacing w:before="156" w:beforeLines="50"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1</w:t>
      </w:r>
      <w:r>
        <w:rPr>
          <w:rFonts w:cs="Times New Roman"/>
          <w:b/>
          <w:bCs/>
        </w:rPr>
        <w:t>.</w:t>
      </w:r>
      <w:r>
        <w:rPr>
          <w:rFonts w:cs="Times New Roman"/>
          <w:b/>
          <w:bCs/>
          <w:color w:val="C00000"/>
        </w:rPr>
        <w:t xml:space="preserve"> </w:t>
      </w:r>
      <w:r>
        <w:rPr>
          <w:rFonts w:cs="Times New Roman"/>
          <w:b/>
          <w:bCs/>
        </w:rPr>
        <w:t>代码开源仓库网址（Github或Gitee）</w:t>
      </w:r>
    </w:p>
    <w:p w14:paraId="04BC9EC7">
      <w:pPr>
        <w:widowControl/>
        <w:ind w:firstLine="0" w:firstLineChars="0"/>
        <w:jc w:val="both"/>
        <w:rPr>
          <w:rFonts w:cs="Times New Roman"/>
        </w:rPr>
      </w:pPr>
      <w:r>
        <w:rPr>
          <w:rFonts w:cs="Times New Roman"/>
        </w:rPr>
        <w:t>[说明：</w:t>
      </w:r>
      <w:r>
        <w:rPr>
          <w:rFonts w:hint="eastAsia" w:cs="Times New Roman"/>
        </w:rPr>
        <w:t>①</w:t>
      </w:r>
      <w:r>
        <w:rPr>
          <w:rFonts w:cs="Times New Roman"/>
        </w:rPr>
        <w:t>应利用Github或Gitee上的Fork功能，从MetaBCI源仓库分叉（Fork）出应用开发仓库，所提交的应用开发内容均需体现在该仓库中。同时，仓库主页需</w:t>
      </w:r>
      <w:r>
        <w:rPr>
          <w:rFonts w:hint="eastAsia" w:cs="Times New Roman"/>
        </w:rPr>
        <w:t>包含</w:t>
      </w:r>
      <w:r>
        <w:rPr>
          <w:rFonts w:cs="Times New Roman"/>
          <w:b/>
          <w:bCs/>
        </w:rPr>
        <w:t>概述</w:t>
      </w:r>
      <w:r>
        <w:rPr>
          <w:rFonts w:hint="eastAsia" w:cs="Times New Roman"/>
          <w:b/>
          <w:bCs/>
        </w:rPr>
        <w:t>说明</w:t>
      </w:r>
      <w:r>
        <w:rPr>
          <w:rFonts w:cs="Times New Roman"/>
        </w:rPr>
        <w:t>，</w:t>
      </w:r>
      <w:r>
        <w:rPr>
          <w:rFonts w:hint="eastAsia" w:cs="Times New Roman"/>
        </w:rPr>
        <w:t>仓库应包含</w:t>
      </w:r>
      <w:r>
        <w:rPr>
          <w:rFonts w:hint="eastAsia" w:cs="Times New Roman"/>
          <w:b/>
          <w:bCs/>
        </w:rPr>
        <w:t>项目整体效果及各新增、修复功能点对应的测试示例程序</w:t>
      </w:r>
      <w:r>
        <w:rPr>
          <w:rFonts w:hint="eastAsia" w:cs="Times New Roman"/>
        </w:rPr>
        <w:t>；②</w:t>
      </w:r>
      <w:r>
        <w:rPr>
          <w:rFonts w:cs="Times New Roman"/>
        </w:rPr>
        <w:t>使用符合开源协议的许可证，</w:t>
      </w:r>
      <w:r>
        <w:rPr>
          <w:rFonts w:cs="Times New Roman"/>
          <w:b/>
          <w:bCs/>
        </w:rPr>
        <w:t>确保代码对其他开发者开放</w:t>
      </w:r>
      <w:r>
        <w:rPr>
          <w:rFonts w:hint="eastAsia" w:cs="Times New Roman"/>
        </w:rPr>
        <w:t>。</w:t>
      </w:r>
      <w:r>
        <w:rPr>
          <w:rFonts w:cs="Times New Roman"/>
        </w:rPr>
        <w:t>]</w:t>
      </w:r>
    </w:p>
    <w:p w14:paraId="2CB6335E">
      <w:pPr>
        <w:widowControl/>
        <w:ind w:firstLine="0" w:firstLineChars="0"/>
        <w:jc w:val="both"/>
        <w:rPr>
          <w:rFonts w:cs="Times New Roma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"https://github.com/flamejkl/MetaBCI"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1"/>
          <w:rFonts w:ascii="宋体" w:hAnsi="宋体" w:eastAsia="宋体" w:cs="宋体"/>
          <w:sz w:val="24"/>
          <w:szCs w:val="24"/>
        </w:rPr>
        <w:t>flamejkl/MetaBCI: MetaBCI: China’s first open-source platform for non-invasive brain computer interface. The project of MetaBCI is led by Prof. Minpeng Xu from Tianjin University, China.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85F0F1A">
      <w:pPr>
        <w:widowControl/>
        <w:ind w:firstLine="0" w:firstLineChars="0"/>
        <w:rPr>
          <w:rFonts w:cs="Times New Roman"/>
          <w:u w:val="single"/>
        </w:rPr>
      </w:pPr>
      <w:r>
        <w:rPr>
          <w:rFonts w:cs="Times New Roman"/>
          <w:u w:val="single"/>
        </w:rPr>
        <w:t xml:space="preserve">           </w:t>
      </w:r>
      <w:r>
        <w:rPr>
          <w:rFonts w:hint="eastAsia" w:cs="Times New Roman"/>
          <w:u w:val="single"/>
        </w:rPr>
        <w:t xml:space="preserve">                                         </w:t>
      </w:r>
      <w:r>
        <w:rPr>
          <w:rFonts w:cs="Times New Roman"/>
          <w:u w:val="single"/>
        </w:rPr>
        <w:t xml:space="preserve">                </w:t>
      </w:r>
    </w:p>
    <w:p w14:paraId="58ED495C">
      <w:pPr>
        <w:widowControl/>
        <w:ind w:firstLine="0" w:firstLineChars="0"/>
        <w:rPr>
          <w:rFonts w:cs="Times New Roman"/>
        </w:rPr>
      </w:pPr>
    </w:p>
    <w:p w14:paraId="222446E9">
      <w:pPr>
        <w:widowControl/>
        <w:spacing w:before="156" w:beforeLines="50"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2. 代码测试说明</w:t>
      </w:r>
    </w:p>
    <w:p w14:paraId="64C10F1E">
      <w:pPr>
        <w:widowControl/>
        <w:numPr>
          <w:ilvl w:val="255"/>
          <w:numId w:val="0"/>
        </w:numPr>
        <w:rPr>
          <w:rFonts w:hint="eastAsia" w:cs="Times New Roman"/>
        </w:rPr>
      </w:pPr>
      <w:r>
        <w:rPr>
          <w:rFonts w:cs="Times New Roman"/>
        </w:rPr>
        <w:t>[说明</w:t>
      </w:r>
      <w:r>
        <w:rPr>
          <w:rFonts w:hint="eastAsia" w:cs="Times New Roman"/>
        </w:rPr>
        <w:t>：请提供</w:t>
      </w:r>
      <w:r>
        <w:rPr>
          <w:rFonts w:hint="eastAsia" w:cs="Times New Roman"/>
          <w:b/>
          <w:bCs/>
        </w:rPr>
        <w:t>测试项目的补充说明信息</w:t>
      </w:r>
      <w:r>
        <w:rPr>
          <w:rFonts w:hint="eastAsia" w:cs="Times New Roman"/>
        </w:rPr>
        <w:t>，例如运行环境配置、代码目录结构、代码功能使用指导等。注意，主办方工作人员将参考此说明对项目进行测试。</w:t>
      </w:r>
      <w:r>
        <w:rPr>
          <w:rFonts w:cs="Times New Roman"/>
        </w:rPr>
        <w:t>若无，则统一填写“无”。</w:t>
      </w:r>
      <w:r>
        <w:rPr>
          <w:rFonts w:hint="eastAsia" w:cs="Times New Roman"/>
        </w:rPr>
        <w:t>]</w:t>
      </w:r>
    </w:p>
    <w:p w14:paraId="621376E4">
      <w:pPr>
        <w:widowControl/>
        <w:numPr>
          <w:ilvl w:val="255"/>
          <w:numId w:val="0"/>
        </w:numPr>
        <w:ind w:left="0" w:leftChars="0" w:firstLine="480" w:firstLineChars="20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运行环境配置：</w:t>
      </w:r>
    </w:p>
    <w:tbl>
      <w:tblPr>
        <w:tblStyle w:val="17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6713"/>
      </w:tblGrid>
      <w:tr w14:paraId="1D5FA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F9FF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项目</w:t>
            </w:r>
          </w:p>
        </w:tc>
        <w:tc>
          <w:tcPr>
            <w:tcW w:w="6713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EA5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说明</w:t>
            </w:r>
          </w:p>
        </w:tc>
      </w:tr>
      <w:tr w14:paraId="7EA74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90FF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Python版本</w:t>
            </w:r>
          </w:p>
        </w:tc>
        <w:tc>
          <w:tcPr>
            <w:tcW w:w="671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A179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3.8+</w:t>
            </w:r>
          </w:p>
        </w:tc>
      </w:tr>
      <w:tr w14:paraId="2D1F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8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D762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核心依赖</w:t>
            </w:r>
          </w:p>
        </w:tc>
        <w:tc>
          <w:tcPr>
            <w:tcW w:w="671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A32E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metabci</w:t>
            </w: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numpy</w:t>
            </w: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scipy</w:t>
            </w: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scikit-learn</w:t>
            </w: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joblib</w:t>
            </w: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websockets</w:t>
            </w:r>
          </w:p>
        </w:tc>
      </w:tr>
    </w:tbl>
    <w:p w14:paraId="258BAB9A">
      <w:pPr>
        <w:widowControl/>
        <w:numPr>
          <w:ilvl w:val="255"/>
          <w:numId w:val="0"/>
        </w:numPr>
        <w:ind w:left="0" w:leftChars="0" w:firstLine="480" w:firstLineChars="20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启动命令：</w:t>
      </w:r>
    </w:p>
    <w:p w14:paraId="21C421BE">
      <w:pPr>
        <w:widowControl/>
        <w:numPr>
          <w:ilvl w:val="255"/>
          <w:numId w:val="0"/>
        </w:numPr>
        <w:ind w:left="0" w:leftChars="0" w:firstLine="480" w:firstLineChars="20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bash</w:t>
      </w:r>
    </w:p>
    <w:p w14:paraId="2D5A8F0B">
      <w:pPr>
        <w:widowControl/>
        <w:numPr>
          <w:ilvl w:val="255"/>
          <w:numId w:val="0"/>
        </w:numPr>
        <w:ind w:left="0" w:leftChars="0" w:firstLine="480" w:firstLineChars="20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pip install metabci numpy scipy scikit-learn joblib websocketspython main.py              # 启动WebSocket服务器# 浏览器打开 index.html    # 前端游戏界面</w:t>
      </w:r>
    </w:p>
    <w:p w14:paraId="3C4A6E49">
      <w:pPr>
        <w:pStyle w:val="15"/>
        <w:keepNext w:val="0"/>
        <w:keepLines w:val="0"/>
        <w:widowControl/>
        <w:suppressLineNumbers w:val="0"/>
        <w:spacing w:before="192" w:beforeAutospacing="0" w:after="192" w:afterAutospacing="0"/>
        <w:ind w:left="0" w:leftChars="0" w:right="0" w:firstLine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  <w14:ligatures w14:val="standardContextual"/>
        </w:rPr>
        <w:t>代码目录结构：</w:t>
      </w:r>
    </w:p>
    <w:tbl>
      <w:tblPr>
        <w:tblStyle w:val="17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4"/>
        <w:gridCol w:w="4281"/>
      </w:tblGrid>
      <w:tr w14:paraId="65823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FE24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文件</w:t>
            </w:r>
          </w:p>
        </w:tc>
        <w:tc>
          <w:tcPr>
            <w:tcW w:w="4281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ADF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说明</w:t>
            </w:r>
          </w:p>
        </w:tc>
      </w:tr>
      <w:tr w14:paraId="57BA5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B6B5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main.py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D7A6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WebSocket服务器启动入口</w:t>
            </w:r>
          </w:p>
        </w:tc>
      </w:tr>
      <w:tr w14:paraId="2034C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E58B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websocket_server.py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9A06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WebSocket服务端核心逻辑</w:t>
            </w:r>
          </w:p>
        </w:tc>
      </w:tr>
      <w:tr w14:paraId="50181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38FB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（growing_window_decoder 已移入 metabci/brainda）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C5F5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Growing Window动态停止解码器</w:t>
            </w:r>
          </w:p>
        </w:tc>
      </w:tr>
      <w:tr w14:paraId="5B5FB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A7B3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（advanced_voter 已移入 metabci/brainda）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DE91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自适应投票器</w:t>
            </w:r>
          </w:p>
        </w:tc>
      </w:tr>
      <w:tr w14:paraId="4A925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324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（online_decode 已删除）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E287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在线解码器</w:t>
            </w:r>
          </w:p>
        </w:tc>
      </w:tr>
      <w:tr w14:paraId="340FC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8ADA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data_acquisition.py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923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EEG采集封装</w:t>
            </w:r>
          </w:p>
        </w:tc>
      </w:tr>
      <w:tr w14:paraId="5352F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D6BB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train_self_model.py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C86C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模型训练脚本</w:t>
            </w:r>
          </w:p>
        </w:tc>
      </w:tr>
      <w:tr w14:paraId="11046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36D4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eval_growing_window.py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4B5A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阈值搜索与性能评估</w:t>
            </w:r>
          </w:p>
        </w:tc>
      </w:tr>
      <w:tr w14:paraId="1A5A7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4C96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validate_threshold_robustness.py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16D4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参数鲁棒性验证</w:t>
            </w:r>
          </w:p>
        </w:tc>
      </w:tr>
      <w:tr w14:paraId="02A2C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E687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extract_with_hw_trigger.py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6743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硬件触发数据分割工具</w:t>
            </w:r>
          </w:p>
        </w:tc>
      </w:tr>
      <w:tr w14:paraId="13451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1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B3DC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index.html</w:t>
            </w: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 / </w:t>
            </w: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game.js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D21E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5"/>
                <w:szCs w:val="18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前端游戏界面</w:t>
            </w:r>
          </w:p>
        </w:tc>
      </w:tr>
      <w:tr w14:paraId="4DE4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1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1F81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</w:pPr>
            <w:r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  <w:t>run_ssvep_experiment.py</w:t>
            </w: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BB39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</w:pPr>
            <w:r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  <w:t>PsychoPy离线采集程序，呈现SSVEP刺激并同步记录EEG与Trigger，生成full_experiment.mat。注：核心算法 GrowingWindowDecoder、AdvancedVoter 已移入 metabci/brainda/algorithms/decomposition/；在线引擎 ContinuousStreamingEngine、SSVEPWorker 已移入 metabci/brainflow/；数据集 SelfSSVEP 已移入 metabci/brainda/datasets/；前端已移入 metabci/webgame/static/。均通过 __init__.py 注册导出。</w:t>
            </w:r>
          </w:p>
        </w:tc>
      </w:tr>
      <w:tr w14:paraId="2D493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1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3C39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Style w:val="22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  <w14:ligatures w14:val="standardContextual"/>
              </w:rPr>
            </w:pPr>
          </w:p>
        </w:tc>
        <w:tc>
          <w:tcPr>
            <w:tcW w:w="42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5B5E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kern w:val="0"/>
                <w:sz w:val="15"/>
                <w:szCs w:val="18"/>
                <w:lang w:val="en-US" w:eastAsia="zh-CN" w:bidi="ar"/>
                <w14:ligatures w14:val="standardContextual"/>
              </w:rPr>
            </w:pPr>
          </w:p>
        </w:tc>
      </w:tr>
    </w:tbl>
    <w:p w14:paraId="7A099F6C">
      <w:pPr>
        <w:widowControl/>
        <w:numPr>
          <w:ilvl w:val="255"/>
          <w:numId w:val="0"/>
        </w:numPr>
        <w:rPr>
          <w:rFonts w:hint="eastAsia" w:cs="Times New Roman"/>
        </w:rPr>
      </w:pPr>
    </w:p>
    <w:p w14:paraId="1E345EF2">
      <w:pPr>
        <w:widowControl/>
        <w:ind w:firstLine="0" w:firstLineChars="0"/>
        <w:rPr>
          <w:rFonts w:cs="Times New Roman"/>
        </w:rPr>
      </w:pPr>
    </w:p>
    <w:p w14:paraId="253E456E">
      <w:pPr>
        <w:widowControl/>
        <w:ind w:firstLine="0" w:firstLineChars="0"/>
        <w:rPr>
          <w:rFonts w:cs="Times New Roman"/>
        </w:rPr>
      </w:pPr>
    </w:p>
    <w:p w14:paraId="590C9C51">
      <w:pPr>
        <w:widowControl/>
        <w:spacing w:before="156" w:beforeLines="50"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3</w:t>
      </w:r>
      <w:r>
        <w:rPr>
          <w:rFonts w:cs="Times New Roman"/>
          <w:b/>
          <w:bCs/>
        </w:rPr>
        <w:t>.</w:t>
      </w:r>
      <w:r>
        <w:rPr>
          <w:rFonts w:hint="eastAsia" w:cs="Times New Roman"/>
          <w:b/>
          <w:bCs/>
        </w:rPr>
        <w:t xml:space="preserve"> </w:t>
      </w:r>
      <w:r>
        <w:rPr>
          <w:rFonts w:cs="Times New Roman"/>
          <w:b/>
          <w:bCs/>
        </w:rPr>
        <w:t>项目指标</w:t>
      </w:r>
      <w:r>
        <w:rPr>
          <w:rFonts w:hint="eastAsia" w:cs="Times New Roman"/>
          <w:b/>
          <w:bCs/>
        </w:rPr>
        <w:t>达成</w:t>
      </w:r>
      <w:r>
        <w:rPr>
          <w:rFonts w:cs="Times New Roman"/>
          <w:b/>
          <w:bCs/>
        </w:rPr>
        <w:t>情况</w:t>
      </w:r>
    </w:p>
    <w:p w14:paraId="2D8CAFCF">
      <w:pPr>
        <w:widowControl/>
        <w:ind w:firstLine="0" w:firstLineChars="0"/>
        <w:jc w:val="both"/>
        <w:rPr>
          <w:rFonts w:cs="Times New Roman"/>
        </w:rPr>
      </w:pPr>
      <w:r>
        <w:rPr>
          <w:rFonts w:cs="Times New Roman"/>
        </w:rPr>
        <w:t>[说明：</w:t>
      </w:r>
      <w:r>
        <w:rPr>
          <w:rFonts w:hint="eastAsia" w:cs="Times New Roman"/>
        </w:rPr>
        <w:t>填写</w:t>
      </w:r>
      <w:r>
        <w:rPr>
          <w:rFonts w:hint="eastAsia" w:cs="Times New Roman"/>
          <w:b/>
          <w:bCs/>
        </w:rPr>
        <w:t>项目所属类型（参考官网赛制说明）以及所达到的类别数、导联数、数据时长、分类正确率等基线指标</w:t>
      </w:r>
      <w:r>
        <w:rPr>
          <w:rFonts w:hint="eastAsia" w:cs="Times New Roman"/>
        </w:rPr>
        <w:t>，并给出相应示例程序测试效果</w:t>
      </w:r>
      <w:r>
        <w:rPr>
          <w:rFonts w:cs="Times New Roman"/>
        </w:rPr>
        <w:t>。</w:t>
      </w:r>
      <w:r>
        <w:rPr>
          <w:rFonts w:cs="Times New Roman"/>
          <w:sz w:val="15"/>
          <w:szCs w:val="15"/>
        </w:rPr>
        <w:t>（灰色字体为示例</w:t>
      </w:r>
      <w:r>
        <w:rPr>
          <w:rFonts w:hint="eastAsia" w:cs="Times New Roman"/>
          <w:sz w:val="15"/>
          <w:szCs w:val="15"/>
        </w:rPr>
        <w:t>，正式填写时删除</w:t>
      </w:r>
      <w:r>
        <w:rPr>
          <w:rFonts w:cs="Times New Roman"/>
          <w:sz w:val="15"/>
          <w:szCs w:val="15"/>
        </w:rPr>
        <w:t>）</w:t>
      </w:r>
      <w:r>
        <w:rPr>
          <w:rFonts w:cs="Times New Roman"/>
        </w:rPr>
        <w:t>]</w:t>
      </w:r>
    </w:p>
    <w:tbl>
      <w:tblPr>
        <w:tblStyle w:val="17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2"/>
        <w:gridCol w:w="1815"/>
        <w:gridCol w:w="2133"/>
        <w:gridCol w:w="1130"/>
        <w:gridCol w:w="2485"/>
      </w:tblGrid>
      <w:tr w14:paraId="61A97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0984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项目类型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819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类别数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48D9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导联数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633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数据时长</w:t>
            </w:r>
          </w:p>
        </w:tc>
        <w:tc>
          <w:tcPr>
            <w:tcW w:w="2485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713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分类正确率</w:t>
            </w:r>
          </w:p>
        </w:tc>
      </w:tr>
      <w:tr w14:paraId="0EABE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3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3C1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SSVEP</w:t>
            </w:r>
          </w:p>
        </w:tc>
        <w:tc>
          <w:tcPr>
            <w:tcW w:w="181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A45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4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（上/下/左/右）</w:t>
            </w:r>
          </w:p>
        </w:tc>
        <w:tc>
          <w:tcPr>
            <w:tcW w:w="213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F25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14采集 / 8枕区分类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B99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2.0秒</w:t>
            </w:r>
          </w:p>
        </w:tc>
        <w:tc>
          <w:tcPr>
            <w:tcW w:w="248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1C0E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98.12%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（离线伪在线验证）</w:t>
            </w:r>
          </w:p>
        </w:tc>
      </w:tr>
    </w:tbl>
    <w:p w14:paraId="101CD21A">
      <w:pPr>
        <w:pStyle w:val="1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right="0" w:firstLine="0"/>
        <w:jc w:val="both"/>
        <w:rPr>
          <w:rFonts w:cs="Times New Roman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>测试示例程序路径：</w:t>
      </w:r>
      <w:r>
        <w:rPr>
          <w:rStyle w:val="22"/>
          <w:rFonts w:ascii="Consolas" w:hAnsi="Consolas" w:eastAsia="宋体" w:cs="Consolas"/>
          <w:b w:val="0"/>
          <w:i w:val="0"/>
          <w:iCs w:val="0"/>
          <w:caps w:val="0"/>
          <w:strike w:val="0"/>
          <w:color w:val="auto"/>
          <w:spacing w:val="0"/>
          <w:sz w:val="24"/>
          <w:szCs w:val="18"/>
          <w:u w:val="none"/>
        </w:rPr>
        <w:t>train_self_model.py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9"/>
          <w:u w:val="none"/>
        </w:rPr>
        <w:t>、</w:t>
      </w:r>
      <w:r>
        <w:rPr>
          <w:rStyle w:val="22"/>
          <w:rFonts w:hint="default" w:ascii="Consolas" w:hAnsi="Consolas" w:eastAsia="宋体" w:cs="Consolas"/>
          <w:b w:val="0"/>
          <w:i w:val="0"/>
          <w:iCs w:val="0"/>
          <w:caps w:val="0"/>
          <w:strike w:val="0"/>
          <w:color w:val="auto"/>
          <w:spacing w:val="0"/>
          <w:sz w:val="24"/>
          <w:szCs w:val="18"/>
          <w:u w:val="none"/>
        </w:rPr>
        <w:t>eval_growing_window.py</w:t>
      </w:r>
    </w:p>
    <w:p w14:paraId="5A2B3152">
      <w:pPr>
        <w:widowControl/>
        <w:spacing w:before="156" w:beforeLines="50"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4</w:t>
      </w:r>
      <w:r>
        <w:rPr>
          <w:rFonts w:cs="Times New Roman"/>
          <w:b/>
          <w:bCs/>
        </w:rPr>
        <w:t>. 基础功能点说明</w:t>
      </w:r>
    </w:p>
    <w:p w14:paraId="460FF499">
      <w:pPr>
        <w:widowControl/>
        <w:ind w:firstLine="0" w:firstLineChars="0"/>
        <w:jc w:val="both"/>
        <w:rPr>
          <w:rFonts w:cs="Times New Roman"/>
          <w:u w:val="single"/>
        </w:rPr>
      </w:pPr>
      <w:r>
        <w:rPr>
          <w:rFonts w:cs="Times New Roman"/>
        </w:rPr>
        <w:t>[说明：填写</w:t>
      </w:r>
      <w:r>
        <w:rPr>
          <w:rFonts w:hint="eastAsia" w:cs="Times New Roman"/>
        </w:rPr>
        <w:t>项目</w:t>
      </w:r>
      <w:r>
        <w:rPr>
          <w:rFonts w:cs="Times New Roman"/>
        </w:rPr>
        <w:t>调用</w:t>
      </w:r>
      <w:r>
        <w:rPr>
          <w:rFonts w:cs="Times New Roman"/>
          <w:b/>
          <w:bCs/>
        </w:rPr>
        <w:t>MetaBCI的基础功能点</w:t>
      </w:r>
      <w:r>
        <w:rPr>
          <w:rFonts w:cs="Times New Roman"/>
        </w:rPr>
        <w:t>，及功能点在项目仓库中的代码路径、相关类和函数。若无，则统一填写“无”。</w:t>
      </w:r>
      <w:r>
        <w:rPr>
          <w:rFonts w:cs="Times New Roman"/>
          <w:sz w:val="15"/>
          <w:szCs w:val="15"/>
        </w:rPr>
        <w:t xml:space="preserve"> （灰色字体为示例</w:t>
      </w:r>
      <w:r>
        <w:rPr>
          <w:rFonts w:hint="eastAsia" w:cs="Times New Roman"/>
          <w:sz w:val="15"/>
          <w:szCs w:val="15"/>
        </w:rPr>
        <w:t>，正式填写时删除</w:t>
      </w:r>
      <w:r>
        <w:rPr>
          <w:rFonts w:cs="Times New Roman"/>
          <w:sz w:val="15"/>
          <w:szCs w:val="15"/>
        </w:rPr>
        <w:t>）</w:t>
      </w:r>
      <w:r>
        <w:rPr>
          <w:rFonts w:cs="Times New Roman"/>
        </w:rPr>
        <w:t>]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2183"/>
        <w:gridCol w:w="1309"/>
        <w:gridCol w:w="2664"/>
        <w:gridCol w:w="1639"/>
      </w:tblGrid>
      <w:tr w14:paraId="486D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" w:type="pct"/>
            <w:vAlign w:val="center"/>
          </w:tcPr>
          <w:p w14:paraId="6D277B4E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序号</w:t>
            </w:r>
          </w:p>
        </w:tc>
        <w:tc>
          <w:tcPr>
            <w:tcW w:w="1280" w:type="pct"/>
            <w:vAlign w:val="center"/>
          </w:tcPr>
          <w:p w14:paraId="1EB2447E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功能点描述</w:t>
            </w:r>
          </w:p>
        </w:tc>
        <w:tc>
          <w:tcPr>
            <w:tcW w:w="768" w:type="pct"/>
            <w:vAlign w:val="center"/>
          </w:tcPr>
          <w:p w14:paraId="37FA51A4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子平台</w:t>
            </w:r>
          </w:p>
        </w:tc>
        <w:tc>
          <w:tcPr>
            <w:tcW w:w="1563" w:type="pct"/>
            <w:vAlign w:val="center"/>
          </w:tcPr>
          <w:p w14:paraId="191ADF71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代码路径</w:t>
            </w:r>
          </w:p>
        </w:tc>
        <w:tc>
          <w:tcPr>
            <w:tcW w:w="961" w:type="pct"/>
            <w:vAlign w:val="center"/>
          </w:tcPr>
          <w:p w14:paraId="36FAA3E1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类与函数</w:t>
            </w:r>
          </w:p>
        </w:tc>
      </w:tr>
      <w:tr w14:paraId="24BB8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26" w:type="pct"/>
            <w:vAlign w:val="center"/>
          </w:tcPr>
          <w:p w14:paraId="35811547">
            <w:pPr>
              <w:ind w:firstLine="0" w:firstLineChars="0"/>
              <w:jc w:val="center"/>
              <w:rPr>
                <w:rFonts w:eastAsia="楷体" w:cs="Times New Roman"/>
                <w:sz w:val="22"/>
                <w:szCs w:val="22"/>
              </w:rPr>
            </w:pPr>
            <w:r>
              <w:rPr>
                <w:rFonts w:eastAsia="楷体" w:cs="Times New Roman"/>
                <w:sz w:val="22"/>
                <w:szCs w:val="22"/>
              </w:rPr>
              <w:t>1</w:t>
            </w:r>
          </w:p>
        </w:tc>
        <w:tc>
          <w:tcPr>
            <w:tcW w:w="1280" w:type="pct"/>
            <w:vAlign w:val="center"/>
          </w:tcPr>
          <w:p w14:paraId="341A0AC7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使用SSVEP范式参数</w:t>
            </w:r>
          </w:p>
        </w:tc>
        <w:tc>
          <w:tcPr>
            <w:tcW w:w="768" w:type="pct"/>
            <w:vAlign w:val="center"/>
          </w:tcPr>
          <w:p w14:paraId="661C40CB">
            <w:pPr>
              <w:widowControl w:val="0"/>
              <w:ind w:firstLine="0" w:firstLineChars="0"/>
              <w:rPr>
                <w:rFonts w:ascii="Times New Roman" w:hAnsi="Times New Roman" w:eastAsia="宋体" w:cs="Times New Roman"/>
                <w:color w:val="AEAEAE" w:themeColor="background2" w:themeShade="BF"/>
                <w:kern w:val="2"/>
                <w:sz w:val="22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color w:val="auto"/>
                <w:kern w:val="2"/>
                <w:sz w:val="22"/>
                <w:szCs w:val="22"/>
                <w:lang w:val="en-US" w:eastAsia="zh-CN" w:bidi="ar-SA"/>
                <w14:ligatures w14:val="standardContextual"/>
              </w:rPr>
              <w:t>Brainstim</w:t>
            </w:r>
          </w:p>
        </w:tc>
        <w:tc>
          <w:tcPr>
            <w:tcW w:w="1563" w:type="pct"/>
            <w:vAlign w:val="center"/>
          </w:tcPr>
          <w:p w14:paraId="64EE970B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metabci.brainstim.paradigm</w:t>
            </w:r>
          </w:p>
        </w:tc>
        <w:tc>
          <w:tcPr>
            <w:tcW w:w="961" w:type="pct"/>
            <w:vAlign w:val="center"/>
          </w:tcPr>
          <w:p w14:paraId="30255F08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SSVEP</w:t>
            </w:r>
          </w:p>
        </w:tc>
      </w:tr>
      <w:tr w14:paraId="0CE5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26" w:type="pct"/>
            <w:vAlign w:val="center"/>
          </w:tcPr>
          <w:p w14:paraId="4A4A06C6">
            <w:pPr>
              <w:ind w:firstLine="0" w:firstLineChars="0"/>
              <w:jc w:val="center"/>
              <w:rPr>
                <w:rFonts w:eastAsia="楷体" w:cs="Times New Roman"/>
                <w:sz w:val="22"/>
                <w:szCs w:val="22"/>
              </w:rPr>
            </w:pPr>
            <w:r>
              <w:rPr>
                <w:rFonts w:eastAsia="楷体" w:cs="Times New Roman"/>
                <w:sz w:val="22"/>
                <w:szCs w:val="22"/>
              </w:rPr>
              <w:t>2</w:t>
            </w:r>
          </w:p>
        </w:tc>
        <w:tc>
          <w:tcPr>
            <w:tcW w:w="1280" w:type="pct"/>
            <w:vAlign w:val="center"/>
          </w:tcPr>
          <w:p w14:paraId="14F2BD23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使用FBTRCA算法</w:t>
            </w:r>
          </w:p>
        </w:tc>
        <w:tc>
          <w:tcPr>
            <w:tcW w:w="768" w:type="pct"/>
            <w:vAlign w:val="center"/>
          </w:tcPr>
          <w:p w14:paraId="3F4EAE13">
            <w:pPr>
              <w:ind w:firstLine="0" w:firstLineChars="0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cs="Times New Roman"/>
                <w:color w:val="auto"/>
                <w:sz w:val="22"/>
                <w:szCs w:val="22"/>
              </w:rPr>
              <w:t>Brainda</w:t>
            </w:r>
          </w:p>
        </w:tc>
        <w:tc>
          <w:tcPr>
            <w:tcW w:w="1563" w:type="pct"/>
            <w:vAlign w:val="center"/>
          </w:tcPr>
          <w:p w14:paraId="4878D7E2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metabci.brainda.algorithms.decomposition.cca</w:t>
            </w:r>
          </w:p>
        </w:tc>
        <w:tc>
          <w:tcPr>
            <w:tcW w:w="961" w:type="pct"/>
            <w:vAlign w:val="center"/>
          </w:tcPr>
          <w:p w14:paraId="70767EA7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FBTRCA</w:t>
            </w:r>
          </w:p>
        </w:tc>
      </w:tr>
      <w:tr w14:paraId="7C3A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26" w:type="pct"/>
            <w:vAlign w:val="center"/>
          </w:tcPr>
          <w:p w14:paraId="641179DD">
            <w:pPr>
              <w:ind w:firstLine="0" w:firstLineChars="0"/>
              <w:jc w:val="center"/>
              <w:rPr>
                <w:rFonts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80" w:type="pct"/>
            <w:vAlign w:val="center"/>
          </w:tcPr>
          <w:p w14:paraId="0D7D06D4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使用FBTDCA算法</w:t>
            </w:r>
          </w:p>
        </w:tc>
        <w:tc>
          <w:tcPr>
            <w:tcW w:w="768" w:type="pct"/>
            <w:vAlign w:val="center"/>
          </w:tcPr>
          <w:p w14:paraId="107BA9F1">
            <w:pPr>
              <w:ind w:firstLine="0" w:firstLineChars="0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Brainda</w:t>
            </w:r>
          </w:p>
        </w:tc>
        <w:tc>
          <w:tcPr>
            <w:tcW w:w="1563" w:type="pct"/>
            <w:vAlign w:val="center"/>
          </w:tcPr>
          <w:p w14:paraId="73333B7E">
            <w:pPr>
              <w:ind w:firstLine="0" w:firstLineChars="0"/>
              <w:jc w:val="both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metabci.brainda.algorithms.decomposition.tdca</w:t>
            </w:r>
          </w:p>
        </w:tc>
        <w:tc>
          <w:tcPr>
            <w:tcW w:w="961" w:type="pct"/>
            <w:vAlign w:val="center"/>
          </w:tcPr>
          <w:p w14:paraId="0F7E52C7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</w:rPr>
              <w:t>FBTDCA</w:t>
            </w:r>
          </w:p>
        </w:tc>
      </w:tr>
      <w:tr w14:paraId="3318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26" w:type="pct"/>
            <w:vAlign w:val="center"/>
          </w:tcPr>
          <w:p w14:paraId="64ED8068">
            <w:pPr>
              <w:ind w:firstLine="0" w:firstLineChars="0"/>
              <w:jc w:val="center"/>
              <w:rPr>
                <w:rFonts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80" w:type="pct"/>
            <w:vAlign w:val="center"/>
          </w:tcPr>
          <w:p w14:paraId="06640F65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使用滤波器组</w:t>
            </w:r>
          </w:p>
        </w:tc>
        <w:tc>
          <w:tcPr>
            <w:tcW w:w="768" w:type="pct"/>
            <w:vAlign w:val="center"/>
          </w:tcPr>
          <w:p w14:paraId="47AF4199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Brainda</w:t>
            </w:r>
          </w:p>
        </w:tc>
        <w:tc>
          <w:tcPr>
            <w:tcW w:w="1563" w:type="pct"/>
            <w:vAlign w:val="center"/>
          </w:tcPr>
          <w:p w14:paraId="2974755B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metabci.brainda.algorithms.decomposition.base</w:t>
            </w:r>
          </w:p>
        </w:tc>
        <w:tc>
          <w:tcPr>
            <w:tcW w:w="961" w:type="pct"/>
            <w:vAlign w:val="center"/>
          </w:tcPr>
          <w:p w14:paraId="73C6F7AD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generate_filterbank</w:t>
            </w:r>
          </w:p>
        </w:tc>
      </w:tr>
      <w:tr w14:paraId="0D42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26" w:type="pct"/>
            <w:vAlign w:val="center"/>
          </w:tcPr>
          <w:p w14:paraId="7C3CE5E4">
            <w:pPr>
              <w:ind w:firstLine="0" w:firstLineChars="0"/>
              <w:jc w:val="center"/>
              <w:rPr>
                <w:rFonts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80" w:type="pct"/>
            <w:vAlign w:val="center"/>
          </w:tcPr>
          <w:p w14:paraId="474C5E0E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使用Neuracle放大器数据流</w:t>
            </w:r>
          </w:p>
        </w:tc>
        <w:tc>
          <w:tcPr>
            <w:tcW w:w="768" w:type="pct"/>
            <w:vAlign w:val="center"/>
          </w:tcPr>
          <w:p w14:paraId="57C10D3C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Brainflow</w:t>
            </w:r>
          </w:p>
        </w:tc>
        <w:tc>
          <w:tcPr>
            <w:tcW w:w="1563" w:type="pct"/>
            <w:vAlign w:val="center"/>
          </w:tcPr>
          <w:p w14:paraId="2425A1F2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metabci.brainflow.workers, metabci.brainflow.amplifiers</w:t>
            </w:r>
          </w:p>
        </w:tc>
        <w:tc>
          <w:tcPr>
            <w:tcW w:w="961" w:type="pct"/>
            <w:vAlign w:val="center"/>
          </w:tcPr>
          <w:p w14:paraId="52C29103">
            <w:pPr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ProcessWorker, RingBuffer</w:t>
            </w:r>
          </w:p>
        </w:tc>
      </w:tr>
      <w:tr w14:paraId="12D90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6" w:type="pct"/>
            <w:vAlign w:val="center"/>
          </w:tcPr>
          <w:p w14:paraId="6E64CF31">
            <w:pPr>
              <w:ind w:left="0" w:leftChars="0" w:firstLine="240" w:firstLineChars="1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280" w:type="pct"/>
          </w:tcPr>
          <w:p w14:paraId="415B370D">
            <w:pPr>
              <w:jc w:val="center"/>
            </w:pPr>
            <w:r>
              <w:t>使用Experiment实验框架</w:t>
            </w:r>
          </w:p>
        </w:tc>
        <w:tc>
          <w:tcPr>
            <w:tcW w:w="768" w:type="pct"/>
            <w:vAlign w:val="center"/>
          </w:tcPr>
          <w:p w14:paraId="1227FFDC">
            <w:pPr>
              <w:jc w:val="center"/>
            </w:pPr>
            <w:r>
              <w:t>Brainstim</w:t>
            </w:r>
          </w:p>
        </w:tc>
        <w:tc>
          <w:tcPr>
            <w:tcW w:w="1563" w:type="pct"/>
          </w:tcPr>
          <w:p w14:paraId="170C6E5E">
            <w:pPr>
              <w:jc w:val="center"/>
            </w:pPr>
            <w:r>
              <w:t>metabci.brainstim.framework</w:t>
            </w:r>
          </w:p>
        </w:tc>
        <w:tc>
          <w:tcPr>
            <w:tcW w:w="961" w:type="pct"/>
          </w:tcPr>
          <w:p w14:paraId="329F4D67">
            <w:pPr>
              <w:jc w:val="center"/>
            </w:pPr>
            <w:r>
              <w:t>Experiment</w:t>
            </w:r>
          </w:p>
        </w:tc>
      </w:tr>
      <w:tr w14:paraId="635C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6" w:type="pct"/>
            <w:vAlign w:val="center"/>
          </w:tcPr>
          <w:p w14:paraId="5EF7D485">
            <w:pPr>
              <w:ind w:left="0" w:leftChars="0" w:firstLine="240" w:firstLineChars="100"/>
              <w:jc w:val="both"/>
            </w:pPr>
            <w:r>
              <w:t>7</w:t>
            </w:r>
          </w:p>
        </w:tc>
        <w:tc>
          <w:tcPr>
            <w:tcW w:w="1280" w:type="pct"/>
          </w:tcPr>
          <w:p w14:paraId="10ECC59C">
            <w:pPr>
              <w:jc w:val="center"/>
            </w:pPr>
            <w:r>
              <w:t>使用NeuraclePort触发通信</w:t>
            </w:r>
          </w:p>
        </w:tc>
        <w:tc>
          <w:tcPr>
            <w:tcW w:w="768" w:type="pct"/>
            <w:vAlign w:val="center"/>
          </w:tcPr>
          <w:p w14:paraId="111218AD">
            <w:pPr>
              <w:jc w:val="center"/>
            </w:pPr>
            <w:r>
              <w:t>Brainstim</w:t>
            </w:r>
          </w:p>
        </w:tc>
        <w:tc>
          <w:tcPr>
            <w:tcW w:w="1563" w:type="pct"/>
          </w:tcPr>
          <w:p w14:paraId="38D080A7">
            <w:pPr>
              <w:jc w:val="center"/>
            </w:pPr>
            <w:r>
              <w:t>metabci.brainstim.utils</w:t>
            </w:r>
          </w:p>
        </w:tc>
        <w:tc>
          <w:tcPr>
            <w:tcW w:w="961" w:type="pct"/>
          </w:tcPr>
          <w:p w14:paraId="5BFC4554">
            <w:pPr>
              <w:jc w:val="center"/>
            </w:pPr>
            <w:r>
              <w:t>NeuraclePort</w:t>
            </w:r>
          </w:p>
        </w:tc>
      </w:tr>
    </w:tbl>
    <w:p w14:paraId="524A5F9C">
      <w:pPr>
        <w:widowControl/>
        <w:ind w:firstLine="0" w:firstLineChars="0"/>
        <w:rPr>
          <w:rFonts w:cs="Times New Roman"/>
        </w:rPr>
      </w:pPr>
    </w:p>
    <w:p w14:paraId="0A42C023">
      <w:pPr>
        <w:widowControl/>
        <w:ind w:firstLine="0" w:firstLineChars="0"/>
        <w:rPr>
          <w:rFonts w:cs="Times New Roman"/>
        </w:rPr>
      </w:pPr>
    </w:p>
    <w:p w14:paraId="3DD1B7BC">
      <w:pPr>
        <w:widowControl/>
        <w:spacing w:before="156" w:beforeLines="50"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5</w:t>
      </w:r>
      <w:r>
        <w:rPr>
          <w:rFonts w:cs="Times New Roman"/>
          <w:b/>
          <w:bCs/>
        </w:rPr>
        <w:t>. 新增功能点说明</w:t>
      </w:r>
    </w:p>
    <w:p w14:paraId="318289E7">
      <w:pPr>
        <w:widowControl/>
        <w:ind w:firstLine="0" w:firstLineChars="0"/>
        <w:jc w:val="both"/>
        <w:rPr>
          <w:rFonts w:cs="Times New Roman"/>
        </w:rPr>
      </w:pPr>
      <w:r>
        <w:rPr>
          <w:rFonts w:cs="Times New Roman"/>
        </w:rPr>
        <w:t>[说明：填写</w:t>
      </w:r>
      <w:r>
        <w:rPr>
          <w:rFonts w:hint="eastAsia" w:cs="Times New Roman"/>
        </w:rPr>
        <w:t>项目在</w:t>
      </w:r>
      <w:r>
        <w:rPr>
          <w:rFonts w:cs="Times New Roman"/>
          <w:b/>
          <w:bCs/>
        </w:rPr>
        <w:t>MetaBCI</w:t>
      </w:r>
      <w:r>
        <w:rPr>
          <w:rFonts w:hint="eastAsia" w:cs="Times New Roman"/>
          <w:b/>
          <w:bCs/>
        </w:rPr>
        <w:t>的</w:t>
      </w:r>
      <w:r>
        <w:rPr>
          <w:rFonts w:cs="Times New Roman"/>
          <w:b/>
          <w:bCs/>
        </w:rPr>
        <w:t>新增功能点</w:t>
      </w:r>
      <w:r>
        <w:rPr>
          <w:rFonts w:cs="Times New Roman"/>
        </w:rPr>
        <w:t>，及功能点在项目仓库中的代码路径、相关类和函数</w:t>
      </w:r>
      <w:r>
        <w:rPr>
          <w:rFonts w:hint="eastAsia" w:cs="Times New Roman"/>
        </w:rPr>
        <w:t>，并给出相应示例程序测试效果，逐点说明</w:t>
      </w:r>
      <w:r>
        <w:rPr>
          <w:rFonts w:cs="Times New Roman"/>
        </w:rPr>
        <w:t>。若无，则统一填写“无”。</w:t>
      </w:r>
      <w:r>
        <w:rPr>
          <w:rFonts w:cs="Times New Roman"/>
          <w:sz w:val="15"/>
          <w:szCs w:val="15"/>
        </w:rPr>
        <w:t>（灰色字体为示例</w:t>
      </w:r>
      <w:r>
        <w:rPr>
          <w:rFonts w:hint="eastAsia" w:cs="Times New Roman"/>
          <w:sz w:val="15"/>
          <w:szCs w:val="15"/>
        </w:rPr>
        <w:t>，正式填写时删除</w:t>
      </w:r>
      <w:r>
        <w:rPr>
          <w:rFonts w:cs="Times New Roman"/>
          <w:sz w:val="15"/>
          <w:szCs w:val="15"/>
        </w:rPr>
        <w:t>）</w:t>
      </w:r>
      <w:r>
        <w:rPr>
          <w:rFonts w:cs="Times New Roman"/>
        </w:rPr>
        <w:t>]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2183"/>
        <w:gridCol w:w="1309"/>
        <w:gridCol w:w="2664"/>
        <w:gridCol w:w="1639"/>
      </w:tblGrid>
      <w:tr w14:paraId="3B07F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6" w:type="pct"/>
            <w:vAlign w:val="center"/>
          </w:tcPr>
          <w:p w14:paraId="77F13E41">
            <w:pPr>
              <w:keepLines/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序号</w:t>
            </w:r>
          </w:p>
        </w:tc>
        <w:tc>
          <w:tcPr>
            <w:tcW w:w="1281" w:type="pct"/>
            <w:vAlign w:val="center"/>
          </w:tcPr>
          <w:p w14:paraId="7CEE2D8F">
            <w:pPr>
              <w:keepLines/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功能点描述</w:t>
            </w:r>
          </w:p>
        </w:tc>
        <w:tc>
          <w:tcPr>
            <w:tcW w:w="768" w:type="pct"/>
            <w:vAlign w:val="center"/>
          </w:tcPr>
          <w:p w14:paraId="5856C128">
            <w:pPr>
              <w:keepLines/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子平台</w:t>
            </w:r>
          </w:p>
        </w:tc>
        <w:tc>
          <w:tcPr>
            <w:tcW w:w="1563" w:type="pct"/>
            <w:vAlign w:val="center"/>
          </w:tcPr>
          <w:p w14:paraId="133CFF44">
            <w:pPr>
              <w:keepLines/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代码路径</w:t>
            </w:r>
          </w:p>
        </w:tc>
        <w:tc>
          <w:tcPr>
            <w:tcW w:w="962" w:type="pct"/>
            <w:vAlign w:val="center"/>
          </w:tcPr>
          <w:p w14:paraId="26197E1D">
            <w:pPr>
              <w:keepLines/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类与函数</w:t>
            </w:r>
          </w:p>
        </w:tc>
      </w:tr>
      <w:tr w14:paraId="5556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426" w:type="pct"/>
            <w:vAlign w:val="center"/>
          </w:tcPr>
          <w:p w14:paraId="3AB69939">
            <w:pPr>
              <w:keepLines/>
              <w:ind w:firstLine="0" w:firstLineChars="0"/>
              <w:jc w:val="center"/>
              <w:rPr>
                <w:rFonts w:eastAsia="楷体" w:cs="Times New Roman"/>
                <w:sz w:val="22"/>
                <w:szCs w:val="22"/>
              </w:rPr>
            </w:pPr>
            <w:r>
              <w:rPr>
                <w:rFonts w:eastAsia="楷体" w:cs="Times New Roman"/>
                <w:sz w:val="22"/>
                <w:szCs w:val="22"/>
              </w:rPr>
              <w:t>1</w:t>
            </w:r>
          </w:p>
        </w:tc>
        <w:tc>
          <w:tcPr>
            <w:tcW w:w="1281" w:type="pct"/>
            <w:vAlign w:val="center"/>
          </w:tcPr>
          <w:p w14:paraId="0A20E6F8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Growing Window动态停止模块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（固定起点、递增窗口、多条件阈值停止）</w:t>
            </w:r>
          </w:p>
        </w:tc>
        <w:tc>
          <w:tcPr>
            <w:tcW w:w="768" w:type="pct"/>
            <w:vAlign w:val="center"/>
          </w:tcPr>
          <w:p w14:paraId="2B49619B">
            <w:pPr>
              <w:keepLines/>
              <w:ind w:firstLine="0" w:firstLineChars="0"/>
              <w:rPr>
                <w:rFonts w:hint="eastAsia" w:eastAsia="宋体" w:cs="Times New Roman"/>
                <w:color w:val="AEAEAE" w:themeColor="background2" w:themeShade="BF"/>
                <w:sz w:val="22"/>
                <w:szCs w:val="22"/>
                <w:lang w:eastAsia="zh-CN"/>
              </w:rPr>
            </w:pPr>
            <w:r>
              <w:rPr>
                <w:rFonts w:hint="eastAsia" w:cs="Times New Roman"/>
                <w:color w:val="auto"/>
                <w:sz w:val="22"/>
                <w:szCs w:val="22"/>
                <w:lang w:val="en-US" w:eastAsia="zh-CN"/>
              </w:rPr>
              <w:t>Brainda</w:t>
            </w:r>
          </w:p>
        </w:tc>
        <w:tc>
          <w:tcPr>
            <w:tcW w:w="1563" w:type="pct"/>
            <w:vAlign w:val="center"/>
          </w:tcPr>
          <w:p w14:paraId="393242E9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metabci/brainda/algorithms/decomposition/growing_window.py</w:t>
            </w:r>
          </w:p>
        </w:tc>
        <w:tc>
          <w:tcPr>
            <w:tcW w:w="962" w:type="pct"/>
            <w:vAlign w:val="center"/>
          </w:tcPr>
          <w:p w14:paraId="583DC90C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EBEEF2"/>
              </w:rPr>
              <w:t>GrowingWindowDecoder</w:t>
            </w:r>
          </w:p>
        </w:tc>
      </w:tr>
      <w:tr w14:paraId="37CB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426" w:type="pct"/>
            <w:vAlign w:val="center"/>
          </w:tcPr>
          <w:p w14:paraId="7B3CFAD0">
            <w:pPr>
              <w:keepLines/>
              <w:ind w:firstLine="0" w:firstLineChars="0"/>
              <w:jc w:val="center"/>
              <w:rPr>
                <w:rFonts w:eastAsia="楷体" w:cs="Times New Roman"/>
                <w:sz w:val="22"/>
                <w:szCs w:val="22"/>
              </w:rPr>
            </w:pPr>
            <w:r>
              <w:rPr>
                <w:rFonts w:eastAsia="楷体" w:cs="Times New Roman"/>
                <w:sz w:val="22"/>
                <w:szCs w:val="22"/>
              </w:rPr>
              <w:t>2</w:t>
            </w:r>
          </w:p>
        </w:tc>
        <w:tc>
          <w:tcPr>
            <w:tcW w:w="1281" w:type="pct"/>
            <w:vAlign w:val="center"/>
          </w:tcPr>
          <w:tbl>
            <w:tblPr>
              <w:tblStyle w:val="17"/>
              <w:tblW w:w="0" w:type="auto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640"/>
            </w:tblGrid>
            <w:tr w14:paraId="3215C8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8640" w:type="dxa"/>
                  <w:shd w:val="clear" w:color="auto" w:fill="FFFFFF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4240D625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  <w14:ligatures w14:val="standardContextual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  <w14:ligatures w14:val="standardContextual"/>
                    </w:rPr>
                    <w:t>AdvancedVoter自适应投票器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  <w14:ligatures w14:val="standardContextual"/>
                    </w:rPr>
                    <w:t>（指数衰减累积+锁定机制）</w:t>
                  </w:r>
                </w:p>
              </w:tc>
            </w:tr>
          </w:tbl>
          <w:p w14:paraId="6D6F009C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</w:p>
        </w:tc>
        <w:tc>
          <w:tcPr>
            <w:tcW w:w="768" w:type="pct"/>
            <w:vAlign w:val="center"/>
          </w:tcPr>
          <w:p w14:paraId="56775509">
            <w:pPr>
              <w:keepLines/>
              <w:ind w:firstLine="0" w:firstLineChars="0"/>
              <w:rPr>
                <w:rFonts w:hint="eastAsia" w:eastAsia="宋体" w:cs="Times New Roman"/>
                <w:color w:val="auto"/>
                <w:sz w:val="22"/>
                <w:szCs w:val="22"/>
                <w:lang w:eastAsia="zh-CN"/>
              </w:rPr>
            </w:pPr>
            <w:r>
              <w:rPr>
                <w:rFonts w:hint="eastAsia" w:eastAsia="宋体" w:cs="Times New Roman"/>
                <w:color w:val="auto"/>
                <w:sz w:val="22"/>
                <w:szCs w:val="22"/>
                <w:lang w:eastAsia="zh-CN"/>
              </w:rPr>
              <w:t>Brainda</w:t>
            </w:r>
          </w:p>
        </w:tc>
        <w:tc>
          <w:tcPr>
            <w:tcW w:w="1563" w:type="pct"/>
            <w:vAlign w:val="center"/>
          </w:tcPr>
          <w:p w14:paraId="3B06178E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metabci/brainda/algorithms/decomposition/advanced_voter.py</w:t>
            </w:r>
          </w:p>
        </w:tc>
        <w:tc>
          <w:tcPr>
            <w:tcW w:w="962" w:type="pct"/>
            <w:vAlign w:val="center"/>
          </w:tcPr>
          <w:p w14:paraId="07FE09D5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EBEEF2"/>
              </w:rPr>
              <w:t>AdvancedVoter</w:t>
            </w:r>
          </w:p>
        </w:tc>
      </w:tr>
      <w:tr w14:paraId="36CE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426" w:type="pct"/>
            <w:vAlign w:val="center"/>
          </w:tcPr>
          <w:p w14:paraId="24CB9067">
            <w:pPr>
              <w:keepLines/>
              <w:ind w:firstLine="0" w:firstLineChars="0"/>
              <w:jc w:val="center"/>
              <w:rPr>
                <w:rFonts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楷体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81" w:type="pct"/>
            <w:vAlign w:val="center"/>
          </w:tcPr>
          <w:p w14:paraId="306F9284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MetaBCI-WebSocket通信接口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（JSON协议双向通信）</w:t>
            </w:r>
          </w:p>
        </w:tc>
        <w:tc>
          <w:tcPr>
            <w:tcW w:w="768" w:type="pct"/>
            <w:vAlign w:val="center"/>
          </w:tcPr>
          <w:p w14:paraId="4354964A">
            <w:pPr>
              <w:keepLines/>
              <w:ind w:firstLine="0" w:firstLineChars="0"/>
              <w:rPr>
                <w:rFonts w:hint="eastAsia" w:eastAsia="宋体" w:cs="Times New Roman"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Brainflow</w:t>
            </w:r>
          </w:p>
        </w:tc>
        <w:tc>
          <w:tcPr>
            <w:tcW w:w="1563" w:type="pct"/>
            <w:vAlign w:val="center"/>
          </w:tcPr>
          <w:p w14:paraId="12B8CF04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metabci/brainflow/online.py</w:t>
            </w:r>
          </w:p>
        </w:tc>
        <w:tc>
          <w:tcPr>
            <w:tcW w:w="962" w:type="pct"/>
            <w:vAlign w:val="center"/>
          </w:tcPr>
          <w:p w14:paraId="56EA87F2">
            <w:pPr>
              <w:keepLines/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ContinuousStreamingEngine</w:t>
            </w:r>
          </w:p>
        </w:tc>
      </w:tr>
      <w:tr w14:paraId="2954A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427" w:type="pct"/>
            <w:vAlign w:val="center"/>
          </w:tcPr>
          <w:p w14:paraId="1B8F4FF3">
            <w:pPr>
              <w:keepLines/>
              <w:ind w:firstLine="0" w:firstLineChars="0"/>
              <w:jc w:val="center"/>
              <w:rPr>
                <w:rFonts w:hint="eastAsia" w:eastAsia="楷体" w:cs="Times New Roman"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 w:cs="Times New Roman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81" w:type="pct"/>
            <w:vAlign w:val="center"/>
          </w:tcPr>
          <w:p w14:paraId="63FAD373">
            <w:pPr>
              <w:keepLines/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网页脑控游戏前端（双Canvas分层架构、三款游戏、置信度可视化）</w:t>
            </w:r>
          </w:p>
        </w:tc>
        <w:tc>
          <w:tcPr>
            <w:tcW w:w="768" w:type="pct"/>
            <w:vAlign w:val="center"/>
          </w:tcPr>
          <w:p w14:paraId="288EC922">
            <w:pPr>
              <w:keepLines/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Webgame</w:t>
            </w:r>
          </w:p>
        </w:tc>
        <w:tc>
          <w:tcPr>
            <w:tcW w:w="1563" w:type="pct"/>
            <w:vAlign w:val="center"/>
          </w:tcPr>
          <w:p w14:paraId="08C6D57A">
            <w:pPr>
              <w:keepLines/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metabci/webgame/static/index.html, game.js</w:t>
            </w:r>
          </w:p>
        </w:tc>
        <w:tc>
          <w:tcPr>
            <w:tcW w:w="962" w:type="pct"/>
            <w:vAlign w:val="center"/>
          </w:tcPr>
          <w:p w14:paraId="4EF85EAB">
            <w:pPr>
              <w:keepLines/>
              <w:ind w:firstLine="0" w:firstLineChars="0"/>
              <w:jc w:val="center"/>
              <w:rPr>
                <w:rFonts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index.html, game.js</w:t>
            </w:r>
          </w:p>
        </w:tc>
      </w:tr>
      <w:tr w14:paraId="7177F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427" w:type="pct"/>
            <w:vAlign w:val="center"/>
          </w:tcPr>
          <w:p w14:paraId="5DD36C31">
            <w:pPr>
              <w:keepLines/>
              <w:ind w:firstLine="0" w:firstLineChars="0"/>
              <w:jc w:val="center"/>
              <w:rPr>
                <w:rFonts w:hint="default" w:eastAsia="楷体" w:cs="Times New Roman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 w:cs="Times New Roman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81" w:type="pct"/>
            <w:vAlign w:val="center"/>
          </w:tcPr>
          <w:p w14:paraId="0BEE8360">
            <w:pPr>
              <w:keepLines/>
              <w:ind w:firstLine="0" w:firstLineChars="0"/>
              <w:jc w:val="center"/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离线伪在线评估框架（阈值搜索、Growing Window模拟、参数鲁棒性验证）</w:t>
            </w:r>
          </w:p>
        </w:tc>
        <w:tc>
          <w:tcPr>
            <w:tcW w:w="768" w:type="pct"/>
            <w:vAlign w:val="center"/>
          </w:tcPr>
          <w:p w14:paraId="2F793641">
            <w:pPr>
              <w:keepLines/>
              <w:ind w:firstLine="0" w:firstLineChars="0"/>
              <w:jc w:val="center"/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Brainda</w:t>
            </w:r>
          </w:p>
        </w:tc>
        <w:tc>
          <w:tcPr>
            <w:tcW w:w="1563" w:type="pct"/>
            <w:vAlign w:val="center"/>
          </w:tcPr>
          <w:p w14:paraId="12DDD792">
            <w:pPr>
              <w:keepLines/>
              <w:ind w:firstLine="0" w:firstLineChars="0"/>
              <w:jc w:val="center"/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MetaBCIWebGame/eval_growing_window.py, MetaBCIWebGame/validate_threshold_robustness.py</w:t>
            </w:r>
          </w:p>
        </w:tc>
        <w:tc>
          <w:tcPr>
            <w:tcW w:w="962" w:type="pct"/>
            <w:vAlign w:val="center"/>
          </w:tcPr>
          <w:p w14:paraId="0C11CF5E">
            <w:pPr>
              <w:keepLines/>
              <w:ind w:firstLine="0" w:firstLineChars="0"/>
              <w:jc w:val="center"/>
              <w:rPr>
                <w:rFonts w:hint="eastAsia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6C1023B">
      <w:pPr>
        <w:widowControl/>
        <w:ind w:firstLine="0" w:firstLineChars="0"/>
        <w:jc w:val="both"/>
        <w:rPr>
          <w:rFonts w:cs="Times New Roman"/>
        </w:rPr>
      </w:pPr>
    </w:p>
    <w:p w14:paraId="481E40A7">
      <w:pPr>
        <w:widowControl/>
        <w:ind w:firstLine="0" w:firstLineChars="0"/>
        <w:jc w:val="both"/>
        <w:rPr>
          <w:rFonts w:cs="Times New Roman"/>
        </w:rPr>
      </w:pPr>
    </w:p>
    <w:p w14:paraId="4BA32D78">
      <w:pPr>
        <w:widowControl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新增数据集测试：</w:t>
      </w:r>
    </w:p>
    <w:p w14:paraId="3E2F34F0">
      <w:pPr>
        <w:widowControl/>
        <w:ind w:firstLine="0" w:firstLineChars="0"/>
        <w:jc w:val="both"/>
        <w:rPr>
          <w:rFonts w:hint="eastAsia"/>
        </w:rPr>
      </w:pPr>
      <w:r>
        <w:rPr>
          <w:rFonts w:hint="eastAsia"/>
        </w:rPr>
        <w:t>① 新新增数据集：自采SSVEP四方向数据集</w:t>
      </w:r>
    </w:p>
    <w:p w14:paraId="28B75973">
      <w:pPr>
        <w:widowControl/>
        <w:ind w:firstLine="420" w:firstLineChars="0"/>
        <w:jc w:val="both"/>
        <w:rPr>
          <w:rFonts w:hint="eastAsia"/>
        </w:rPr>
      </w:pPr>
      <w:r>
        <w:rPr>
          <w:rFonts w:hint="eastAsia"/>
        </w:rPr>
        <w:t>测试示例程序路径：`train_self_model.py`</w:t>
      </w:r>
    </w:p>
    <w:p w14:paraId="7E87B1BD">
      <w:pPr>
        <w:widowControl/>
        <w:ind w:firstLine="420" w:firstLineChars="0"/>
        <w:jc w:val="both"/>
        <w:rPr>
          <w:rFonts w:cs="Times New Roman"/>
        </w:rPr>
      </w:pPr>
      <w:r>
        <w:rPr>
          <w:rFonts w:hint="eastAsia"/>
        </w:rPr>
        <w:t>测试示例程序运行效果：程序成功遍历 `data_self/1/` 至 `data_self/4/` 四个文件夹，加载全部320个试次（每方向80试次），并正确划分为训练/测试集，完成FBTRCA/FBTDCA模型训练与交叉验证。</w:t>
      </w:r>
    </w:p>
    <w:p w14:paraId="75A2B30F">
      <w:pPr>
        <w:widowControl/>
        <w:spacing w:before="156" w:beforeLines="50"/>
        <w:ind w:firstLine="0" w:firstLineChars="0"/>
        <w:rPr>
          <w:rFonts w:cs="Times New Roman"/>
        </w:rPr>
      </w:pPr>
    </w:p>
    <w:p w14:paraId="7DBC362A">
      <w:pPr>
        <w:widowControl/>
        <w:spacing w:before="156" w:beforeLines="50"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7</w:t>
      </w:r>
      <w:r>
        <w:rPr>
          <w:rFonts w:cs="Times New Roman"/>
          <w:b/>
          <w:bCs/>
        </w:rPr>
        <w:t>. 修复功能点说明</w:t>
      </w:r>
    </w:p>
    <w:p w14:paraId="3876E2DE">
      <w:pPr>
        <w:widowControl/>
        <w:ind w:firstLine="0" w:firstLineChars="0"/>
        <w:jc w:val="both"/>
        <w:rPr>
          <w:rFonts w:cs="Times New Roman"/>
        </w:rPr>
      </w:pPr>
      <w:r>
        <w:rPr>
          <w:rFonts w:cs="Times New Roman"/>
        </w:rPr>
        <w:t>[说明：填写</w:t>
      </w:r>
      <w:r>
        <w:rPr>
          <w:rFonts w:hint="eastAsia" w:cs="Times New Roman"/>
        </w:rPr>
        <w:t>项目</w:t>
      </w:r>
      <w:r>
        <w:rPr>
          <w:rFonts w:cs="Times New Roman"/>
          <w:b/>
          <w:bCs/>
        </w:rPr>
        <w:t>对MetaBCI进行修复、增强、优化的功能点</w:t>
      </w:r>
      <w:r>
        <w:rPr>
          <w:rFonts w:cs="Times New Roman"/>
        </w:rPr>
        <w:t>，及该功能点在项目仓库中的代码路径、相关类和函数</w:t>
      </w:r>
      <w:r>
        <w:rPr>
          <w:rFonts w:hint="eastAsia" w:cs="Times New Roman"/>
        </w:rPr>
        <w:t>，并给出相应示例程序测试效果，逐点说明</w:t>
      </w:r>
      <w:r>
        <w:rPr>
          <w:rFonts w:cs="Times New Roman"/>
        </w:rPr>
        <w:t>。若无，则统一填写“无”。</w:t>
      </w:r>
      <w:r>
        <w:rPr>
          <w:rFonts w:cs="Times New Roman"/>
          <w:sz w:val="15"/>
          <w:szCs w:val="15"/>
        </w:rPr>
        <w:t xml:space="preserve"> （灰色字体为示例</w:t>
      </w:r>
      <w:r>
        <w:rPr>
          <w:rFonts w:hint="eastAsia" w:cs="Times New Roman"/>
          <w:sz w:val="15"/>
          <w:szCs w:val="15"/>
        </w:rPr>
        <w:t>，正式填写时删除</w:t>
      </w:r>
      <w:r>
        <w:rPr>
          <w:rFonts w:cs="Times New Roman"/>
          <w:sz w:val="15"/>
          <w:szCs w:val="15"/>
        </w:rPr>
        <w:t>）</w:t>
      </w:r>
      <w:r>
        <w:rPr>
          <w:rFonts w:cs="Times New Roman"/>
        </w:rPr>
        <w:t>]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2184"/>
        <w:gridCol w:w="1309"/>
        <w:gridCol w:w="2664"/>
        <w:gridCol w:w="1637"/>
      </w:tblGrid>
      <w:tr w14:paraId="18B1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7" w:type="pct"/>
            <w:vAlign w:val="center"/>
          </w:tcPr>
          <w:p w14:paraId="43EA30FF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序号</w:t>
            </w:r>
          </w:p>
        </w:tc>
        <w:tc>
          <w:tcPr>
            <w:tcW w:w="1281" w:type="pct"/>
            <w:vAlign w:val="center"/>
          </w:tcPr>
          <w:p w14:paraId="0A667205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功能点描述</w:t>
            </w:r>
          </w:p>
        </w:tc>
        <w:tc>
          <w:tcPr>
            <w:tcW w:w="768" w:type="pct"/>
            <w:vAlign w:val="center"/>
          </w:tcPr>
          <w:p w14:paraId="1730D2F4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子平台</w:t>
            </w:r>
          </w:p>
        </w:tc>
        <w:tc>
          <w:tcPr>
            <w:tcW w:w="1563" w:type="pct"/>
            <w:vAlign w:val="center"/>
          </w:tcPr>
          <w:p w14:paraId="4719A9C4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代码路径</w:t>
            </w:r>
          </w:p>
        </w:tc>
        <w:tc>
          <w:tcPr>
            <w:tcW w:w="961" w:type="pct"/>
            <w:vAlign w:val="center"/>
          </w:tcPr>
          <w:p w14:paraId="3E9296D9">
            <w:pPr>
              <w:ind w:firstLine="0" w:firstLineChars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类与函数</w:t>
            </w:r>
          </w:p>
        </w:tc>
      </w:tr>
      <w:tr w14:paraId="5D5BB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27" w:type="pct"/>
            <w:vAlign w:val="center"/>
          </w:tcPr>
          <w:p w14:paraId="7C6E0D01">
            <w:pPr>
              <w:ind w:firstLine="0" w:firstLineChars="0"/>
              <w:jc w:val="center"/>
              <w:rPr>
                <w:rFonts w:eastAsia="楷体" w:cs="Times New Roman"/>
                <w:sz w:val="22"/>
                <w:szCs w:val="22"/>
              </w:rPr>
            </w:pPr>
            <w:r>
              <w:rPr>
                <w:rFonts w:eastAsia="楷体" w:cs="Times New Roman"/>
                <w:sz w:val="22"/>
                <w:szCs w:val="22"/>
              </w:rPr>
              <w:t>1</w:t>
            </w:r>
          </w:p>
        </w:tc>
        <w:tc>
          <w:tcPr>
            <w:tcW w:w="1281" w:type="pct"/>
            <w:vAlign w:val="center"/>
          </w:tcPr>
          <w:p w14:paraId="24F5D65A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修复Neuracle单探头转发模式下数据组包丢失Trigger</w:t>
            </w:r>
          </w:p>
        </w:tc>
        <w:tc>
          <w:tcPr>
            <w:tcW w:w="768" w:type="pct"/>
            <w:vAlign w:val="center"/>
          </w:tcPr>
          <w:p w14:paraId="062CFF42">
            <w:pPr>
              <w:ind w:firstLine="0" w:firstLineChars="0"/>
              <w:rPr>
                <w:rFonts w:hint="eastAsia" w:eastAsia="宋体" w:cs="Times New Roman"/>
                <w:color w:val="AEAEAE" w:themeColor="background2" w:themeShade="BF"/>
                <w:sz w:val="22"/>
                <w:szCs w:val="22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Brainflow</w:t>
            </w:r>
          </w:p>
        </w:tc>
        <w:tc>
          <w:tcPr>
            <w:tcW w:w="1563" w:type="pct"/>
            <w:vAlign w:val="center"/>
          </w:tcPr>
          <w:p w14:paraId="0749422C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metabci/brainflow/amplifiers/neuracle_api.py</w:t>
            </w:r>
          </w:p>
        </w:tc>
        <w:tc>
          <w:tcPr>
            <w:tcW w:w="961" w:type="pct"/>
            <w:vAlign w:val="center"/>
          </w:tcPr>
          <w:p w14:paraId="207C587F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EBEEF2"/>
              </w:rPr>
              <w:t>combineDataAndTrigger()</w:t>
            </w:r>
          </w:p>
        </w:tc>
      </w:tr>
      <w:tr w14:paraId="781E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27" w:type="pct"/>
            <w:vAlign w:val="center"/>
          </w:tcPr>
          <w:p w14:paraId="219644C1">
            <w:pPr>
              <w:ind w:firstLine="0" w:firstLineChars="0"/>
              <w:jc w:val="center"/>
              <w:rPr>
                <w:rFonts w:eastAsia="楷体" w:cs="Times New Roman"/>
                <w:sz w:val="22"/>
                <w:szCs w:val="22"/>
              </w:rPr>
            </w:pPr>
            <w:r>
              <w:rPr>
                <w:rFonts w:eastAsia="楷体" w:cs="Times New Roman"/>
                <w:sz w:val="22"/>
                <w:szCs w:val="22"/>
              </w:rPr>
              <w:t>2</w:t>
            </w:r>
          </w:p>
        </w:tc>
        <w:tc>
          <w:tcPr>
            <w:tcW w:w="1281" w:type="pct"/>
            <w:vAlign w:val="center"/>
          </w:tcPr>
          <w:p w14:paraId="1CD85A69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优化在线解码窗口截取逻辑，增加双模式支持</w:t>
            </w:r>
          </w:p>
        </w:tc>
        <w:tc>
          <w:tcPr>
            <w:tcW w:w="768" w:type="pct"/>
            <w:vAlign w:val="center"/>
          </w:tcPr>
          <w:p w14:paraId="33112DC3">
            <w:pPr>
              <w:ind w:firstLine="0" w:firstLineChars="0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Brainflow</w:t>
            </w:r>
          </w:p>
        </w:tc>
        <w:tc>
          <w:tcPr>
            <w:tcW w:w="1563" w:type="pct"/>
            <w:vAlign w:val="center"/>
          </w:tcPr>
          <w:p w14:paraId="35154D7C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Style w:val="22"/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  <w:shd w:val="clear" w:fill="EBEEF2"/>
              </w:rPr>
              <w:t>metabci/brainflow/online.py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（窗口截取策略已整合至 </w:t>
            </w:r>
            <w:r>
              <w:rPr>
                <w:rStyle w:val="22"/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  <w:shd w:val="clear" w:fill="EBEEF2"/>
              </w:rPr>
              <w:t>ContinuousStreamingEngine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）</w:t>
            </w:r>
          </w:p>
        </w:tc>
        <w:tc>
          <w:tcPr>
            <w:tcW w:w="961" w:type="pct"/>
            <w:vAlign w:val="center"/>
          </w:tcPr>
          <w:p w14:paraId="0D4A5801">
            <w:pPr>
              <w:ind w:firstLine="0" w:firstLineChars="0"/>
              <w:jc w:val="both"/>
              <w:rPr>
                <w:rFonts w:cs="Times New Roman"/>
                <w:color w:val="AEAEAE" w:themeColor="background2" w:themeShade="BF"/>
                <w:sz w:val="22"/>
                <w:szCs w:val="22"/>
              </w:rPr>
            </w:pPr>
            <w:r>
              <w:rPr>
                <w:rStyle w:val="22"/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  <w:shd w:val="clear" w:fill="EBEEF2"/>
              </w:rPr>
              <w:t>_run_eval_fixed_window()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/ </w:t>
            </w:r>
            <w:r>
              <w:rPr>
                <w:rStyle w:val="22"/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  <w:shd w:val="clear" w:fill="EBEEF2"/>
              </w:rPr>
              <w:t>ContinuousStreamingEngine</w:t>
            </w:r>
          </w:p>
        </w:tc>
      </w:tr>
    </w:tbl>
    <w:p w14:paraId="47E097F4">
      <w:pPr>
        <w:widowControl/>
        <w:ind w:firstLine="0" w:firstLineChars="0"/>
        <w:jc w:val="both"/>
        <w:rPr>
          <w:rFonts w:cs="Times New Roman"/>
          <w:u w:val="single"/>
        </w:rPr>
      </w:pPr>
    </w:p>
    <w:p w14:paraId="0E3241E3">
      <w:pPr>
        <w:widowControl/>
        <w:ind w:firstLine="0" w:firstLineChars="0"/>
        <w:jc w:val="both"/>
        <w:rPr>
          <w:rFonts w:cs="Times New Roman"/>
          <w:u w:val="single"/>
        </w:rPr>
      </w:pPr>
    </w:p>
    <w:p w14:paraId="244CB34A">
      <w:pPr>
        <w:widowControl/>
        <w:ind w:firstLine="0" w:firstLineChars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修复功能点测试：</w:t>
      </w:r>
    </w:p>
    <w:p w14:paraId="6336BA39">
      <w:pPr>
        <w:keepNext w:val="0"/>
        <w:keepLines w:val="0"/>
        <w:widowControl/>
        <w:suppressLineNumbers w:val="0"/>
        <w:spacing w:before="0" w:beforeAutospacing="0" w:after="192" w:afterAutospacing="0"/>
        <w:ind w:right="720" w:righ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  <w:t>① 修复功能点：修复 Neuracle 单探头转发模式下数据组包丢失 Trigger</w:t>
      </w:r>
    </w:p>
    <w:p w14:paraId="47758D55">
      <w:pPr>
        <w:keepNext w:val="0"/>
        <w:keepLines w:val="0"/>
        <w:widowControl/>
        <w:suppressLineNumbers w:val="0"/>
        <w:spacing w:before="0" w:beforeAutospacing="0" w:after="192" w:afterAutospacing="0"/>
        <w:ind w:right="720" w:righ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  <w:t>测试路径：extract_with_hw_trigger.py（该脚本调用 metabci.brainflow.amplifiers.neuracle_api 中的修复函数）</w:t>
      </w:r>
    </w:p>
    <w:p w14:paraId="3E3E6811">
      <w:pPr>
        <w:keepNext w:val="0"/>
        <w:keepLines w:val="0"/>
        <w:widowControl/>
        <w:suppressLineNumbers w:val="0"/>
        <w:spacing w:before="0" w:beforeAutospacing="0" w:after="192" w:afterAutospacing="0"/>
        <w:ind w:right="720" w:righ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  <w:t>测试结果：正确解析 Trigger 通道脉冲，连续数据分割准确率 100%，修复内容已合入 MetaBCI 的 brainflow 子模块。</w:t>
      </w:r>
    </w:p>
    <w:p w14:paraId="31D5C1A5">
      <w:pPr>
        <w:widowControl/>
        <w:ind w:left="420" w:leftChars="175" w:firstLine="0" w:firstLine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  <w:t>② 修复功能点：优化在线解码窗口截取逻辑，增加双模式支持</w:t>
      </w:r>
    </w:p>
    <w:p w14:paraId="6DA915C3">
      <w:pPr>
        <w:widowControl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  <w:t>测试路径：websocket_server.py + index.html（底层引擎调用 metabci.brainflow.online.ContinuousStreamingEngine）</w:t>
      </w:r>
    </w:p>
    <w:p w14:paraId="12D016DB">
      <w:pPr>
        <w:widowControl/>
        <w:ind w:left="420" w:leftChars="175" w:firstLine="0" w:firstLine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  <w:t>测试结果：固定窗口与 Growing Window 切换正常，解码连续稳定，该增强</w:t>
      </w:r>
    </w:p>
    <w:p w14:paraId="286544BC">
      <w:pPr>
        <w:widowControl/>
        <w:ind w:left="420" w:leftChars="175" w:firstLine="0" w:firstLineChars="0"/>
        <w:jc w:val="both"/>
        <w:rPr>
          <w:rFonts w:cs="Times New Roma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  <w14:ligatures w14:val="none"/>
        </w:rPr>
        <w:t>特性已集成至 MetaBCI 在线引擎。</w:t>
      </w:r>
      <w:bookmarkStart w:id="1" w:name="_GoBack"/>
      <w:bookmarkEnd w:id="1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C8EE6">
    <w:pPr>
      <w:pStyle w:val="1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1D1C2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F96D7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EADCF">
    <w:pPr>
      <w:ind w:firstLine="482"/>
      <w:jc w:val="center"/>
      <w:rPr>
        <w:rFonts w:cs="Times New Roman"/>
        <w:b/>
        <w:bCs/>
      </w:rPr>
    </w:pPr>
    <w:r>
      <w:rPr>
        <w:rFonts w:cs="Times New Roman"/>
        <w:b/>
        <w:bCs/>
      </w:rPr>
      <w:pict>
        <v:shape id="WordPictureWatermark624150636" o:spid="_x0000_s1026" o:spt="75" type="#_x0000_t75" style="position:absolute;left:0pt;height:457.5pt;width:467.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WechatIMG278"/>
          <o:lock v:ext="edit" aspectratio="t"/>
        </v:shape>
      </w:pict>
    </w:r>
    <w:bookmarkStart w:id="0" w:name="_Hlk233303071"/>
    <w:r>
      <w:rPr>
        <w:rFonts w:cs="Times New Roman"/>
        <w:b/>
        <w:bCs/>
      </w:rPr>
      <w:t>MetaBCI创新应用开发赛项</w:t>
    </w:r>
    <w:bookmarkEnd w:id="0"/>
  </w:p>
  <w:p w14:paraId="41DE93B3">
    <w:pPr>
      <w:pStyle w:val="1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D999D">
    <w:pPr>
      <w:pStyle w:val="12"/>
      <w:ind w:firstLine="360"/>
    </w:pPr>
    <w:r>
      <w:pict>
        <v:shape id="WordPictureWatermark624150635" o:spid="_x0000_s1027" o:spt="75" type="#_x0000_t75" style="position:absolute;left:0pt;height:457.5pt;width:467.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WechatIMG278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D164F">
    <w:pPr>
      <w:pStyle w:val="12"/>
      <w:ind w:firstLine="360"/>
    </w:pPr>
    <w:r>
      <w:pict>
        <v:shape id="WordPictureWatermark624150634" o:spid="_x0000_s1025" o:spt="75" type="#_x0000_t75" style="position:absolute;left:0pt;height:457.5pt;width:467.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WechatIMG278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21F6F7"/>
    <w:multiLevelType w:val="singleLevel"/>
    <w:tmpl w:val="2E21F6F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AE74357"/>
    <w:multiLevelType w:val="multilevel"/>
    <w:tmpl w:val="4AE74357"/>
    <w:lvl w:ilvl="0" w:tentative="0">
      <w:start w:val="1"/>
      <w:numFmt w:val="decimalEnclosedCircle"/>
      <w:pStyle w:val="36"/>
      <w:lvlText w:val="%1"/>
      <w:lvlJc w:val="left"/>
      <w:pPr>
        <w:ind w:left="36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iODhmMjk4NGU0YmQ3YzFjNmVkNzkzMTBiMDE5ZTYifQ=="/>
  </w:docVars>
  <w:rsids>
    <w:rsidRoot w:val="00483817"/>
    <w:rsid w:val="00002DBD"/>
    <w:rsid w:val="00005935"/>
    <w:rsid w:val="000137A8"/>
    <w:rsid w:val="00040B9D"/>
    <w:rsid w:val="00046488"/>
    <w:rsid w:val="0004684A"/>
    <w:rsid w:val="00065E1A"/>
    <w:rsid w:val="0007265A"/>
    <w:rsid w:val="00075487"/>
    <w:rsid w:val="000864B4"/>
    <w:rsid w:val="00094301"/>
    <w:rsid w:val="00094327"/>
    <w:rsid w:val="0009496E"/>
    <w:rsid w:val="00094DA7"/>
    <w:rsid w:val="000A001B"/>
    <w:rsid w:val="000A2484"/>
    <w:rsid w:val="000A6054"/>
    <w:rsid w:val="000B50A0"/>
    <w:rsid w:val="000C4EB0"/>
    <w:rsid w:val="000D19BC"/>
    <w:rsid w:val="000D3955"/>
    <w:rsid w:val="000D3F9C"/>
    <w:rsid w:val="000E205A"/>
    <w:rsid w:val="000F4F8A"/>
    <w:rsid w:val="00112215"/>
    <w:rsid w:val="00127BCF"/>
    <w:rsid w:val="00147F64"/>
    <w:rsid w:val="00154DED"/>
    <w:rsid w:val="001558FE"/>
    <w:rsid w:val="00166D7F"/>
    <w:rsid w:val="001674E6"/>
    <w:rsid w:val="00184FC9"/>
    <w:rsid w:val="0019593E"/>
    <w:rsid w:val="001B4BBB"/>
    <w:rsid w:val="001B5D24"/>
    <w:rsid w:val="001C1D2D"/>
    <w:rsid w:val="001C6DD5"/>
    <w:rsid w:val="001D58C0"/>
    <w:rsid w:val="001D68D0"/>
    <w:rsid w:val="001E15F9"/>
    <w:rsid w:val="001E2534"/>
    <w:rsid w:val="001E5789"/>
    <w:rsid w:val="001E6608"/>
    <w:rsid w:val="001E73B9"/>
    <w:rsid w:val="001F6B86"/>
    <w:rsid w:val="00202F4E"/>
    <w:rsid w:val="00205B28"/>
    <w:rsid w:val="002065D3"/>
    <w:rsid w:val="00222F91"/>
    <w:rsid w:val="002362C7"/>
    <w:rsid w:val="00243F62"/>
    <w:rsid w:val="00250090"/>
    <w:rsid w:val="0025413D"/>
    <w:rsid w:val="00254378"/>
    <w:rsid w:val="002649B7"/>
    <w:rsid w:val="00267C21"/>
    <w:rsid w:val="002714B6"/>
    <w:rsid w:val="00285695"/>
    <w:rsid w:val="00290093"/>
    <w:rsid w:val="00291906"/>
    <w:rsid w:val="002A082E"/>
    <w:rsid w:val="002C1A0A"/>
    <w:rsid w:val="002C3461"/>
    <w:rsid w:val="002E2C00"/>
    <w:rsid w:val="002E6462"/>
    <w:rsid w:val="002F1019"/>
    <w:rsid w:val="00306E5B"/>
    <w:rsid w:val="003135FE"/>
    <w:rsid w:val="00324908"/>
    <w:rsid w:val="003307AC"/>
    <w:rsid w:val="00331ACB"/>
    <w:rsid w:val="0033589A"/>
    <w:rsid w:val="00351AB0"/>
    <w:rsid w:val="00352ACF"/>
    <w:rsid w:val="00354691"/>
    <w:rsid w:val="003717B1"/>
    <w:rsid w:val="00377241"/>
    <w:rsid w:val="0038101E"/>
    <w:rsid w:val="003A19CC"/>
    <w:rsid w:val="003B3568"/>
    <w:rsid w:val="003B6CAE"/>
    <w:rsid w:val="003D4303"/>
    <w:rsid w:val="003D61FE"/>
    <w:rsid w:val="003E56F8"/>
    <w:rsid w:val="003F1C4A"/>
    <w:rsid w:val="003F38BF"/>
    <w:rsid w:val="003F3DAE"/>
    <w:rsid w:val="00411C4A"/>
    <w:rsid w:val="004345A6"/>
    <w:rsid w:val="00435A9B"/>
    <w:rsid w:val="004440E1"/>
    <w:rsid w:val="004444AA"/>
    <w:rsid w:val="0045760E"/>
    <w:rsid w:val="0046068F"/>
    <w:rsid w:val="00460BC8"/>
    <w:rsid w:val="00470256"/>
    <w:rsid w:val="0047555C"/>
    <w:rsid w:val="00483817"/>
    <w:rsid w:val="0048725F"/>
    <w:rsid w:val="00494E54"/>
    <w:rsid w:val="004A236B"/>
    <w:rsid w:val="004A4909"/>
    <w:rsid w:val="004B38B3"/>
    <w:rsid w:val="004F6576"/>
    <w:rsid w:val="00500BF2"/>
    <w:rsid w:val="005035C1"/>
    <w:rsid w:val="00503F7B"/>
    <w:rsid w:val="00507064"/>
    <w:rsid w:val="0050725D"/>
    <w:rsid w:val="0052002C"/>
    <w:rsid w:val="00527619"/>
    <w:rsid w:val="00533262"/>
    <w:rsid w:val="005374AA"/>
    <w:rsid w:val="00561371"/>
    <w:rsid w:val="00565B18"/>
    <w:rsid w:val="005819EA"/>
    <w:rsid w:val="00591FC1"/>
    <w:rsid w:val="005955FF"/>
    <w:rsid w:val="005A3AA9"/>
    <w:rsid w:val="005A4E8F"/>
    <w:rsid w:val="005A7D7B"/>
    <w:rsid w:val="005B13A9"/>
    <w:rsid w:val="005B23E8"/>
    <w:rsid w:val="005B2A3E"/>
    <w:rsid w:val="005B76D6"/>
    <w:rsid w:val="005C2178"/>
    <w:rsid w:val="005C7404"/>
    <w:rsid w:val="005C7772"/>
    <w:rsid w:val="005D2D44"/>
    <w:rsid w:val="005E2BCF"/>
    <w:rsid w:val="005E7CC4"/>
    <w:rsid w:val="006043AA"/>
    <w:rsid w:val="00605156"/>
    <w:rsid w:val="00626440"/>
    <w:rsid w:val="006270CF"/>
    <w:rsid w:val="00647D6F"/>
    <w:rsid w:val="00672945"/>
    <w:rsid w:val="0069274D"/>
    <w:rsid w:val="006979AC"/>
    <w:rsid w:val="006B0803"/>
    <w:rsid w:val="006B18C5"/>
    <w:rsid w:val="006B3848"/>
    <w:rsid w:val="006C093B"/>
    <w:rsid w:val="006E02E5"/>
    <w:rsid w:val="006E1755"/>
    <w:rsid w:val="00705A0B"/>
    <w:rsid w:val="00707B38"/>
    <w:rsid w:val="007148AF"/>
    <w:rsid w:val="00714F44"/>
    <w:rsid w:val="00724AC5"/>
    <w:rsid w:val="007338D2"/>
    <w:rsid w:val="00733E07"/>
    <w:rsid w:val="0073485C"/>
    <w:rsid w:val="00755CA8"/>
    <w:rsid w:val="007605C2"/>
    <w:rsid w:val="007630CB"/>
    <w:rsid w:val="00763935"/>
    <w:rsid w:val="0076701C"/>
    <w:rsid w:val="00780ED6"/>
    <w:rsid w:val="007C58F8"/>
    <w:rsid w:val="007C7C8F"/>
    <w:rsid w:val="007D0717"/>
    <w:rsid w:val="007D6036"/>
    <w:rsid w:val="007E7C05"/>
    <w:rsid w:val="007F0C42"/>
    <w:rsid w:val="007F265D"/>
    <w:rsid w:val="007F7F58"/>
    <w:rsid w:val="00821EFC"/>
    <w:rsid w:val="0082579B"/>
    <w:rsid w:val="00825FA4"/>
    <w:rsid w:val="00836037"/>
    <w:rsid w:val="00837492"/>
    <w:rsid w:val="00845B01"/>
    <w:rsid w:val="008470A9"/>
    <w:rsid w:val="00847172"/>
    <w:rsid w:val="008514F1"/>
    <w:rsid w:val="008528DD"/>
    <w:rsid w:val="00853CB4"/>
    <w:rsid w:val="00864505"/>
    <w:rsid w:val="00872778"/>
    <w:rsid w:val="00875E0C"/>
    <w:rsid w:val="008768DA"/>
    <w:rsid w:val="0088752D"/>
    <w:rsid w:val="008A029B"/>
    <w:rsid w:val="008A700E"/>
    <w:rsid w:val="008B3DA5"/>
    <w:rsid w:val="008D4AB9"/>
    <w:rsid w:val="008D641A"/>
    <w:rsid w:val="008E13E9"/>
    <w:rsid w:val="008E3EBC"/>
    <w:rsid w:val="008E7BE0"/>
    <w:rsid w:val="00905808"/>
    <w:rsid w:val="00905A14"/>
    <w:rsid w:val="00907D78"/>
    <w:rsid w:val="00912B80"/>
    <w:rsid w:val="00916CA8"/>
    <w:rsid w:val="0093615D"/>
    <w:rsid w:val="0093782D"/>
    <w:rsid w:val="00946988"/>
    <w:rsid w:val="00955313"/>
    <w:rsid w:val="0096168D"/>
    <w:rsid w:val="009643A3"/>
    <w:rsid w:val="00965B26"/>
    <w:rsid w:val="00965F22"/>
    <w:rsid w:val="00974613"/>
    <w:rsid w:val="0099091F"/>
    <w:rsid w:val="009B4182"/>
    <w:rsid w:val="009C089A"/>
    <w:rsid w:val="009D7727"/>
    <w:rsid w:val="009E28B2"/>
    <w:rsid w:val="00A0070C"/>
    <w:rsid w:val="00A25B88"/>
    <w:rsid w:val="00A301EF"/>
    <w:rsid w:val="00A322A2"/>
    <w:rsid w:val="00A57FCE"/>
    <w:rsid w:val="00A67CB5"/>
    <w:rsid w:val="00A7344F"/>
    <w:rsid w:val="00A93DDC"/>
    <w:rsid w:val="00AA2459"/>
    <w:rsid w:val="00AB243B"/>
    <w:rsid w:val="00AC13E5"/>
    <w:rsid w:val="00AC4D4D"/>
    <w:rsid w:val="00AC7BC0"/>
    <w:rsid w:val="00AD7D95"/>
    <w:rsid w:val="00B027F4"/>
    <w:rsid w:val="00B07A99"/>
    <w:rsid w:val="00B26C55"/>
    <w:rsid w:val="00B26C6C"/>
    <w:rsid w:val="00B54F0C"/>
    <w:rsid w:val="00B7466E"/>
    <w:rsid w:val="00B86960"/>
    <w:rsid w:val="00BA68F4"/>
    <w:rsid w:val="00BB22BC"/>
    <w:rsid w:val="00BD3207"/>
    <w:rsid w:val="00BD5F38"/>
    <w:rsid w:val="00BE1D56"/>
    <w:rsid w:val="00BF223C"/>
    <w:rsid w:val="00C02A73"/>
    <w:rsid w:val="00C0350D"/>
    <w:rsid w:val="00C25F28"/>
    <w:rsid w:val="00C3489F"/>
    <w:rsid w:val="00C37146"/>
    <w:rsid w:val="00C37390"/>
    <w:rsid w:val="00C44B78"/>
    <w:rsid w:val="00C5675B"/>
    <w:rsid w:val="00C60DF8"/>
    <w:rsid w:val="00C8005D"/>
    <w:rsid w:val="00CB701F"/>
    <w:rsid w:val="00CD3E08"/>
    <w:rsid w:val="00CF0E75"/>
    <w:rsid w:val="00CF3DE9"/>
    <w:rsid w:val="00D01618"/>
    <w:rsid w:val="00D0367F"/>
    <w:rsid w:val="00D06838"/>
    <w:rsid w:val="00D11164"/>
    <w:rsid w:val="00D13239"/>
    <w:rsid w:val="00D17C33"/>
    <w:rsid w:val="00D2019F"/>
    <w:rsid w:val="00D25EEE"/>
    <w:rsid w:val="00D31AE8"/>
    <w:rsid w:val="00D342EC"/>
    <w:rsid w:val="00D34665"/>
    <w:rsid w:val="00D35F52"/>
    <w:rsid w:val="00D40BFB"/>
    <w:rsid w:val="00D40D5F"/>
    <w:rsid w:val="00D42376"/>
    <w:rsid w:val="00D44C63"/>
    <w:rsid w:val="00D44DC3"/>
    <w:rsid w:val="00D45D36"/>
    <w:rsid w:val="00D63CB4"/>
    <w:rsid w:val="00D71BCF"/>
    <w:rsid w:val="00D71DC0"/>
    <w:rsid w:val="00D80947"/>
    <w:rsid w:val="00D81646"/>
    <w:rsid w:val="00D83CE1"/>
    <w:rsid w:val="00D91100"/>
    <w:rsid w:val="00D92F25"/>
    <w:rsid w:val="00D95252"/>
    <w:rsid w:val="00DA1ED1"/>
    <w:rsid w:val="00DA6E33"/>
    <w:rsid w:val="00DA7145"/>
    <w:rsid w:val="00DB08AF"/>
    <w:rsid w:val="00DB12EA"/>
    <w:rsid w:val="00DB759B"/>
    <w:rsid w:val="00DB7673"/>
    <w:rsid w:val="00DB7988"/>
    <w:rsid w:val="00DC3104"/>
    <w:rsid w:val="00DD563E"/>
    <w:rsid w:val="00DD73AD"/>
    <w:rsid w:val="00DF24E9"/>
    <w:rsid w:val="00E03184"/>
    <w:rsid w:val="00E03F7B"/>
    <w:rsid w:val="00E04B89"/>
    <w:rsid w:val="00E117FB"/>
    <w:rsid w:val="00E13906"/>
    <w:rsid w:val="00E14626"/>
    <w:rsid w:val="00E155FC"/>
    <w:rsid w:val="00E376C4"/>
    <w:rsid w:val="00E43871"/>
    <w:rsid w:val="00E52B16"/>
    <w:rsid w:val="00E56F89"/>
    <w:rsid w:val="00E605E1"/>
    <w:rsid w:val="00E63102"/>
    <w:rsid w:val="00E758CB"/>
    <w:rsid w:val="00E81C96"/>
    <w:rsid w:val="00E82635"/>
    <w:rsid w:val="00E84274"/>
    <w:rsid w:val="00EA321F"/>
    <w:rsid w:val="00EA350A"/>
    <w:rsid w:val="00EA41FB"/>
    <w:rsid w:val="00EA4EFA"/>
    <w:rsid w:val="00EB3766"/>
    <w:rsid w:val="00EB69C9"/>
    <w:rsid w:val="00EC4797"/>
    <w:rsid w:val="00EF424E"/>
    <w:rsid w:val="00EF6B73"/>
    <w:rsid w:val="00F11B15"/>
    <w:rsid w:val="00F136B3"/>
    <w:rsid w:val="00F204FD"/>
    <w:rsid w:val="00F417E9"/>
    <w:rsid w:val="00F56340"/>
    <w:rsid w:val="00F613AB"/>
    <w:rsid w:val="00F7354C"/>
    <w:rsid w:val="00F77154"/>
    <w:rsid w:val="00F8085F"/>
    <w:rsid w:val="00F850C0"/>
    <w:rsid w:val="00F94800"/>
    <w:rsid w:val="00FD5BA7"/>
    <w:rsid w:val="00FE0534"/>
    <w:rsid w:val="00FE3069"/>
    <w:rsid w:val="00FF0EFF"/>
    <w:rsid w:val="00FF1120"/>
    <w:rsid w:val="00FF4A45"/>
    <w:rsid w:val="00FF6379"/>
    <w:rsid w:val="00FF7EBB"/>
    <w:rsid w:val="014001AC"/>
    <w:rsid w:val="0261662C"/>
    <w:rsid w:val="051536FE"/>
    <w:rsid w:val="055F2BCB"/>
    <w:rsid w:val="05CA4842"/>
    <w:rsid w:val="065F10D4"/>
    <w:rsid w:val="08DA2C94"/>
    <w:rsid w:val="0BC11EE9"/>
    <w:rsid w:val="0C160487"/>
    <w:rsid w:val="0CAC61FA"/>
    <w:rsid w:val="0CC71565"/>
    <w:rsid w:val="0F5372FC"/>
    <w:rsid w:val="0F5F0397"/>
    <w:rsid w:val="11BF6ECB"/>
    <w:rsid w:val="12480E56"/>
    <w:rsid w:val="14F275B8"/>
    <w:rsid w:val="16026DB8"/>
    <w:rsid w:val="195C5A1A"/>
    <w:rsid w:val="1AFD0697"/>
    <w:rsid w:val="1C3D55BC"/>
    <w:rsid w:val="1E8B2D06"/>
    <w:rsid w:val="20062169"/>
    <w:rsid w:val="20AA04DC"/>
    <w:rsid w:val="262C61A6"/>
    <w:rsid w:val="26D859C2"/>
    <w:rsid w:val="2790513A"/>
    <w:rsid w:val="27E6222F"/>
    <w:rsid w:val="27FF5E1C"/>
    <w:rsid w:val="28694D3B"/>
    <w:rsid w:val="288D3427"/>
    <w:rsid w:val="2DAF0FB0"/>
    <w:rsid w:val="2E453B44"/>
    <w:rsid w:val="2F0D3463"/>
    <w:rsid w:val="308723F2"/>
    <w:rsid w:val="32D16607"/>
    <w:rsid w:val="33CD3B29"/>
    <w:rsid w:val="346F60D7"/>
    <w:rsid w:val="358D41A6"/>
    <w:rsid w:val="36A4475E"/>
    <w:rsid w:val="37DB688A"/>
    <w:rsid w:val="38446FAE"/>
    <w:rsid w:val="3A5511B8"/>
    <w:rsid w:val="3B7F12F6"/>
    <w:rsid w:val="3F8275D4"/>
    <w:rsid w:val="40D9434E"/>
    <w:rsid w:val="40EE4F05"/>
    <w:rsid w:val="4255390B"/>
    <w:rsid w:val="439C056B"/>
    <w:rsid w:val="44AB4F09"/>
    <w:rsid w:val="4916491B"/>
    <w:rsid w:val="4964246E"/>
    <w:rsid w:val="4A0654DC"/>
    <w:rsid w:val="4B4439C2"/>
    <w:rsid w:val="4BC868D1"/>
    <w:rsid w:val="4F371833"/>
    <w:rsid w:val="4FBD1F95"/>
    <w:rsid w:val="504B5476"/>
    <w:rsid w:val="50C47CBA"/>
    <w:rsid w:val="50F45928"/>
    <w:rsid w:val="51874608"/>
    <w:rsid w:val="53236338"/>
    <w:rsid w:val="53A47168"/>
    <w:rsid w:val="55434FBA"/>
    <w:rsid w:val="55BF649D"/>
    <w:rsid w:val="56097CE2"/>
    <w:rsid w:val="56B20379"/>
    <w:rsid w:val="58C921C1"/>
    <w:rsid w:val="594B0611"/>
    <w:rsid w:val="5B0E0A11"/>
    <w:rsid w:val="5B386A48"/>
    <w:rsid w:val="60713F87"/>
    <w:rsid w:val="60AF76D8"/>
    <w:rsid w:val="60F577E0"/>
    <w:rsid w:val="61A84853"/>
    <w:rsid w:val="63AA3AD3"/>
    <w:rsid w:val="63E4139B"/>
    <w:rsid w:val="64390680"/>
    <w:rsid w:val="65115B87"/>
    <w:rsid w:val="658729D1"/>
    <w:rsid w:val="66BD1DE0"/>
    <w:rsid w:val="675B2367"/>
    <w:rsid w:val="69B31FE7"/>
    <w:rsid w:val="6C353187"/>
    <w:rsid w:val="6C4258A4"/>
    <w:rsid w:val="6CAE4E72"/>
    <w:rsid w:val="6E3A4A84"/>
    <w:rsid w:val="6FB645DF"/>
    <w:rsid w:val="709950FD"/>
    <w:rsid w:val="70AD6468"/>
    <w:rsid w:val="71990E42"/>
    <w:rsid w:val="748C1DB2"/>
    <w:rsid w:val="74F811F5"/>
    <w:rsid w:val="7C9A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83" w:firstLineChars="200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3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160" w:after="80"/>
      <w:ind w:firstLine="0" w:firstLineChars="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autoRedefine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autoRedefine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9"/>
    <w:autoRedefine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2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4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3"/>
    <w:autoRedefine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14:ligatures w14:val="none"/>
    </w:rPr>
  </w:style>
  <w:style w:type="paragraph" w:styleId="16">
    <w:name w:val="Title"/>
    <w:basedOn w:val="1"/>
    <w:next w:val="1"/>
    <w:link w:val="32"/>
    <w:autoRedefine/>
    <w:qFormat/>
    <w:uiPriority w:val="10"/>
    <w:pPr>
      <w:spacing w:after="80"/>
      <w:ind w:firstLine="0" w:firstLineChars="0"/>
      <w:contextualSpacing/>
      <w:jc w:val="center"/>
    </w:pPr>
    <w:rPr>
      <w:rFonts w:ascii="楷体" w:hAnsi="楷体" w:eastAsia="楷体" w:cs="Times New Roman"/>
      <w:b/>
      <w:bCs/>
      <w:color w:val="156082" w:themeColor="accent1"/>
      <w:kern w:val="28"/>
      <w:sz w:val="40"/>
      <w:szCs w:val="40"/>
      <w14:textFill>
        <w14:solidFill>
          <w14:schemeClr w14:val="accent1"/>
        </w14:solidFill>
      </w14:textFill>
    </w:rPr>
  </w:style>
  <w:style w:type="table" w:styleId="18">
    <w:name w:val="Table Grid"/>
    <w:basedOn w:val="1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FollowedHyperlink"/>
    <w:basedOn w:val="19"/>
    <w:autoRedefine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basedOn w:val="19"/>
    <w:autoRedefine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3">
    <w:name w:val="标题 1 字符"/>
    <w:basedOn w:val="19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标题 2 字符"/>
    <w:basedOn w:val="19"/>
    <w:link w:val="3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3 字符"/>
    <w:basedOn w:val="19"/>
    <w:link w:val="4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19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19"/>
    <w:link w:val="6"/>
    <w:autoRedefine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8">
    <w:name w:val="标题 6 字符"/>
    <w:basedOn w:val="19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19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19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19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19"/>
    <w:link w:val="16"/>
    <w:autoRedefine/>
    <w:qFormat/>
    <w:uiPriority w:val="10"/>
    <w:rPr>
      <w:rFonts w:ascii="楷体" w:hAnsi="楷体" w:eastAsia="楷体" w:cs="Times New Roman"/>
      <w:b/>
      <w:bCs/>
      <w:color w:val="156082" w:themeColor="accent1"/>
      <w:kern w:val="28"/>
      <w:sz w:val="40"/>
      <w:szCs w:val="40"/>
      <w14:textFill>
        <w14:solidFill>
          <w14:schemeClr w14:val="accent1"/>
        </w14:solidFill>
      </w14:textFill>
      <w14:ligatures w14:val="standardContextual"/>
    </w:rPr>
  </w:style>
  <w:style w:type="character" w:customStyle="1" w:styleId="33">
    <w:name w:val="副标题 字符"/>
    <w:basedOn w:val="19"/>
    <w:link w:val="13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19"/>
    <w:link w:val="34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autoRedefine/>
    <w:qFormat/>
    <w:uiPriority w:val="34"/>
    <w:pPr>
      <w:widowControl/>
      <w:numPr>
        <w:ilvl w:val="0"/>
        <w:numId w:val="1"/>
      </w:numPr>
      <w:ind w:firstLine="0" w:firstLineChars="0"/>
      <w:contextualSpacing/>
    </w:pPr>
  </w:style>
  <w:style w:type="character" w:customStyle="1" w:styleId="37">
    <w:name w:val="明显强调1"/>
    <w:basedOn w:val="19"/>
    <w:autoRedefine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19"/>
    <w:link w:val="38"/>
    <w:autoRedefine/>
    <w:qFormat/>
    <w:uiPriority w:val="30"/>
    <w:rPr>
      <w:i/>
      <w:iCs/>
      <w:color w:val="104862" w:themeColor="accent1" w:themeShade="BF"/>
    </w:rPr>
  </w:style>
  <w:style w:type="character" w:customStyle="1" w:styleId="40">
    <w:name w:val="明显参考1"/>
    <w:basedOn w:val="19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页眉 字符"/>
    <w:basedOn w:val="19"/>
    <w:link w:val="12"/>
    <w:autoRedefine/>
    <w:qFormat/>
    <w:uiPriority w:val="99"/>
    <w:rPr>
      <w:sz w:val="18"/>
      <w:szCs w:val="18"/>
    </w:rPr>
  </w:style>
  <w:style w:type="character" w:customStyle="1" w:styleId="42">
    <w:name w:val="页脚 字符"/>
    <w:basedOn w:val="19"/>
    <w:link w:val="11"/>
    <w:autoRedefine/>
    <w:qFormat/>
    <w:uiPriority w:val="99"/>
    <w:rPr>
      <w:sz w:val="18"/>
      <w:szCs w:val="18"/>
    </w:rPr>
  </w:style>
  <w:style w:type="paragraph" w:customStyle="1" w:styleId="43">
    <w:name w:val="Abstract"/>
    <w:basedOn w:val="1"/>
    <w:next w:val="1"/>
    <w:autoRedefine/>
    <w:qFormat/>
    <w:uiPriority w:val="0"/>
    <w:pPr>
      <w:widowControl/>
      <w:autoSpaceDE w:val="0"/>
      <w:autoSpaceDN w:val="0"/>
      <w:spacing w:before="60" w:line="288" w:lineRule="auto"/>
      <w:jc w:val="both"/>
    </w:pPr>
    <w:rPr>
      <w:rFonts w:ascii="Cambria" w:hAnsi="Cambria" w:cs="Calibri"/>
      <w:bCs/>
      <w:sz w:val="21"/>
      <w:szCs w:val="18"/>
      <w14:ligatures w14:val="none"/>
    </w:rPr>
  </w:style>
  <w:style w:type="paragraph" w:customStyle="1" w:styleId="44">
    <w:name w:val="Keywords"/>
    <w:basedOn w:val="1"/>
    <w:next w:val="1"/>
    <w:qFormat/>
    <w:uiPriority w:val="0"/>
    <w:pPr>
      <w:widowControl/>
      <w:autoSpaceDE w:val="0"/>
      <w:autoSpaceDN w:val="0"/>
      <w:jc w:val="both"/>
    </w:pPr>
    <w:rPr>
      <w:rFonts w:ascii="Cambria" w:hAnsi="Cambria" w:cs="Calibri"/>
      <w:bCs/>
      <w:sz w:val="21"/>
      <w:szCs w:val="18"/>
      <w14:ligatures w14:val="none"/>
    </w:rPr>
  </w:style>
  <w:style w:type="paragraph" w:customStyle="1" w:styleId="45">
    <w:name w:val="Authors"/>
    <w:basedOn w:val="1"/>
    <w:link w:val="47"/>
    <w:qFormat/>
    <w:uiPriority w:val="0"/>
    <w:pPr>
      <w:widowControl/>
      <w:autoSpaceDE w:val="0"/>
      <w:autoSpaceDN w:val="0"/>
      <w:spacing w:before="120" w:after="60"/>
    </w:pPr>
    <w:rPr>
      <w:rFonts w:ascii="Cambria" w:hAnsi="Cambria" w:cs="Calibri"/>
      <w:szCs w:val="21"/>
      <w14:ligatures w14:val="none"/>
    </w:rPr>
  </w:style>
  <w:style w:type="paragraph" w:customStyle="1" w:styleId="46">
    <w:name w:val="Affiliation"/>
    <w:basedOn w:val="1"/>
    <w:link w:val="48"/>
    <w:qFormat/>
    <w:uiPriority w:val="0"/>
    <w:pPr>
      <w:widowControl/>
      <w:autoSpaceDE w:val="0"/>
      <w:autoSpaceDN w:val="0"/>
    </w:pPr>
    <w:rPr>
      <w:rFonts w:ascii="Cambria" w:hAnsi="Cambria" w:cs="Calibri"/>
      <w:sz w:val="21"/>
      <w:szCs w:val="21"/>
      <w14:ligatures w14:val="none"/>
    </w:rPr>
  </w:style>
  <w:style w:type="character" w:customStyle="1" w:styleId="47">
    <w:name w:val="Authors Char"/>
    <w:basedOn w:val="19"/>
    <w:link w:val="45"/>
    <w:qFormat/>
    <w:uiPriority w:val="0"/>
    <w:rPr>
      <w:rFonts w:ascii="Cambria" w:hAnsi="Cambria" w:eastAsia="宋体" w:cs="Calibri"/>
      <w:sz w:val="24"/>
      <w:szCs w:val="21"/>
      <w14:ligatures w14:val="none"/>
    </w:rPr>
  </w:style>
  <w:style w:type="character" w:customStyle="1" w:styleId="48">
    <w:name w:val="Affiliation Char"/>
    <w:basedOn w:val="19"/>
    <w:link w:val="46"/>
    <w:qFormat/>
    <w:uiPriority w:val="0"/>
    <w:rPr>
      <w:rFonts w:ascii="Cambria" w:hAnsi="Cambria" w:eastAsia="宋体" w:cs="Calibri"/>
      <w:sz w:val="21"/>
      <w:szCs w:val="21"/>
      <w14:ligatures w14:val="none"/>
    </w:rPr>
  </w:style>
  <w:style w:type="character" w:customStyle="1" w:styleId="49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0">
    <w:name w:val="网格型1"/>
    <w:basedOn w:val="17"/>
    <w:autoRedefine/>
    <w:qFormat/>
    <w:uiPriority w:val="59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51">
    <w:name w:val="未处理的提及2"/>
    <w:basedOn w:val="1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2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table" w:customStyle="1" w:styleId="53">
    <w:name w:val="网格型2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3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A003C6-7E8F-47C1-A7EF-9178AA975A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950</Words>
  <Characters>1608</Characters>
  <Lines>20</Lines>
  <Paragraphs>5</Paragraphs>
  <TotalTime>8</TotalTime>
  <ScaleCrop>false</ScaleCrop>
  <LinksUpToDate>false</LinksUpToDate>
  <CharactersWithSpaces>1748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2025-06-30T11:44:00Z</dcterms:created>
  <dc:creator>教状腋诵</dc:creator>
  <cp:lastModifiedBy>　　　　　　　　</cp:lastModifiedBy>
  <dcterms:modified xsi:type="dcterms:W3CDTF">2026-07-15T11:24:05Z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F11C0E3D90DF429D87F32A8DEB57A15C_12</vt:lpwstr>
  </property>
  <property fmtid="{D5CDD505-2E9C-101B-9397-08002B2CF9AE}" pid="4" name="KSOTemplateDocerSaveRecord">
    <vt:lpwstr>eyJoZGlkIjoiMjFhOTYzZmZkNzU2NTc1NWJjYzkzYjc5OGNlNzZlZDkiLCJ1c2VySWQiOiIxMTQwMTIyMzU3In0=</vt:lpwstr>
  </property>
</Properties>
</file>