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0D2B4E"/>
          <w:sz w:val="56"/>
          <w:szCs w:val="56"/>
        </w:rPr>
        <w:t xml:space="preserve">SOFTWARE LICENCE AGREEMENT</w:t>
      </w:r>
    </w:p>
    <w:p>
      <w:pPr>
        <w:spacing w:after="120" w:before="0"/>
        <w:jc w:val="center"/>
      </w:pPr>
      <w:r>
        <w:rPr>
          <w:rFonts w:ascii="Arial" w:cs="Arial" w:eastAsia="Arial" w:hAnsi="Arial"/>
          <w:b/>
          <w:bCs/>
          <w:color w:val="1A4A7A"/>
          <w:sz w:val="36"/>
          <w:szCs w:val="36"/>
        </w:rPr>
        <w:t xml:space="preserve">PITNN DAB Converter</w:t>
      </w:r>
    </w:p>
    <w:p>
      <w:pPr>
        <w:spacing w:after="80" w:before="0"/>
        <w:jc w:val="center"/>
      </w:pPr>
      <w:r>
        <w:rPr>
          <w:rFonts w:ascii="Arial" w:cs="Arial" w:eastAsia="Arial" w:hAnsi="Arial"/>
          <w:color w:val="5D6D7E"/>
          <w:sz w:val="24"/>
          <w:szCs w:val="24"/>
        </w:rPr>
        <w:t xml:space="preserve">Physics-Informed Transformer Neural Network for</w:t>
      </w:r>
    </w:p>
    <w:p>
      <w:pPr>
        <w:spacing w:after="400" w:before="0"/>
        <w:jc w:val="center"/>
      </w:pPr>
      <w:r>
        <w:rPr>
          <w:rFonts w:ascii="Arial" w:cs="Arial" w:eastAsia="Arial" w:hAnsi="Arial"/>
          <w:color w:val="5D6D7E"/>
          <w:sz w:val="24"/>
          <w:szCs w:val="24"/>
        </w:rPr>
        <w:t xml:space="preserve">Real-Time Triple Phase Shift Optimal Modulation in Dual Active Bridge Converters</w:t>
      </w:r>
    </w:p>
    <w:p>
      <w:pPr>
        <w:pBdr>
          <w:top w:val="single" w:color="1F5C99" w:sz="4" w:space="4"/>
          <w:bottom w:val="single" w:color="1F5C99" w:sz="4" w:space="4"/>
        </w:pBdr>
        <w:spacing w:after="100" w:before="0"/>
        <w:jc w:val="center"/>
      </w:pPr>
      <w:r>
        <w:rPr>
          <w:rFonts w:ascii="Arial" w:cs="Arial" w:eastAsia="Arial" w:hAnsi="Arial"/>
          <w:b/>
          <w:bCs/>
          <w:color w:val="1F5C99"/>
          <w:sz w:val="24"/>
          <w:szCs w:val="24"/>
        </w:rPr>
        <w:t xml:space="preserve">Copyright © 2026 Chukwuemeka Nzeadibe</w:t>
      </w:r>
    </w:p>
    <w:p>
      <w:pPr>
        <w:spacing w:after="100" w:before="100"/>
        <w:jc w:val="center"/>
      </w:pPr>
      <w:r>
        <w:rPr>
          <w:rFonts w:ascii="Arial" w:cs="Arial" w:eastAsia="Arial" w:hAnsi="Arial"/>
          <w:color w:val="5D6D7E"/>
          <w:sz w:val="22"/>
          <w:szCs w:val="22"/>
        </w:rPr>
        <w:t xml:space="preserve">Mississippi State University — Department of Electrical &amp; Computer Engineering</w:t>
      </w:r>
    </w:p>
    <w:p>
      <w:r>
        <w:br w:type="page"/>
      </w:r>
    </w:p>
    <w:p>
      <w:pPr>
        <w:pStyle w:val="Heading1"/>
        <w:pBdr>
          <w:bottom w:val="single" w:color="1F5C99" w:sz="8" w:space="6"/>
        </w:pBdr>
        <w:spacing w:after="160" w:before="400"/>
      </w:pPr>
      <w:r>
        <w:rPr>
          <w:rFonts w:ascii="Arial" w:cs="Arial" w:eastAsia="Arial" w:hAnsi="Arial"/>
          <w:b/>
          <w:bCs/>
          <w:color w:val="0D2B4E"/>
          <w:sz w:val="32"/>
          <w:szCs w:val="32"/>
        </w:rPr>
        <w:t xml:space="preserve">1. Licence at a Glance</w:t>
      </w:r>
    </w:p>
    <w:p>
      <w:pPr>
        <w:spacing w:after="120" w:before="100"/>
        <w:jc w:val="left"/>
      </w:pPr>
      <w:r>
        <w:rPr>
          <w:rFonts w:ascii="Arial" w:cs="Arial" w:eastAsia="Arial" w:hAnsi="Arial"/>
          <w:color w:val="1A1A2E"/>
          <w:sz w:val="22"/>
          <w:szCs w:val="22"/>
        </w:rPr>
        <w:t xml:space="preserve">This table summarises what is and is not permitted. The full legal terms in the sections that follow take precedence over this summary in all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DC3C7" w:sz="1"/>
              <w:left w:val="single" w:color="BDC3C7" w:sz="1"/>
              <w:bottom w:val="single" w:color="BDC3C7" w:sz="1"/>
              <w:right w:val="single" w:color="BDC3C7" w:sz="1"/>
            </w:tcBorders>
            <w:shd w:fill="0D2B4E"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2000"/>
            <w:tcBorders>
              <w:top w:val="single" w:color="BDC3C7" w:sz="1"/>
              <w:left w:val="single" w:color="BDC3C7" w:sz="1"/>
              <w:bottom w:val="single" w:color="BDC3C7" w:sz="1"/>
              <w:right w:val="single" w:color="BDC3C7" w:sz="1"/>
            </w:tcBorders>
            <w:shd w:fill="0D2B4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4160"/>
            <w:tcBorders>
              <w:top w:val="single" w:color="BDC3C7" w:sz="1"/>
              <w:left w:val="single" w:color="BDC3C7" w:sz="1"/>
              <w:bottom w:val="single" w:color="BDC3C7" w:sz="1"/>
              <w:right w:val="single" w:color="BDC3C7" w:sz="1"/>
            </w:tcBorders>
            <w:shd w:fill="0D2B4E" w:val="clear"/>
            <w:tcMar>
              <w:top w:type="dxa" w:w="100"/>
              <w:left w:type="dxa" w:w="120"/>
              <w:bottom w:type="dxa" w:w="100"/>
              <w:right w:type="dxa" w:w="120"/>
            </w:tcMar>
          </w:tcPr>
          <w:p>
            <w:r>
              <w:rPr>
                <w:rFonts w:ascii="Arial" w:cs="Arial" w:eastAsia="Arial" w:hAnsi="Arial"/>
                <w:b/>
                <w:bCs/>
                <w:color w:val="FFFFFF"/>
                <w:sz w:val="20"/>
                <w:szCs w:val="20"/>
              </w:rPr>
              <w:t xml:space="preserve">Condition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Academic / personal research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5E35"/>
                <w:sz w:val="20"/>
                <w:szCs w:val="20"/>
              </w:rPr>
              <w:t xml:space="preserve">PERMITTED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Citation required</w:t>
            </w:r>
          </w:p>
        </w:tc>
      </w:tr>
      <w:tr>
        <w:tc>
          <w:tcPr>
            <w:tcW w:type="dxa" w:w="32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University teaching &amp; coursework</w:t>
            </w:r>
          </w:p>
        </w:tc>
        <w:tc>
          <w:tcPr>
            <w:tcW w:type="dxa" w:w="20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bCs/>
                <w:color w:val="1A5E35"/>
                <w:sz w:val="20"/>
                <w:szCs w:val="20"/>
              </w:rPr>
              <w:t xml:space="preserve">PERMITTED</w:t>
            </w:r>
          </w:p>
        </w:tc>
        <w:tc>
          <w:tcPr>
            <w:tcW w:type="dxa" w:w="416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Citation required</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Modify and redistribute openly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5E35"/>
                <w:sz w:val="20"/>
                <w:szCs w:val="20"/>
              </w:rPr>
              <w:t xml:space="preserve">PERMITTED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Must disclose changes + retain attribution</w:t>
            </w:r>
          </w:p>
        </w:tc>
      </w:tr>
      <w:tr>
        <w:tc>
          <w:tcPr>
            <w:tcW w:type="dxa" w:w="32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Not-for-profit R&amp;D</w:t>
            </w:r>
          </w:p>
        </w:tc>
        <w:tc>
          <w:tcPr>
            <w:tcW w:type="dxa" w:w="20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bCs/>
                <w:color w:val="1A5E35"/>
                <w:sz w:val="20"/>
                <w:szCs w:val="20"/>
              </w:rPr>
              <w:t xml:space="preserve">PERMITTED</w:t>
            </w:r>
          </w:p>
        </w:tc>
        <w:tc>
          <w:tcPr>
            <w:tcW w:type="dxa" w:w="416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Citation required</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Commercial product or service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7D4E00"/>
                <w:sz w:val="20"/>
                <w:szCs w:val="20"/>
              </w:rPr>
              <w:t xml:space="preserve">REQUIRES PERMISSION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Written authorisation from Author</w:t>
            </w:r>
          </w:p>
        </w:tc>
      </w:tr>
      <w:tr>
        <w:tc>
          <w:tcPr>
            <w:tcW w:type="dxa" w:w="32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Sponsored research (commercial ownership)</w:t>
            </w:r>
          </w:p>
        </w:tc>
        <w:tc>
          <w:tcPr>
            <w:tcW w:type="dxa" w:w="20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bCs/>
                <w:color w:val="7D4E00"/>
                <w:sz w:val="20"/>
                <w:szCs w:val="20"/>
              </w:rPr>
              <w:t xml:space="preserve">REQUIRES PERMISSION</w:t>
            </w:r>
          </w:p>
        </w:tc>
        <w:tc>
          <w:tcPr>
            <w:tcW w:type="dxa" w:w="416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Written authorisation from Author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Sublicensing to third parties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7D4E00"/>
                <w:sz w:val="20"/>
                <w:szCs w:val="20"/>
              </w:rPr>
              <w:t xml:space="preserve">REQUIRES PERMISSION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Commercial licence agreement needed</w:t>
            </w:r>
          </w:p>
        </w:tc>
      </w:tr>
      <w:tr>
        <w:tc>
          <w:tcPr>
            <w:tcW w:type="dxa" w:w="32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Remove copyright notices</w:t>
            </w:r>
          </w:p>
        </w:tc>
        <w:tc>
          <w:tcPr>
            <w:tcW w:type="dxa" w:w="20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bCs/>
                <w:color w:val="922B21"/>
                <w:sz w:val="20"/>
                <w:szCs w:val="20"/>
              </w:rPr>
              <w:t xml:space="preserve">PROHIBITED</w:t>
            </w:r>
          </w:p>
        </w:tc>
        <w:tc>
          <w:tcPr>
            <w:tcW w:type="dxa" w:w="416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Strict prohibition — all users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Claim as original work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922B21"/>
                <w:sz w:val="20"/>
                <w:szCs w:val="20"/>
              </w:rPr>
              <w:t xml:space="preserve">PROHIBITED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Strict prohibition — all users</w:t>
            </w:r>
          </w:p>
        </w:tc>
      </w:tr>
      <w:tr>
        <w:tc>
          <w:tcPr>
            <w:tcW w:type="dxa" w:w="32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Deploy without safety review</w:t>
            </w:r>
          </w:p>
        </w:tc>
        <w:tc>
          <w:tcPr>
            <w:tcW w:type="dxa" w:w="200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bCs/>
                <w:color w:val="922B21"/>
                <w:sz w:val="20"/>
                <w:szCs w:val="20"/>
              </w:rPr>
              <w:t xml:space="preserve">PROHIBITED</w:t>
            </w:r>
          </w:p>
        </w:tc>
        <w:tc>
          <w:tcPr>
            <w:tcW w:type="dxa" w:w="4160"/>
            <w:tcBorders>
              <w:top w:val="single" w:color="BDC3C7" w:sz="1"/>
              <w:left w:val="single" w:color="BDC3C7" w:sz="1"/>
              <w:bottom w:val="single" w:color="BDC3C7" w:sz="1"/>
              <w:right w:val="single" w:color="BDC3C7" w:sz="1"/>
            </w:tcBorders>
            <w:shd w:fill="EB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See Safety Notice section</w:t>
            </w:r>
          </w:p>
        </w:tc>
      </w:tr>
    </w:tbl>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2. Definitions</w:t>
      </w:r>
    </w:p>
    <w:p>
      <w:pPr>
        <w:spacing w:after="120" w:before="100"/>
        <w:jc w:val="left"/>
      </w:pPr>
      <w:r>
        <w:rPr>
          <w:rFonts w:ascii="Arial" w:cs="Arial" w:eastAsia="Arial" w:hAnsi="Arial"/>
          <w:b/>
          <w:bCs/>
          <w:color w:val="1A1A2E"/>
          <w:sz w:val="22"/>
          <w:szCs w:val="22"/>
        </w:rPr>
        <w:t xml:space="preserve">"Software"</w:t>
      </w:r>
      <w:r>
        <w:rPr>
          <w:rFonts w:ascii="Arial" w:cs="Arial" w:eastAsia="Arial" w:hAnsi="Arial"/>
          <w:color w:val="1A1A2E"/>
          <w:sz w:val="22"/>
          <w:szCs w:val="22"/>
        </w:rPr>
        <w:t xml:space="preserve">  means the source code, trained model weights, dataset generation scripts, video ingestion pipeline, deployment scripts, and associated documentation in this repository, including pitnn_dab.py, pitnn_deploy.py, and any checkpoint files they produce.</w:t>
      </w:r>
    </w:p>
    <w:p>
      <w:pPr>
        <w:spacing w:after="0" w:before="80"/>
      </w:pPr>
      <w:r>
        <w:t xml:space="preserve"/>
      </w:r>
    </w:p>
    <w:p>
      <w:pPr>
        <w:spacing w:after="120" w:before="100"/>
        <w:jc w:val="left"/>
      </w:pPr>
      <w:r>
        <w:rPr>
          <w:rFonts w:ascii="Arial" w:cs="Arial" w:eastAsia="Arial" w:hAnsi="Arial"/>
          <w:b/>
          <w:bCs/>
          <w:color w:val="1A1A2E"/>
          <w:sz w:val="22"/>
          <w:szCs w:val="22"/>
        </w:rPr>
        <w:t xml:space="preserve">"Author"</w:t>
      </w:r>
      <w:r>
        <w:rPr>
          <w:rFonts w:ascii="Arial" w:cs="Arial" w:eastAsia="Arial" w:hAnsi="Arial"/>
          <w:color w:val="1A1A2E"/>
          <w:sz w:val="22"/>
          <w:szCs w:val="22"/>
        </w:rPr>
        <w:t xml:space="preserve">  means Chukwuemeka Nzeadibe.</w:t>
      </w:r>
    </w:p>
    <w:p>
      <w:pPr>
        <w:spacing w:after="0" w:before="80"/>
      </w:pPr>
      <w:r>
        <w:t xml:space="preserve"/>
      </w:r>
    </w:p>
    <w:p>
      <w:pPr>
        <w:spacing w:after="120" w:before="100"/>
        <w:jc w:val="left"/>
      </w:pPr>
      <w:r>
        <w:rPr>
          <w:rFonts w:ascii="Arial" w:cs="Arial" w:eastAsia="Arial" w:hAnsi="Arial"/>
          <w:b/>
          <w:bCs/>
          <w:color w:val="1A1A2E"/>
          <w:sz w:val="22"/>
          <w:szCs w:val="22"/>
        </w:rPr>
        <w:t xml:space="preserve">"Non-Commercial Use"</w:t>
      </w:r>
      <w:r>
        <w:rPr>
          <w:rFonts w:ascii="Arial" w:cs="Arial" w:eastAsia="Arial" w:hAnsi="Arial"/>
          <w:color w:val="1A1A2E"/>
          <w:sz w:val="22"/>
          <w:szCs w:val="22"/>
        </w:rPr>
        <w:t xml:space="preserve">  means use for personal study, academic research, university coursework, and not-for-profit educational purposes, where no revenue is generated directly or indirectly from the Software.</w:t>
      </w:r>
    </w:p>
    <w:p>
      <w:pPr>
        <w:spacing w:after="0" w:before="80"/>
      </w:pPr>
      <w:r>
        <w:t xml:space="preserve"/>
      </w:r>
    </w:p>
    <w:p>
      <w:pPr>
        <w:spacing w:after="120" w:before="100"/>
        <w:jc w:val="left"/>
      </w:pPr>
      <w:r>
        <w:rPr>
          <w:rFonts w:ascii="Arial" w:cs="Arial" w:eastAsia="Arial" w:hAnsi="Arial"/>
          <w:b/>
          <w:bCs/>
          <w:color w:val="1A1A2E"/>
          <w:sz w:val="22"/>
          <w:szCs w:val="22"/>
        </w:rPr>
        <w:t xml:space="preserve">"Commercial Use"</w:t>
      </w:r>
      <w:r>
        <w:rPr>
          <w:rFonts w:ascii="Arial" w:cs="Arial" w:eastAsia="Arial" w:hAnsi="Arial"/>
          <w:color w:val="1A1A2E"/>
          <w:sz w:val="22"/>
          <w:szCs w:val="22"/>
        </w:rPr>
        <w:t xml:space="preserve">  means any use that generates revenue, is embedded in a product or service, is used by a for-profit organisation, or is used to develop intellectual property intended for commercialisation.</w:t>
      </w:r>
    </w:p>
    <w:p>
      <w:pPr>
        <w:spacing w:after="0" w:before="80"/>
      </w:pPr>
      <w:r>
        <w:t xml:space="preserve"/>
      </w:r>
    </w:p>
    <w:p>
      <w:pPr>
        <w:spacing w:after="120" w:before="100"/>
        <w:jc w:val="left"/>
      </w:pPr>
      <w:r>
        <w:rPr>
          <w:rFonts w:ascii="Arial" w:cs="Arial" w:eastAsia="Arial" w:hAnsi="Arial"/>
          <w:b/>
          <w:bCs/>
          <w:color w:val="1A1A2E"/>
          <w:sz w:val="22"/>
          <w:szCs w:val="22"/>
        </w:rPr>
        <w:t xml:space="preserve">"Derivative Work"</w:t>
      </w:r>
      <w:r>
        <w:rPr>
          <w:rFonts w:ascii="Arial" w:cs="Arial" w:eastAsia="Arial" w:hAnsi="Arial"/>
          <w:color w:val="1A1A2E"/>
          <w:sz w:val="22"/>
          <w:szCs w:val="22"/>
        </w:rPr>
        <w:t xml:space="preserve">  means any modification, adaptation, translation, enhancement, or work that incorporates any part of the Software.</w:t>
      </w:r>
    </w:p>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3. Non-Commercial Use — Permitted</w:t>
      </w:r>
    </w:p>
    <w:p>
      <w:pPr>
        <w:spacing w:after="120" w:before="100"/>
        <w:jc w:val="left"/>
      </w:pPr>
      <w:r>
        <w:rPr>
          <w:rFonts w:ascii="Arial" w:cs="Arial" w:eastAsia="Arial" w:hAnsi="Arial"/>
          <w:color w:val="1A1A2E"/>
          <w:sz w:val="22"/>
          <w:szCs w:val="22"/>
        </w:rPr>
        <w:t xml:space="preserve">Permission is granted, free of charge, to any person obtaining a copy of this Software to use, copy, and study it solely for Non-Commercial purposes, subject to all of the following conditions:</w:t>
      </w:r>
    </w:p>
    <w:p>
      <w:pPr>
        <w:spacing w:after="0" w:before="80"/>
      </w:pPr>
      <w:r>
        <w:t xml:space="preserve"/>
      </w:r>
    </w:p>
    <w:p>
      <w:pPr>
        <w:pStyle w:val="Heading2"/>
        <w:spacing w:after="120" w:before="280"/>
      </w:pPr>
      <w:r>
        <w:rPr>
          <w:rFonts w:ascii="Arial" w:cs="Arial" w:eastAsia="Arial" w:hAnsi="Arial"/>
          <w:b/>
          <w:bCs/>
          <w:color w:val="1A4A7A"/>
          <w:sz w:val="26"/>
          <w:szCs w:val="26"/>
        </w:rPr>
        <w:t xml:space="preserve">3.1  Attribution</w:t>
      </w:r>
    </w:p>
    <w:p>
      <w:pPr>
        <w:spacing w:after="120" w:before="100"/>
        <w:jc w:val="left"/>
      </w:pPr>
      <w:r>
        <w:rPr>
          <w:rFonts w:ascii="Arial" w:cs="Arial" w:eastAsia="Arial" w:hAnsi="Arial"/>
          <w:color w:val="1A1A2E"/>
          <w:sz w:val="22"/>
          <w:szCs w:val="22"/>
        </w:rPr>
        <w:t xml:space="preserve">The copyright notice and this licence notice must be included in all copies or substantial portions of the Software.</w:t>
      </w:r>
    </w:p>
    <w:p>
      <w:pPr>
        <w:spacing w:after="0" w:before="80"/>
      </w:pPr>
      <w:r>
        <w:t xml:space="preserve"/>
      </w:r>
    </w:p>
    <w:p>
      <w:pPr>
        <w:pStyle w:val="Heading2"/>
        <w:spacing w:after="120" w:before="280"/>
      </w:pPr>
      <w:r>
        <w:rPr>
          <w:rFonts w:ascii="Arial" w:cs="Arial" w:eastAsia="Arial" w:hAnsi="Arial"/>
          <w:b/>
          <w:bCs/>
          <w:color w:val="1A4A7A"/>
          <w:sz w:val="26"/>
          <w:szCs w:val="26"/>
        </w:rPr>
        <w:t xml:space="preserve">3.2  Citation Requirement</w:t>
      </w:r>
    </w:p>
    <w:p>
      <w:pPr>
        <w:spacing w:after="120" w:before="100"/>
        <w:jc w:val="left"/>
      </w:pPr>
      <w:r>
        <w:rPr>
          <w:rFonts w:ascii="Arial" w:cs="Arial" w:eastAsia="Arial" w:hAnsi="Arial"/>
          <w:color w:val="1A1A2E"/>
          <w:sz w:val="22"/>
          <w:szCs w:val="22"/>
        </w:rPr>
        <w:t xml:space="preserve">Any publication, thesis, dissertation, conference paper, technical report, or other academic work that uses, extends, references, or is informed by this Software must cite: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8"/>
              <w:bottom w:val="none" w:color="FFFFFF" w:sz="0"/>
              <w:right w:val="single" w:color="1F5C99" w:sz="8"/>
            </w:tcBorders>
            <w:shd w:fill="1F5C99" w:val="clear"/>
            <w:tcMar>
              <w:top w:type="dxa" w:w="100"/>
              <w:left w:type="dxa" w:w="200"/>
              <w:bottom w:type="dxa" w:w="100"/>
              <w:right w:type="dxa" w:w="200"/>
            </w:tcMar>
          </w:tcPr>
          <w:p>
            <w:r>
              <w:rPr>
                <w:rFonts w:ascii="Arial" w:cs="Arial" w:eastAsia="Arial" w:hAnsi="Arial"/>
                <w:b/>
                <w:bCs/>
                <w:color w:val="FFFFFF"/>
                <w:sz w:val="22"/>
                <w:szCs w:val="22"/>
              </w:rPr>
              <w:t xml:space="preserve">Required Citation</w:t>
            </w:r>
          </w:p>
        </w:tc>
      </w:tr>
      <w:tr>
        <w:tc>
          <w:tcPr>
            <w:tcW w:type="dxa" w:w="9360"/>
            <w:tcBorders>
              <w:top w:val="none" w:color="FFFFFF" w:sz="0"/>
              <w:left w:val="single" w:color="1F5C99" w:sz="8"/>
              <w:bottom w:val="none" w:color="FFFFFF" w:sz="0"/>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Nzeadibe, C. (2026). "Physics-Informed Transformer Neural Network Control for</w:t>
            </w:r>
          </w:p>
        </w:tc>
      </w:tr>
      <w:tr>
        <w:tc>
          <w:tcPr>
            <w:tcW w:type="dxa" w:w="9360"/>
            <w:tcBorders>
              <w:top w:val="none" w:color="FFFFFF" w:sz="0"/>
              <w:left w:val="single" w:color="1F5C99" w:sz="8"/>
              <w:bottom w:val="none" w:color="FFFFFF" w:sz="0"/>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Real-Time Triple Phase Shift Optimal Modulation in Dual Active Bridge Converters."</w:t>
            </w:r>
          </w:p>
        </w:tc>
      </w:tr>
      <w:tr>
        <w:tc>
          <w:tcPr>
            <w:tcW w:type="dxa" w:w="9360"/>
            <w:tcBorders>
              <w:top w:val="none" w:color="FFFFFF" w:sz="0"/>
              <w:left w:val="single" w:color="1F5C99" w:sz="8"/>
              <w:bottom w:val="single" w:color="1F5C99" w:sz="8"/>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Mississippi State University.</w:t>
            </w:r>
          </w:p>
        </w:tc>
      </w:tr>
    </w:tbl>
    <w:p>
      <w:pPr>
        <w:spacing w:after="0" w:before="80"/>
      </w:pPr>
      <w:r>
        <w:t xml:space="preserve"/>
      </w:r>
    </w:p>
    <w:p>
      <w:pPr>
        <w:pStyle w:val="Heading2"/>
        <w:spacing w:after="120" w:before="280"/>
      </w:pPr>
      <w:r>
        <w:rPr>
          <w:rFonts w:ascii="Arial" w:cs="Arial" w:eastAsia="Arial" w:hAnsi="Arial"/>
          <w:b/>
          <w:bCs/>
          <w:color w:val="1A4A7A"/>
          <w:sz w:val="26"/>
          <w:szCs w:val="26"/>
        </w:rPr>
        <w:t xml:space="preserve">3.3  Modifications Must Be Disclosed</w:t>
      </w:r>
    </w:p>
    <w:p>
      <w:pPr>
        <w:spacing w:after="120" w:before="100"/>
        <w:jc w:val="left"/>
      </w:pPr>
      <w:r>
        <w:rPr>
          <w:rFonts w:ascii="Arial" w:cs="Arial" w:eastAsia="Arial" w:hAnsi="Arial"/>
          <w:color w:val="1A1A2E"/>
          <w:sz w:val="22"/>
          <w:szCs w:val="22"/>
        </w:rPr>
        <w:t xml:space="preserve">If you modify the Software and distribute or publish the modified version, you must:</w:t>
      </w:r>
    </w:p>
    <w:p>
      <w:pPr>
        <w:pStyle w:val="ListParagraph"/>
        <w:numPr>
          <w:ilvl w:val="0"/>
          <w:numId w:val="2"/>
        </w:numPr>
        <w:spacing w:after="60" w:before="60"/>
      </w:pPr>
      <w:r>
        <w:rPr>
          <w:rFonts w:ascii="Arial" w:cs="Arial" w:eastAsia="Arial" w:hAnsi="Arial"/>
          <w:color w:val="1A1A2E"/>
          <w:sz w:val="22"/>
          <w:szCs w:val="22"/>
        </w:rPr>
        <w:t xml:space="preserve">Clearly state that the Software has been modified and describe what was changed.</w:t>
      </w:r>
    </w:p>
    <w:p>
      <w:pPr>
        <w:pStyle w:val="ListParagraph"/>
        <w:numPr>
          <w:ilvl w:val="0"/>
          <w:numId w:val="2"/>
        </w:numPr>
        <w:spacing w:after="60" w:before="60"/>
      </w:pPr>
      <w:r>
        <w:rPr>
          <w:rFonts w:ascii="Arial" w:cs="Arial" w:eastAsia="Arial" w:hAnsi="Arial"/>
          <w:color w:val="1A1A2E"/>
          <w:sz w:val="22"/>
          <w:szCs w:val="22"/>
        </w:rPr>
        <w:t xml:space="preserve">Retain all original copyright and licence notices.</w:t>
      </w:r>
    </w:p>
    <w:p>
      <w:pPr>
        <w:pStyle w:val="ListParagraph"/>
        <w:numPr>
          <w:ilvl w:val="0"/>
          <w:numId w:val="2"/>
        </w:numPr>
        <w:spacing w:after="60" w:before="60"/>
      </w:pPr>
      <w:r>
        <w:rPr>
          <w:rFonts w:ascii="Arial" w:cs="Arial" w:eastAsia="Arial" w:hAnsi="Arial"/>
          <w:color w:val="1A1A2E"/>
          <w:sz w:val="22"/>
          <w:szCs w:val="22"/>
        </w:rPr>
        <w:t xml:space="preserve">Distribute the modified source code under these same licence terms.</w:t>
      </w:r>
    </w:p>
    <w:p>
      <w:pPr>
        <w:pStyle w:val="ListParagraph"/>
        <w:numPr>
          <w:ilvl w:val="0"/>
          <w:numId w:val="2"/>
        </w:numPr>
        <w:spacing w:after="60" w:before="60"/>
      </w:pPr>
      <w:r>
        <w:rPr>
          <w:rFonts w:ascii="Arial" w:cs="Arial" w:eastAsia="Arial" w:hAnsi="Arial"/>
          <w:color w:val="1A1A2E"/>
          <w:sz w:val="22"/>
          <w:szCs w:val="22"/>
        </w:rPr>
        <w:t xml:space="preserve">Not represent the Derivative Work as the original work of Chukwuemeka Nzeadibe.</w:t>
      </w:r>
    </w:p>
    <w:p>
      <w:pPr>
        <w:spacing w:after="0" w:before="80"/>
      </w:pPr>
      <w:r>
        <w:t xml:space="preserve"/>
      </w:r>
    </w:p>
    <w:p>
      <w:pPr>
        <w:pStyle w:val="Heading2"/>
        <w:spacing w:after="120" w:before="280"/>
      </w:pPr>
      <w:r>
        <w:rPr>
          <w:rFonts w:ascii="Arial" w:cs="Arial" w:eastAsia="Arial" w:hAnsi="Arial"/>
          <w:b/>
          <w:bCs/>
          <w:color w:val="1A4A7A"/>
          <w:sz w:val="26"/>
          <w:szCs w:val="26"/>
        </w:rPr>
        <w:t xml:space="preserve">3.4  No Commercial Use Without Permission</w:t>
      </w:r>
    </w:p>
    <w:p>
      <w:pPr>
        <w:spacing w:after="120" w:before="100"/>
        <w:jc w:val="left"/>
      </w:pPr>
      <w:r>
        <w:rPr>
          <w:rFonts w:ascii="Arial" w:cs="Arial" w:eastAsia="Arial" w:hAnsi="Arial"/>
          <w:color w:val="1A1A2E"/>
          <w:sz w:val="22"/>
          <w:szCs w:val="22"/>
        </w:rPr>
        <w:t xml:space="preserve">Non-Commercial users may not use the Software for Commercial Use without separate written authorisation from the Author. See Section 4.</w:t>
      </w:r>
    </w:p>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4. Commercial Use — Requires Written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none" w:color="FFFFFF" w:sz="0"/>
              <w:right w:val="single" w:color="922B21" w:sz="8"/>
            </w:tcBorders>
            <w:shd w:fill="922B21" w:val="clear"/>
            <w:tcMar>
              <w:top w:type="dxa" w:w="100"/>
              <w:left w:type="dxa" w:w="200"/>
              <w:bottom w:type="dxa" w:w="100"/>
              <w:right w:type="dxa" w:w="200"/>
            </w:tcMar>
          </w:tcPr>
          <w:p>
            <w:r>
              <w:rPr>
                <w:rFonts w:ascii="Arial" w:cs="Arial" w:eastAsia="Arial" w:hAnsi="Arial"/>
                <w:b/>
                <w:bCs/>
                <w:color w:val="FFFFFF"/>
                <w:sz w:val="22"/>
                <w:szCs w:val="22"/>
              </w:rPr>
              <w:t xml:space="preserve">Commercial Use is NOT Permitted Without Prior Written Authorisation</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Contact the Author through Mississippi State University to request a Commercial Licence.</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The Author reserves the right to grant or withhold commercial licences at their sole discretion.</w:t>
            </w:r>
          </w:p>
        </w:tc>
      </w:tr>
      <w:tr>
        <w:tc>
          <w:tcPr>
            <w:tcW w:type="dxa" w:w="9360"/>
            <w:tcBorders>
              <w:top w:val="none" w:color="FFFFFF" w:sz="0"/>
              <w:left w:val="single" w:color="922B21" w:sz="8"/>
              <w:bottom w:val="single" w:color="922B21" w:sz="8"/>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Commercial licence terms may include royalties, attribution requirements, and field-of-use restrictions.</w:t>
            </w:r>
          </w:p>
        </w:tc>
      </w:tr>
    </w:tbl>
    <w:p>
      <w:pPr>
        <w:spacing w:after="0" w:before="80"/>
      </w:pPr>
      <w:r>
        <w:t xml:space="preserve"/>
      </w:r>
    </w:p>
    <w:p>
      <w:pPr>
        <w:spacing w:after="120" w:before="100"/>
        <w:jc w:val="left"/>
      </w:pPr>
      <w:r>
        <w:rPr>
          <w:rFonts w:ascii="Arial" w:cs="Arial" w:eastAsia="Arial" w:hAnsi="Arial"/>
          <w:color w:val="1A1A2E"/>
          <w:sz w:val="22"/>
          <w:szCs w:val="22"/>
        </w:rPr>
        <w:t xml:space="preserve">Commercial Use requiring authorisation includes but is not limited to:</w:t>
      </w:r>
    </w:p>
    <w:p>
      <w:pPr>
        <w:pStyle w:val="ListParagraph"/>
        <w:numPr>
          <w:ilvl w:val="0"/>
          <w:numId w:val="2"/>
        </w:numPr>
        <w:spacing w:after="60" w:before="60"/>
      </w:pPr>
      <w:r>
        <w:rPr>
          <w:rFonts w:ascii="Arial" w:cs="Arial" w:eastAsia="Arial" w:hAnsi="Arial"/>
          <w:color w:val="1A1A2E"/>
          <w:sz w:val="22"/>
          <w:szCs w:val="22"/>
        </w:rPr>
        <w:t xml:space="preserve">Embedding the PITNN model or any part of the Software in a commercial product or industrial control system.</w:t>
      </w:r>
    </w:p>
    <w:p>
      <w:pPr>
        <w:pStyle w:val="ListParagraph"/>
        <w:numPr>
          <w:ilvl w:val="0"/>
          <w:numId w:val="2"/>
        </w:numPr>
        <w:spacing w:after="60" w:before="60"/>
      </w:pPr>
      <w:r>
        <w:rPr>
          <w:rFonts w:ascii="Arial" w:cs="Arial" w:eastAsia="Arial" w:hAnsi="Arial"/>
          <w:color w:val="1A1A2E"/>
          <w:sz w:val="22"/>
          <w:szCs w:val="22"/>
        </w:rPr>
        <w:t xml:space="preserve">Selling, licensing, or sublicensing the Software or any Derivative Work.</w:t>
      </w:r>
    </w:p>
    <w:p>
      <w:pPr>
        <w:pStyle w:val="ListParagraph"/>
        <w:numPr>
          <w:ilvl w:val="0"/>
          <w:numId w:val="2"/>
        </w:numPr>
        <w:spacing w:after="60" w:before="60"/>
      </w:pPr>
      <w:r>
        <w:rPr>
          <w:rFonts w:ascii="Arial" w:cs="Arial" w:eastAsia="Arial" w:hAnsi="Arial"/>
          <w:color w:val="1A1A2E"/>
          <w:sz w:val="22"/>
          <w:szCs w:val="22"/>
        </w:rPr>
        <w:t xml:space="preserve">Using the Software within a for-profit company’s internal operations or R&amp;D pipeline.</w:t>
      </w:r>
    </w:p>
    <w:p>
      <w:pPr>
        <w:pStyle w:val="ListParagraph"/>
        <w:numPr>
          <w:ilvl w:val="0"/>
          <w:numId w:val="2"/>
        </w:numPr>
        <w:spacing w:after="60" w:before="60"/>
      </w:pPr>
      <w:r>
        <w:rPr>
          <w:rFonts w:ascii="Arial" w:cs="Arial" w:eastAsia="Arial" w:hAnsi="Arial"/>
          <w:color w:val="1A1A2E"/>
          <w:sz w:val="22"/>
          <w:szCs w:val="22"/>
        </w:rPr>
        <w:t xml:space="preserve">Developing patents, trade secrets, or commercially-owned intellectual property based on the Software’s methods.</w:t>
      </w:r>
    </w:p>
    <w:p>
      <w:pPr>
        <w:pStyle w:val="ListParagraph"/>
        <w:numPr>
          <w:ilvl w:val="0"/>
          <w:numId w:val="2"/>
        </w:numPr>
        <w:spacing w:after="60" w:before="60"/>
      </w:pPr>
      <w:r>
        <w:rPr>
          <w:rFonts w:ascii="Arial" w:cs="Arial" w:eastAsia="Arial" w:hAnsi="Arial"/>
          <w:color w:val="1A1A2E"/>
          <w:sz w:val="22"/>
          <w:szCs w:val="22"/>
        </w:rPr>
        <w:t xml:space="preserve">Using the synthetic dataset generation pipeline to produce training data for competing commercial products.</w:t>
      </w:r>
    </w:p>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5. Academic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5" w:sz="8"/>
              <w:left w:val="single" w:color="1A5E35" w:sz="8"/>
              <w:bottom w:val="none" w:color="FFFFFF" w:sz="0"/>
              <w:right w:val="single" w:color="1A5E35" w:sz="8"/>
            </w:tcBorders>
            <w:shd w:fill="1A5E35" w:val="clear"/>
            <w:tcMar>
              <w:top w:type="dxa" w:w="100"/>
              <w:left w:type="dxa" w:w="200"/>
              <w:bottom w:type="dxa" w:w="100"/>
              <w:right w:type="dxa" w:w="200"/>
            </w:tcMar>
          </w:tcPr>
          <w:p>
            <w:r>
              <w:rPr>
                <w:rFonts w:ascii="Arial" w:cs="Arial" w:eastAsia="Arial" w:hAnsi="Arial"/>
                <w:b/>
                <w:bCs/>
                <w:color w:val="FFFFFF"/>
                <w:sz w:val="22"/>
                <w:szCs w:val="22"/>
              </w:rPr>
              <w:t xml:space="preserve">Universities and Non-Profit Research Institutions</w:t>
            </w:r>
          </w:p>
        </w:tc>
      </w:tr>
      <w:tr>
        <w:tc>
          <w:tcPr>
            <w:tcW w:type="dxa" w:w="9360"/>
            <w:tcBorders>
              <w:top w:val="none" w:color="FFFFFF" w:sz="0"/>
              <w:left w:val="single" w:color="1A5E35" w:sz="8"/>
              <w:bottom w:val="none" w:color="FFFFFF" w:sz="0"/>
              <w:right w:val="single" w:color="1A5E35" w:sz="8"/>
            </w:tcBorders>
            <w:shd w:fill="E9F7EF" w:val="clear"/>
            <w:tcMar>
              <w:top w:type="dxa" w:w="80"/>
              <w:left w:type="dxa" w:w="200"/>
              <w:bottom w:type="dxa" w:w="80"/>
              <w:right w:type="dxa" w:w="200"/>
            </w:tcMar>
          </w:tcPr>
          <w:p>
            <w:r>
              <w:rPr>
                <w:rFonts w:ascii="Arial" w:cs="Arial" w:eastAsia="Arial" w:hAnsi="Arial"/>
                <w:color w:val="1A1A2E"/>
                <w:sz w:val="22"/>
                <w:szCs w:val="22"/>
              </w:rPr>
              <w:t xml:space="preserve">May freely use the Software for teaching, student projects, and academic research.</w:t>
            </w:r>
          </w:p>
        </w:tc>
      </w:tr>
      <w:tr>
        <w:tc>
          <w:tcPr>
            <w:tcW w:type="dxa" w:w="9360"/>
            <w:tcBorders>
              <w:top w:val="none" w:color="FFFFFF" w:sz="0"/>
              <w:left w:val="single" w:color="1A5E35" w:sz="8"/>
              <w:bottom w:val="none" w:color="FFFFFF" w:sz="0"/>
              <w:right w:val="single" w:color="1A5E35" w:sz="8"/>
            </w:tcBorders>
            <w:shd w:fill="E9F7EF" w:val="clear"/>
            <w:tcMar>
              <w:top w:type="dxa" w:w="80"/>
              <w:left w:type="dxa" w:w="200"/>
              <w:bottom w:type="dxa" w:w="80"/>
              <w:right w:type="dxa" w:w="200"/>
            </w:tcMar>
          </w:tcPr>
          <w:p>
            <w:r>
              <w:rPr>
                <w:rFonts w:ascii="Arial" w:cs="Arial" w:eastAsia="Arial" w:hAnsi="Arial"/>
                <w:color w:val="1A1A2E"/>
                <w:sz w:val="22"/>
                <w:szCs w:val="22"/>
              </w:rPr>
              <w:t xml:space="preserve">Paper citation (Section 3.2) is required in all resulting publications.</w:t>
            </w:r>
          </w:p>
        </w:tc>
      </w:tr>
      <w:tr>
        <w:tc>
          <w:tcPr>
            <w:tcW w:type="dxa" w:w="9360"/>
            <w:tcBorders>
              <w:top w:val="none" w:color="FFFFFF" w:sz="0"/>
              <w:left w:val="single" w:color="1A5E35" w:sz="8"/>
              <w:bottom w:val="none" w:color="FFFFFF" w:sz="0"/>
              <w:right w:val="single" w:color="1A5E35" w:sz="8"/>
            </w:tcBorders>
            <w:shd w:fill="E9F7EF" w:val="clear"/>
            <w:tcMar>
              <w:top w:type="dxa" w:w="80"/>
              <w:left w:type="dxa" w:w="200"/>
              <w:bottom w:type="dxa" w:w="80"/>
              <w:right w:type="dxa" w:w="200"/>
            </w:tcMar>
          </w:tcPr>
          <w:p>
            <w:r>
              <w:rPr>
                <w:rFonts w:ascii="Arial" w:cs="Arial" w:eastAsia="Arial" w:hAnsi="Arial"/>
                <w:color w:val="1A1A2E"/>
                <w:sz w:val="22"/>
                <w:szCs w:val="22"/>
              </w:rPr>
              <w:t xml:space="preserve">Sponsored research where a commercial entity owns the results requires a Commercial Licence.</w:t>
            </w:r>
          </w:p>
        </w:tc>
      </w:tr>
      <w:tr>
        <w:tc>
          <w:tcPr>
            <w:tcW w:type="dxa" w:w="9360"/>
            <w:tcBorders>
              <w:top w:val="none" w:color="FFFFFF" w:sz="0"/>
              <w:left w:val="single" w:color="1A5E35" w:sz="8"/>
              <w:bottom w:val="single" w:color="1A5E35" w:sz="8"/>
              <w:right w:val="single" w:color="1A5E35" w:sz="8"/>
            </w:tcBorders>
            <w:shd w:fill="E9F7EF" w:val="clear"/>
            <w:tcMar>
              <w:top w:type="dxa" w:w="80"/>
              <w:left w:type="dxa" w:w="200"/>
              <w:bottom w:type="dxa" w:w="80"/>
              <w:right w:type="dxa" w:w="200"/>
            </w:tcMar>
          </w:tcPr>
          <w:p>
            <w:r>
              <w:rPr>
                <w:rFonts w:ascii="Arial" w:cs="Arial" w:eastAsia="Arial" w:hAnsi="Arial"/>
                <w:color w:val="1A1A2E"/>
                <w:sz w:val="22"/>
                <w:szCs w:val="22"/>
              </w:rPr>
              <w:t xml:space="preserve">Redistribution to collaborators outside the institution must include this licence in full.</w:t>
            </w:r>
          </w:p>
        </w:tc>
      </w:tr>
    </w:tbl>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6. Restrictions — All Users</w:t>
      </w:r>
    </w:p>
    <w:p>
      <w:pPr>
        <w:spacing w:after="120" w:before="100"/>
        <w:jc w:val="left"/>
      </w:pPr>
      <w:r>
        <w:rPr>
          <w:rFonts w:ascii="Arial" w:cs="Arial" w:eastAsia="Arial" w:hAnsi="Arial"/>
          <w:color w:val="1A1A2E"/>
          <w:sz w:val="22"/>
          <w:szCs w:val="22"/>
        </w:rPr>
        <w:t xml:space="preserve">Regardless of the type of licence under which you use the Software, the following are strictly prohibited:</w:t>
      </w:r>
    </w:p>
    <w:p>
      <w:pPr>
        <w:spacing w:after="0" w:before="80"/>
      </w:pPr>
      <w:r>
        <w:t xml:space="preserve"/>
      </w:r>
    </w:p>
    <w:p>
      <w:pPr>
        <w:pStyle w:val="ListParagraph"/>
        <w:numPr>
          <w:ilvl w:val="0"/>
          <w:numId w:val="2"/>
        </w:numPr>
        <w:spacing w:after="60" w:before="60"/>
      </w:pPr>
      <w:r>
        <w:rPr>
          <w:rFonts w:ascii="Arial" w:cs="Arial" w:eastAsia="Arial" w:hAnsi="Arial"/>
          <w:b/>
          <w:bCs/>
          <w:color w:val="922B21"/>
          <w:sz w:val="22"/>
          <w:szCs w:val="22"/>
        </w:rPr>
        <w:t xml:space="preserve">Removing attribution.</w:t>
      </w:r>
      <w:r>
        <w:rPr>
          <w:rFonts w:ascii="Arial" w:cs="Arial" w:eastAsia="Arial" w:hAnsi="Arial"/>
          <w:color w:val="1A1A2E"/>
          <w:sz w:val="22"/>
          <w:szCs w:val="22"/>
        </w:rPr>
        <w:t xml:space="preserve">  You may not remove or alter copyright notices, attribution statements, or this licence from any copy of the Software.</w:t>
      </w:r>
    </w:p>
    <w:p>
      <w:pPr>
        <w:pStyle w:val="ListParagraph"/>
        <w:numPr>
          <w:ilvl w:val="0"/>
          <w:numId w:val="2"/>
        </w:numPr>
        <w:spacing w:after="60" w:before="60"/>
      </w:pPr>
      <w:r>
        <w:rPr>
          <w:rFonts w:ascii="Arial" w:cs="Arial" w:eastAsia="Arial" w:hAnsi="Arial"/>
          <w:b/>
          <w:bCs/>
          <w:color w:val="922B21"/>
          <w:sz w:val="22"/>
          <w:szCs w:val="22"/>
        </w:rPr>
        <w:t xml:space="preserve">False endorsement.</w:t>
      </w:r>
      <w:r>
        <w:rPr>
          <w:rFonts w:ascii="Arial" w:cs="Arial" w:eastAsia="Arial" w:hAnsi="Arial"/>
          <w:color w:val="1A1A2E"/>
          <w:sz w:val="22"/>
          <w:szCs w:val="22"/>
        </w:rPr>
        <w:t xml:space="preserve">  You may not use the Author’s name or “Mississippi State University” to endorse or promote products derived from this Software without prior written permission.</w:t>
      </w:r>
    </w:p>
    <w:p>
      <w:pPr>
        <w:pStyle w:val="ListParagraph"/>
        <w:numPr>
          <w:ilvl w:val="0"/>
          <w:numId w:val="2"/>
        </w:numPr>
        <w:spacing w:after="60" w:before="60"/>
      </w:pPr>
      <w:r>
        <w:rPr>
          <w:rFonts w:ascii="Arial" w:cs="Arial" w:eastAsia="Arial" w:hAnsi="Arial"/>
          <w:b/>
          <w:bCs/>
          <w:color w:val="922B21"/>
          <w:sz w:val="22"/>
          <w:szCs w:val="22"/>
        </w:rPr>
        <w:t xml:space="preserve">Claiming ownership.</w:t>
      </w:r>
      <w:r>
        <w:rPr>
          <w:rFonts w:ascii="Arial" w:cs="Arial" w:eastAsia="Arial" w:hAnsi="Arial"/>
          <w:color w:val="1A1A2E"/>
          <w:sz w:val="22"/>
          <w:szCs w:val="22"/>
        </w:rPr>
        <w:t xml:space="preserve">  You may not claim ownership of the Software or its underlying methods, including the PITNN architecture, the TPS label solver, or the video waveform ingestion pipeline.</w:t>
      </w:r>
    </w:p>
    <w:p>
      <w:pPr>
        <w:pStyle w:val="ListParagraph"/>
        <w:numPr>
          <w:ilvl w:val="0"/>
          <w:numId w:val="2"/>
        </w:numPr>
        <w:spacing w:after="60" w:before="60"/>
      </w:pPr>
      <w:r>
        <w:rPr>
          <w:rFonts w:ascii="Arial" w:cs="Arial" w:eastAsia="Arial" w:hAnsi="Arial"/>
          <w:b/>
          <w:bCs/>
          <w:color w:val="922B21"/>
          <w:sz w:val="22"/>
          <w:szCs w:val="22"/>
        </w:rPr>
        <w:t xml:space="preserve">Safety-critical deployment.</w:t>
      </w:r>
      <w:r>
        <w:rPr>
          <w:rFonts w:ascii="Arial" w:cs="Arial" w:eastAsia="Arial" w:hAnsi="Arial"/>
          <w:color w:val="1A1A2E"/>
          <w:sz w:val="22"/>
          <w:szCs w:val="22"/>
        </w:rPr>
        <w:t xml:space="preserve">  You may not use the Software in medical devices, nuclear systems, aviation, or autonomous weapons without independent validation and written authorisation from the Author.</w:t>
      </w:r>
    </w:p>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7. Intellectual Property</w:t>
      </w:r>
    </w:p>
    <w:p>
      <w:pPr>
        <w:spacing w:after="120" w:before="100"/>
        <w:jc w:val="left"/>
      </w:pPr>
      <w:r>
        <w:rPr>
          <w:rFonts w:ascii="Arial" w:cs="Arial" w:eastAsia="Arial" w:hAnsi="Arial"/>
          <w:color w:val="1A1A2E"/>
          <w:sz w:val="22"/>
          <w:szCs w:val="22"/>
        </w:rPr>
        <w:t xml:space="preserve">The Author retains all intellectual property rights in the Software, including rights to the following novel contributions:</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The fixed-phi12 TPS modulation strategy creating a monotone Pref-to-phi3 mapping (r = 0.994) that enables reliable Transformer learning.</w:t>
      </w:r>
    </w:p>
    <w:p>
      <w:pPr>
        <w:pStyle w:val="ListParagraph"/>
        <w:numPr>
          <w:ilvl w:val="0"/>
          <w:numId w:val="2"/>
        </w:numPr>
        <w:spacing w:after="60" w:before="60"/>
      </w:pPr>
      <w:r>
        <w:rPr>
          <w:rFonts w:ascii="Arial" w:cs="Arial" w:eastAsia="Arial" w:hAnsi="Arial"/>
          <w:color w:val="1A1A2E"/>
          <w:sz w:val="22"/>
          <w:szCs w:val="22"/>
        </w:rPr>
        <w:t xml:space="preserve">The calibrated power model P = K·(φ12/π)·φ3·(1−φ3/B) fitted from numerical simulation for high-power DAB converters.</w:t>
      </w:r>
    </w:p>
    <w:p>
      <w:pPr>
        <w:pStyle w:val="ListParagraph"/>
        <w:numPr>
          <w:ilvl w:val="0"/>
          <w:numId w:val="2"/>
        </w:numPr>
        <w:spacing w:after="60" w:before="60"/>
      </w:pPr>
      <w:r>
        <w:rPr>
          <w:rFonts w:ascii="Arial" w:cs="Arial" w:eastAsia="Arial" w:hAnsi="Arial"/>
          <w:color w:val="1A1A2E"/>
          <w:sz w:val="22"/>
          <w:szCs w:val="22"/>
        </w:rPr>
        <w:t xml:space="preserve">The VideoWaveformExtractor pipeline for extracting TPS modulation parameters from oscilloscope and simulation screen-recording videos without code modification.</w:t>
      </w:r>
    </w:p>
    <w:p>
      <w:pPr>
        <w:pStyle w:val="ListParagraph"/>
        <w:numPr>
          <w:ilvl w:val="0"/>
          <w:numId w:val="2"/>
        </w:numPr>
        <w:spacing w:after="60" w:before="60"/>
      </w:pPr>
      <w:r>
        <w:rPr>
          <w:rFonts w:ascii="Arial" w:cs="Arial" w:eastAsia="Arial" w:hAnsi="Arial"/>
          <w:color w:val="1A1A2E"/>
          <w:sz w:val="22"/>
          <w:szCs w:val="22"/>
        </w:rPr>
        <w:t xml:space="preserve">The combined synthetic-plus-video training architecture that merges simulation-generated labels with real hardware measurements.</w:t>
      </w:r>
    </w:p>
    <w:p>
      <w:pPr>
        <w:pStyle w:val="ListParagraph"/>
        <w:numPr>
          <w:ilvl w:val="0"/>
          <w:numId w:val="2"/>
        </w:numPr>
        <w:spacing w:after="60" w:before="60"/>
      </w:pPr>
      <w:r>
        <w:rPr>
          <w:rFonts w:ascii="Arial" w:cs="Arial" w:eastAsia="Arial" w:hAnsi="Arial"/>
          <w:color w:val="1A1A2E"/>
          <w:sz w:val="22"/>
          <w:szCs w:val="22"/>
        </w:rPr>
        <w:t xml:space="preserve">The four-mode embedded deployment controller separating training from inference with hardware loop, closed-loop simulation, and model export capabilities.</w:t>
      </w:r>
    </w:p>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8. Disclaimer of Warranties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none" w:color="FFFFFF" w:sz="0"/>
              <w:right w:val="single" w:color="922B21" w:sz="8"/>
            </w:tcBorders>
            <w:shd w:fill="922B21" w:val="clear"/>
            <w:tcMar>
              <w:top w:type="dxa" w:w="100"/>
              <w:left w:type="dxa" w:w="200"/>
              <w:bottom w:type="dxa" w:w="100"/>
              <w:right w:type="dxa" w:w="200"/>
            </w:tcMar>
          </w:tcPr>
          <w:p>
            <w:r>
              <w:rPr>
                <w:rFonts w:ascii="Arial" w:cs="Arial" w:eastAsia="Arial" w:hAnsi="Arial"/>
                <w:b/>
                <w:bCs/>
                <w:color w:val="FFFFFF"/>
                <w:sz w:val="22"/>
                <w:szCs w:val="22"/>
              </w:rPr>
              <w:t xml:space="preserve">No Warranty</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THE SOFTWARE IS PROVIDED "AS IS", WITHOUT WARRANTY OF ANY KIND, EXPRESS OR IMPLIED,</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INCLUDING BUT NOT LIMITED TO THE WARRANTIES OF MERCHANTABILITY, FITNESS FOR A PARTICULAR</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PURPOSE, ACCURACY OF RESULTS, AND NON-INFRINGEMENT.</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THE AUTHOR MAKES NO WARRANTY THAT THE PHASE SHIFT PREDICTIONS WILL BE ACCURATE FOR</w:t>
            </w:r>
          </w:p>
        </w:tc>
      </w:tr>
      <w:tr>
        <w:tc>
          <w:tcPr>
            <w:tcW w:type="dxa" w:w="9360"/>
            <w:tcBorders>
              <w:top w:val="none" w:color="FFFFFF" w:sz="0"/>
              <w:left w:val="single" w:color="922B21" w:sz="8"/>
              <w:bottom w:val="single" w:color="922B21" w:sz="8"/>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YOUR SPECIFIC CONVERTER HARDWARE, OR THAT THE SOFTWARE WILL OPERATE WITHOUT ERROR.</w:t>
            </w:r>
          </w:p>
        </w:tc>
      </w:tr>
    </w:tbl>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9. Limitation of Liability</w:t>
      </w:r>
    </w:p>
    <w:p>
      <w:pPr>
        <w:spacing w:after="120" w:before="100"/>
        <w:jc w:val="left"/>
      </w:pPr>
      <w:r>
        <w:rPr>
          <w:rFonts w:ascii="Arial" w:cs="Arial" w:eastAsia="Arial" w:hAnsi="Arial"/>
          <w:color w:val="1A1A2E"/>
          <w:sz w:val="22"/>
          <w:szCs w:val="22"/>
        </w:rPr>
        <w:t xml:space="preserve">In no event shall the Author or Mississippi State University be liable for any direct, indirect, incidental, special, exemplary, or consequential damages, including but not limited to hardware damage, personal injury, business interruption, or loss of profit, arising from use of this Software, even if advised of the possibility of such damage.</w:t>
      </w:r>
    </w:p>
    <w:p>
      <w:pPr>
        <w:spacing w:after="0" w:before="80"/>
      </w:pPr>
      <w:r>
        <w:t xml:space="preserve"/>
      </w:r>
    </w:p>
    <w:p>
      <w:pPr>
        <w:spacing w:after="120" w:before="100"/>
        <w:jc w:val="left"/>
      </w:pPr>
      <w:r>
        <w:rPr>
          <w:rFonts w:ascii="Arial" w:cs="Arial" w:eastAsia="Arial" w:hAnsi="Arial"/>
          <w:color w:val="1A1A2E"/>
          <w:sz w:val="22"/>
          <w:szCs w:val="22"/>
        </w:rPr>
        <w:t xml:space="preserve">This limitation applies to all uses including research, commercial, and deployment on physical hardware prototypes.</w:t>
      </w:r>
    </w:p>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10. Safety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none" w:color="FFFFFF" w:sz="0"/>
              <w:right w:val="single" w:color="922B21" w:sz="8"/>
            </w:tcBorders>
            <w:shd w:fill="922B21" w:val="clear"/>
            <w:tcMar>
              <w:top w:type="dxa" w:w="100"/>
              <w:left w:type="dxa" w:w="200"/>
              <w:bottom w:type="dxa" w:w="100"/>
              <w:right w:type="dxa" w:w="200"/>
            </w:tcMar>
          </w:tcPr>
          <w:p>
            <w:r>
              <w:rPr>
                <w:rFonts w:ascii="Arial" w:cs="Arial" w:eastAsia="Arial" w:hAnsi="Arial"/>
                <w:b/>
                <w:bCs/>
                <w:color w:val="FFFFFF"/>
                <w:sz w:val="22"/>
                <w:szCs w:val="22"/>
              </w:rPr>
              <w:t xml:space="preserve">HIGH VOLTAGE — READ BEFORE DEPLOYING ON HARDWARE</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This Software controls converters operating at up to 800V and 200A.</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Improper use can cause electric shock, fire, equipment damage, or death.</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Users are solely responsible for:</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  •  Independent validation of all model outputs before hardware deployment.</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  •  Hardware over-voltage, over-current, and short-circuit protection independent of this Software.</w:t>
            </w:r>
          </w:p>
        </w:tc>
      </w:tr>
      <w:tr>
        <w:tc>
          <w:tcPr>
            <w:tcW w:type="dxa" w:w="9360"/>
            <w:tcBorders>
              <w:top w:val="none" w:color="FFFFFF" w:sz="0"/>
              <w:left w:val="single" w:color="922B21" w:sz="8"/>
              <w:bottom w:val="none" w:color="FFFFFF" w:sz="0"/>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  •  Compliance with all applicable electrical safety standards in their jurisdiction.</w:t>
            </w:r>
          </w:p>
        </w:tc>
      </w:tr>
      <w:tr>
        <w:tc>
          <w:tcPr>
            <w:tcW w:type="dxa" w:w="9360"/>
            <w:tcBorders>
              <w:top w:val="none" w:color="FFFFFF" w:sz="0"/>
              <w:left w:val="single" w:color="922B21" w:sz="8"/>
              <w:bottom w:val="single" w:color="922B21" w:sz="8"/>
              <w:right w:val="single" w:color="922B21" w:sz="8"/>
            </w:tcBorders>
            <w:shd w:fill="FDEDEC" w:val="clear"/>
            <w:tcMar>
              <w:top w:type="dxa" w:w="80"/>
              <w:left w:type="dxa" w:w="200"/>
              <w:bottom w:type="dxa" w:w="80"/>
              <w:right w:type="dxa" w:w="200"/>
            </w:tcMar>
          </w:tcPr>
          <w:p>
            <w:r>
              <w:rPr>
                <w:rFonts w:ascii="Arial" w:cs="Arial" w:eastAsia="Arial" w:hAnsi="Arial"/>
                <w:color w:val="1A1A2E"/>
                <w:sz w:val="22"/>
                <w:szCs w:val="22"/>
              </w:rPr>
              <w:t xml:space="preserve">  •  Review by a qualified electrical engineer before any physical prototype is energised.</w:t>
            </w:r>
          </w:p>
        </w:tc>
      </w:tr>
    </w:tbl>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11. Governing Law</w:t>
      </w:r>
    </w:p>
    <w:p>
      <w:pPr>
        <w:spacing w:after="120" w:before="100"/>
        <w:jc w:val="left"/>
      </w:pPr>
      <w:r>
        <w:rPr>
          <w:rFonts w:ascii="Arial" w:cs="Arial" w:eastAsia="Arial" w:hAnsi="Arial"/>
          <w:color w:val="1A1A2E"/>
          <w:sz w:val="22"/>
          <w:szCs w:val="22"/>
        </w:rPr>
        <w:t xml:space="preserve">This licence is governed by and construed in accordance with the laws of the State of Mississippi, United States of America, without regard to its conflict of law provisions. Any dispute arising from this licence shall be subject to the exclusive jurisdiction of the courts of Mississippi.</w:t>
      </w:r>
    </w:p>
    <w:p>
      <w:pPr>
        <w:spacing w:after="0" w:before="160"/>
      </w:pPr>
      <w:r>
        <w:t xml:space="preserve"/>
      </w:r>
    </w:p>
    <w:p>
      <w:pPr>
        <w:pStyle w:val="Heading1"/>
        <w:pBdr>
          <w:bottom w:val="single" w:color="1F5C99" w:sz="8" w:space="6"/>
        </w:pBdr>
        <w:spacing w:after="160" w:before="400"/>
      </w:pPr>
      <w:r>
        <w:rPr>
          <w:rFonts w:ascii="Arial" w:cs="Arial" w:eastAsia="Arial" w:hAnsi="Arial"/>
          <w:b/>
          <w:bCs/>
          <w:color w:val="0D2B4E"/>
          <w:sz w:val="32"/>
          <w:szCs w:val="32"/>
        </w:rPr>
        <w:t xml:space="preserve">12. Contact</w:t>
      </w:r>
    </w:p>
    <w:p>
      <w:pPr>
        <w:spacing w:after="120" w:before="100"/>
        <w:jc w:val="left"/>
      </w:pPr>
      <w:r>
        <w:rPr>
          <w:rFonts w:ascii="Arial" w:cs="Arial" w:eastAsia="Arial" w:hAnsi="Arial"/>
          <w:color w:val="1A1A2E"/>
          <w:sz w:val="22"/>
          <w:szCs w:val="22"/>
        </w:rPr>
        <w:t xml:space="preserve">For licensing enquiries, collaboration requests, commercial use authorisation, or to report licence violations: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8"/>
              <w:bottom w:val="none" w:color="FFFFFF" w:sz="0"/>
              <w:right w:val="single" w:color="1F5C99" w:sz="8"/>
            </w:tcBorders>
            <w:shd w:fill="1F5C99" w:val="clear"/>
            <w:tcMar>
              <w:top w:type="dxa" w:w="100"/>
              <w:left w:type="dxa" w:w="200"/>
              <w:bottom w:type="dxa" w:w="100"/>
              <w:right w:type="dxa" w:w="200"/>
            </w:tcMar>
          </w:tcPr>
          <w:p>
            <w:r>
              <w:rPr>
                <w:rFonts w:ascii="Arial" w:cs="Arial" w:eastAsia="Arial" w:hAnsi="Arial"/>
                <w:b/>
                <w:bCs/>
                <w:color w:val="FFFFFF"/>
                <w:sz w:val="22"/>
                <w:szCs w:val="22"/>
              </w:rPr>
              <w:t xml:space="preserve">Author Contact</w:t>
            </w:r>
          </w:p>
        </w:tc>
      </w:tr>
      <w:tr>
        <w:tc>
          <w:tcPr>
            <w:tcW w:type="dxa" w:w="9360"/>
            <w:tcBorders>
              <w:top w:val="none" w:color="FFFFFF" w:sz="0"/>
              <w:left w:val="single" w:color="1F5C99" w:sz="8"/>
              <w:bottom w:val="none" w:color="FFFFFF" w:sz="0"/>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Chukwuemeka Nzeadibe</w:t>
            </w:r>
          </w:p>
        </w:tc>
      </w:tr>
      <w:tr>
        <w:tc>
          <w:tcPr>
            <w:tcW w:type="dxa" w:w="9360"/>
            <w:tcBorders>
              <w:top w:val="none" w:color="FFFFFF" w:sz="0"/>
              <w:left w:val="single" w:color="1F5C99" w:sz="8"/>
              <w:bottom w:val="none" w:color="FFFFFF" w:sz="0"/>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Department of Electrical &amp; Computer Engineering</w:t>
            </w:r>
          </w:p>
        </w:tc>
      </w:tr>
      <w:tr>
        <w:tc>
          <w:tcPr>
            <w:tcW w:type="dxa" w:w="9360"/>
            <w:tcBorders>
              <w:top w:val="none" w:color="FFFFFF" w:sz="0"/>
              <w:left w:val="single" w:color="1F5C99" w:sz="8"/>
              <w:bottom w:val="none" w:color="FFFFFF" w:sz="0"/>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Mississippi State University</w:t>
            </w:r>
          </w:p>
        </w:tc>
      </w:tr>
      <w:tr>
        <w:tc>
          <w:tcPr>
            <w:tcW w:type="dxa" w:w="9360"/>
            <w:tcBorders>
              <w:top w:val="none" w:color="FFFFFF" w:sz="0"/>
              <w:left w:val="single" w:color="1F5C99" w:sz="8"/>
              <w:bottom w:val="none" w:color="FFFFFF" w:sz="0"/>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Mississippi State, MS 39762, USA</w:t>
            </w:r>
          </w:p>
        </w:tc>
      </w:tr>
      <w:tr>
        <w:tc>
          <w:tcPr>
            <w:tcW w:type="dxa" w:w="9360"/>
            <w:tcBorders>
              <w:top w:val="none" w:color="FFFFFF" w:sz="0"/>
              <w:left w:val="single" w:color="1F5C99" w:sz="8"/>
              <w:bottom w:val="none" w:color="FFFFFF" w:sz="0"/>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
            </w:r>
          </w:p>
        </w:tc>
      </w:tr>
      <w:tr>
        <w:tc>
          <w:tcPr>
            <w:tcW w:type="dxa" w:w="9360"/>
            <w:tcBorders>
              <w:top w:val="none" w:color="FFFFFF" w:sz="0"/>
              <w:left w:val="single" w:color="1F5C99" w:sz="8"/>
              <w:bottom w:val="single" w:color="1F5C99" w:sz="8"/>
              <w:right w:val="single" w:color="1F5C99" w:sz="8"/>
            </w:tcBorders>
            <w:shd w:fill="EBF4FB" w:val="clear"/>
            <w:tcMar>
              <w:top w:type="dxa" w:w="80"/>
              <w:left w:type="dxa" w:w="200"/>
              <w:bottom w:type="dxa" w:w="80"/>
              <w:right w:type="dxa" w:w="200"/>
            </w:tcMar>
          </w:tcPr>
          <w:p>
            <w:r>
              <w:rPr>
                <w:rFonts w:ascii="Arial" w:cs="Arial" w:eastAsia="Arial" w:hAnsi="Arial"/>
                <w:color w:val="1A1A2E"/>
                <w:sz w:val="22"/>
                <w:szCs w:val="22"/>
              </w:rPr>
              <w:t xml:space="preserve">For commercial licensing: contact through Mississippi State University.</w:t>
            </w:r>
          </w:p>
        </w:tc>
      </w:tr>
    </w:tbl>
    <w:p>
      <w:r>
        <w:br w:type="page"/>
      </w:r>
    </w:p>
    <w:p>
      <w:pPr>
        <w:spacing w:after="200" w:before="2000"/>
      </w:pPr>
      <w:r>
        <w:t xml:space="preserve"/>
      </w:r>
    </w:p>
    <w:p>
      <w:pPr>
        <w:spacing w:after="120" w:before="0"/>
        <w:jc w:val="center"/>
      </w:pPr>
      <w:r>
        <w:rPr>
          <w:rFonts w:ascii="Arial" w:cs="Arial" w:eastAsia="Arial" w:hAnsi="Arial"/>
          <w:b/>
          <w:bCs/>
          <w:color w:val="0D2B4E"/>
          <w:sz w:val="36"/>
          <w:szCs w:val="36"/>
        </w:rPr>
        <w:t xml:space="preserve">PITNN DAB Converter</w:t>
      </w:r>
    </w:p>
    <w:p>
      <w:pPr>
        <w:spacing w:after="80" w:before="0"/>
        <w:jc w:val="center"/>
      </w:pPr>
      <w:r>
        <w:rPr>
          <w:rFonts w:ascii="Arial" w:cs="Arial" w:eastAsia="Arial" w:hAnsi="Arial"/>
          <w:color w:val="5D6D7E"/>
          <w:sz w:val="24"/>
          <w:szCs w:val="24"/>
        </w:rPr>
        <w:t xml:space="preserve">Software Licence Agreement</w:t>
      </w:r>
    </w:p>
    <w:p>
      <w:pPr>
        <w:spacing w:after="80" w:before="0"/>
        <w:jc w:val="center"/>
      </w:pPr>
      <w:r>
        <w:rPr>
          <w:rFonts w:ascii="Arial" w:cs="Arial" w:eastAsia="Arial" w:hAnsi="Arial"/>
          <w:color w:val="5D6D7E"/>
          <w:sz w:val="22"/>
          <w:szCs w:val="22"/>
        </w:rPr>
        <w:t xml:space="preserve">Copyright © 2026 Chukwuemeka Nzeadibe</w:t>
      </w:r>
    </w:p>
    <w:p>
      <w:pPr>
        <w:spacing w:after="80" w:before="0"/>
        <w:jc w:val="center"/>
      </w:pPr>
      <w:r>
        <w:rPr>
          <w:rFonts w:ascii="Arial" w:cs="Arial" w:eastAsia="Arial" w:hAnsi="Arial"/>
          <w:color w:val="5D6D7E"/>
          <w:sz w:val="22"/>
          <w:szCs w:val="22"/>
        </w:rPr>
        <w:t xml:space="preserve">Mississippi State University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spacing w:after="0" w:before="160"/>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r>
      <w:rPr>
        <w:rFonts w:ascii="Arial" w:cs="Arial" w:eastAsia="Arial" w:hAnsi="Arial"/>
        <w:color w:val="5D6D7E"/>
        <w:sz w:val="18"/>
        <w:szCs w:val="18"/>
      </w:rPr>
      <w:t xml:space="preserve">   |   Mississippi State University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160" w:before="0"/>
      <w:jc w:val="right"/>
    </w:pPr>
    <w:r>
      <w:rPr>
        <w:rFonts w:ascii="Arial" w:cs="Arial" w:eastAsia="Arial" w:hAnsi="Arial"/>
        <w:color w:val="5D6D7E"/>
        <w:sz w:val="18"/>
        <w:szCs w:val="18"/>
      </w:rPr>
      <w:t xml:space="preserve">PITNN DAB Converter — Software Licence Agreement  © 2026 Chukwuemeka Nzeadibe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B4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2026-04-07T02:16:57.277Z</dcterms:created>
  <dcterms:modified xsi:type="dcterms:W3CDTF">2026-04-07T02:16:57.278Z</dcterms:modified>
</cp:coreProperties>
</file>

<file path=docProps/custom.xml><?xml version="1.0" encoding="utf-8"?>
<Properties xmlns="http://schemas.openxmlformats.org/officeDocument/2006/custom-properties" xmlns:vt="http://schemas.openxmlformats.org/officeDocument/2006/docPropsVTypes"/>
</file>