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Soil</w:t>
      </w:r>
      <w:r>
        <w:t xml:space="preserve"> </w:t>
      </w:r>
      <w:r>
        <w:t xml:space="preserve">organic</w:t>
      </w:r>
      <w:r>
        <w:t xml:space="preserve"> </w:t>
      </w:r>
      <w:r>
        <w:t xml:space="preserve">matter</w:t>
      </w:r>
      <w:r>
        <w:t xml:space="preserve"> </w:t>
      </w:r>
      <w:r>
        <w:t xml:space="preserve">persistence</w:t>
      </w:r>
      <w:r>
        <w:t xml:space="preserve"> </w:t>
      </w:r>
      <w:r>
        <w:t xml:space="preserve">as</w:t>
      </w:r>
      <w:r>
        <w:t xml:space="preserve"> </w:t>
      </w:r>
      <w:r>
        <w:t xml:space="preserve">a</w:t>
      </w:r>
      <w:r>
        <w:t xml:space="preserve"> </w:t>
      </w:r>
      <w:r>
        <w:t xml:space="preserve">stochastic</w:t>
      </w:r>
      <w:r>
        <w:t xml:space="preserve"> </w:t>
      </w:r>
      <w:r>
        <w:t xml:space="preserve">process:</w:t>
      </w:r>
      <w:r>
        <w:t xml:space="preserve"> </w:t>
      </w:r>
      <w:r>
        <w:t xml:space="preserve">age</w:t>
      </w:r>
      <w:r>
        <w:t xml:space="preserve"> </w:t>
      </w:r>
      <w:r>
        <w:t xml:space="preserve">and</w:t>
      </w:r>
      <w:r>
        <w:t xml:space="preserve"> </w:t>
      </w:r>
      <w:r>
        <w:t xml:space="preserve">transit</w:t>
      </w:r>
      <w:r>
        <w:t xml:space="preserve"> </w:t>
      </w:r>
      <w:r>
        <w:t xml:space="preserve">time</w:t>
      </w:r>
      <w:r>
        <w:t xml:space="preserve"> </w:t>
      </w:r>
      <w:r>
        <w:t xml:space="preserve">distributions</w:t>
      </w:r>
      <w:r>
        <w:t xml:space="preserve"> </w:t>
      </w:r>
      <w:r>
        <w:t xml:space="preserve">of</w:t>
      </w:r>
      <w:r>
        <w:t xml:space="preserve"> </w:t>
      </w:r>
      <w:r>
        <w:t xml:space="preserve">carbon</w:t>
      </w:r>
      <w:r>
        <w:t xml:space="preserve"> </w:t>
      </w:r>
      <w:r>
        <w:t xml:space="preserve">in</w:t>
      </w:r>
      <w:r>
        <w:t xml:space="preserve"> </w:t>
      </w:r>
      <w:r>
        <w:t xml:space="preserve">soils</w:t>
      </w:r>
    </w:p>
    <w:p>
      <w:pPr>
        <w:pStyle w:val="Abstract"/>
      </w:pPr>
      <w:r>
        <w:t xml:space="preserve">The</w:t>
      </w:r>
      <w:r>
        <w:t xml:space="preserve"> </w:t>
      </w:r>
      <w:r>
        <w:t xml:space="preserve">question</w:t>
      </w:r>
      <w:r>
        <w:t xml:space="preserve"> </w:t>
      </w:r>
      <w:r>
        <w:t xml:space="preserve">of</w:t>
      </w:r>
      <w:r>
        <w:t xml:space="preserve"> </w:t>
      </w:r>
      <w:r>
        <w:t xml:space="preserve">why</w:t>
      </w:r>
      <w:r>
        <w:t xml:space="preserve"> </w:t>
      </w:r>
      <w:r>
        <w:t xml:space="preserve">some</w:t>
      </w:r>
      <w:r>
        <w:t xml:space="preserve"> </w:t>
      </w:r>
      <w:r>
        <w:t xml:space="preserve">organic</w:t>
      </w:r>
      <w:r>
        <w:t xml:space="preserve"> </w:t>
      </w:r>
      <w:r>
        <w:t xml:space="preserve">matter</w:t>
      </w:r>
      <w:r>
        <w:t xml:space="preserve"> </w:t>
      </w:r>
      <w:r>
        <w:t xml:space="preserve">is</w:t>
      </w:r>
      <w:r>
        <w:t xml:space="preserve"> </w:t>
      </w:r>
      <w:r>
        <w:t xml:space="preserve">more</w:t>
      </w:r>
      <w:r>
        <w:t xml:space="preserve"> </w:t>
      </w:r>
      <w:r>
        <w:t xml:space="preserve">persistent</w:t>
      </w:r>
      <w:r>
        <w:t xml:space="preserve"> </w:t>
      </w:r>
      <w:r>
        <w:t xml:space="preserve">than</w:t>
      </w:r>
      <w:r>
        <w:t xml:space="preserve"> </w:t>
      </w:r>
      <w:r>
        <w:t xml:space="preserve">other</w:t>
      </w:r>
      <w:r>
        <w:t xml:space="preserve"> </w:t>
      </w:r>
      <w:r>
        <w:t xml:space="preserve">that</w:t>
      </w:r>
      <w:r>
        <w:t xml:space="preserve"> </w:t>
      </w:r>
      <w:r>
        <w:t xml:space="preserve">decomposes</w:t>
      </w:r>
      <w:r>
        <w:t xml:space="preserve"> </w:t>
      </w:r>
      <w:r>
        <w:t xml:space="preserve">quickly</w:t>
      </w:r>
      <w:r>
        <w:t xml:space="preserve"> </w:t>
      </w:r>
      <w:r>
        <w:t xml:space="preserve">in</w:t>
      </w:r>
      <w:r>
        <w:t xml:space="preserve"> </w:t>
      </w:r>
      <w:r>
        <w:t xml:space="preserve">soils</w:t>
      </w:r>
      <w:r>
        <w:t xml:space="preserve"> </w:t>
      </w:r>
      <w:r>
        <w:t xml:space="preserve">has</w:t>
      </w:r>
      <w:r>
        <w:t xml:space="preserve"> </w:t>
      </w:r>
      <w:r>
        <w:t xml:space="preserve">motivated</w:t>
      </w:r>
      <w:r>
        <w:t xml:space="preserve"> </w:t>
      </w:r>
      <w:r>
        <w:t xml:space="preserve">a</w:t>
      </w:r>
      <w:r>
        <w:t xml:space="preserve"> </w:t>
      </w:r>
      <w:r>
        <w:t xml:space="preserve">large</w:t>
      </w:r>
      <w:r>
        <w:t xml:space="preserve"> </w:t>
      </w:r>
      <w:r>
        <w:t xml:space="preserve">amount</w:t>
      </w:r>
      <w:r>
        <w:t xml:space="preserve"> </w:t>
      </w:r>
      <w:r>
        <w:t xml:space="preserve">of</w:t>
      </w:r>
      <w:r>
        <w:t xml:space="preserve"> </w:t>
      </w:r>
      <w:r>
        <w:t xml:space="preserve">research</w:t>
      </w:r>
      <w:r>
        <w:t xml:space="preserve"> </w:t>
      </w:r>
      <w:r>
        <w:t xml:space="preserve">in</w:t>
      </w:r>
      <w:r>
        <w:t xml:space="preserve"> </w:t>
      </w:r>
      <w:r>
        <w:t xml:space="preserve">recent</w:t>
      </w:r>
      <w:r>
        <w:t xml:space="preserve"> </w:t>
      </w:r>
      <w:r>
        <w:t xml:space="preserve">years.</w:t>
      </w:r>
      <w:r>
        <w:t xml:space="preserve"> </w:t>
      </w:r>
      <w:r>
        <w:t xml:space="preserve">Persistence</w:t>
      </w:r>
      <w:r>
        <w:t xml:space="preserve"> </w:t>
      </w:r>
      <w:r>
        <w:t xml:space="preserve">is</w:t>
      </w:r>
      <w:r>
        <w:t xml:space="preserve"> </w:t>
      </w:r>
      <w:r>
        <w:t xml:space="preserve">commonly</w:t>
      </w:r>
      <w:r>
        <w:t xml:space="preserve"> </w:t>
      </w:r>
      <w:r>
        <w:t xml:space="preserve">characterized</w:t>
      </w:r>
      <w:r>
        <w:t xml:space="preserve"> </w:t>
      </w:r>
      <w:r>
        <w:t xml:space="preserve">as</w:t>
      </w:r>
      <w:r>
        <w:t xml:space="preserve"> </w:t>
      </w:r>
      <w:r>
        <w:t xml:space="preserve">the</w:t>
      </w:r>
      <w:r>
        <w:t xml:space="preserve"> </w:t>
      </w:r>
      <w:r>
        <w:t xml:space="preserve">turnover</w:t>
      </w:r>
      <w:r>
        <w:t xml:space="preserve"> </w:t>
      </w:r>
      <w:r>
        <w:t xml:space="preserve">or</w:t>
      </w:r>
      <w:r>
        <w:t xml:space="preserve"> </w:t>
      </w:r>
      <w:r>
        <w:t xml:space="preserve">mean</w:t>
      </w:r>
      <w:r>
        <w:t xml:space="preserve"> </w:t>
      </w:r>
      <w:r>
        <w:t xml:space="preserve">residence</w:t>
      </w:r>
      <w:r>
        <w:t xml:space="preserve"> </w:t>
      </w:r>
      <w:r>
        <w:t xml:space="preserve">time</w:t>
      </w:r>
      <w:r>
        <w:t xml:space="preserve"> </w:t>
      </w:r>
      <w:r>
        <w:t xml:space="preserve">of</w:t>
      </w:r>
      <w:r>
        <w:t xml:space="preserve"> </w:t>
      </w:r>
      <w:r>
        <w:t xml:space="preserve">soil</w:t>
      </w:r>
      <w:r>
        <w:t xml:space="preserve"> </w:t>
      </w:r>
      <w:r>
        <w:t xml:space="preserve">organic</w:t>
      </w:r>
      <w:r>
        <w:t xml:space="preserve"> </w:t>
      </w:r>
      <w:r>
        <w:t xml:space="preserve">matter</w:t>
      </w:r>
      <w:r>
        <w:t xml:space="preserve"> </w:t>
      </w:r>
      <w:r>
        <w:t xml:space="preserve">(SOM).</w:t>
      </w:r>
      <w:r>
        <w:t xml:space="preserve"> </w:t>
      </w:r>
      <w:r>
        <w:t xml:space="preserve">However,</w:t>
      </w:r>
      <w:r>
        <w:t xml:space="preserve"> </w:t>
      </w:r>
      <w:r>
        <w:t xml:space="preserve">turnover</w:t>
      </w:r>
      <w:r>
        <w:t xml:space="preserve"> </w:t>
      </w:r>
      <w:r>
        <w:t xml:space="preserve">and</w:t>
      </w:r>
      <w:r>
        <w:t xml:space="preserve"> </w:t>
      </w:r>
      <w:r>
        <w:t xml:space="preserve">residence</w:t>
      </w:r>
      <w:r>
        <w:t xml:space="preserve"> </w:t>
      </w:r>
      <w:r>
        <w:t xml:space="preserve">times</w:t>
      </w:r>
      <w:r>
        <w:t xml:space="preserve"> </w:t>
      </w:r>
      <w:r>
        <w:t xml:space="preserve">are</w:t>
      </w:r>
      <w:r>
        <w:t xml:space="preserve"> </w:t>
      </w:r>
      <w:r>
        <w:t xml:space="preserve">ambiguous</w:t>
      </w:r>
      <w:r>
        <w:t xml:space="preserve"> </w:t>
      </w:r>
      <w:r>
        <w:t xml:space="preserve">measures</w:t>
      </w:r>
      <w:r>
        <w:t xml:space="preserve"> </w:t>
      </w:r>
      <w:r>
        <w:t xml:space="preserve">of</w:t>
      </w:r>
      <w:r>
        <w:t xml:space="preserve"> </w:t>
      </w:r>
      <w:r>
        <w:t xml:space="preserve">persistence,</w:t>
      </w:r>
      <w:r>
        <w:t xml:space="preserve"> </w:t>
      </w:r>
      <w:r>
        <w:t xml:space="preserve">which</w:t>
      </w:r>
      <w:r>
        <w:t xml:space="preserve"> </w:t>
      </w:r>
      <w:r>
        <w:t xml:space="preserve">is</w:t>
      </w:r>
      <w:r>
        <w:t xml:space="preserve"> </w:t>
      </w:r>
      <w:r>
        <w:t xml:space="preserve">better</w:t>
      </w:r>
      <w:r>
        <w:t xml:space="preserve"> </w:t>
      </w:r>
      <w:r>
        <w:t xml:space="preserve">characterized</w:t>
      </w:r>
      <w:r>
        <w:t xml:space="preserve"> </w:t>
      </w:r>
      <w:r>
        <w:t xml:space="preserve">by</w:t>
      </w:r>
      <w:r>
        <w:t xml:space="preserve"> </w:t>
      </w:r>
      <w:r>
        <w:t xml:space="preserve">the</w:t>
      </w:r>
      <w:r>
        <w:t xml:space="preserve"> </w:t>
      </w:r>
      <w:r>
        <w:t xml:space="preserve">distribution</w:t>
      </w:r>
      <w:r>
        <w:t xml:space="preserve"> </w:t>
      </w:r>
      <w:r>
        <w:t xml:space="preserve">of</w:t>
      </w:r>
      <w:r>
        <w:t xml:space="preserve"> </w:t>
      </w:r>
      <w:r>
        <w:t xml:space="preserve">ages</w:t>
      </w:r>
      <w:r>
        <w:t xml:space="preserve"> </w:t>
      </w:r>
      <w:r>
        <w:t xml:space="preserve">of</w:t>
      </w:r>
      <w:r>
        <w:t xml:space="preserve"> </w:t>
      </w:r>
      <w:r>
        <w:t xml:space="preserve">carbon</w:t>
      </w:r>
      <w:r>
        <w:t xml:space="preserve"> </w:t>
      </w:r>
      <w:r>
        <w:t xml:space="preserve">atoms</w:t>
      </w:r>
      <w:r>
        <w:t xml:space="preserve"> </w:t>
      </w:r>
      <w:r>
        <w:t xml:space="preserve">in</w:t>
      </w:r>
      <w:r>
        <w:t xml:space="preserve"> </w:t>
      </w:r>
      <w:r>
        <w:t xml:space="preserve">the</w:t>
      </w:r>
      <w:r>
        <w:t xml:space="preserve"> </w:t>
      </w:r>
      <w:r>
        <w:t xml:space="preserve">soil</w:t>
      </w:r>
      <w:r>
        <w:t xml:space="preserve"> </w:t>
      </w:r>
      <w:r>
        <w:t xml:space="preserve">and</w:t>
      </w:r>
      <w:r>
        <w:t xml:space="preserve"> </w:t>
      </w:r>
      <w:r>
        <w:t xml:space="preserve">in</w:t>
      </w:r>
      <w:r>
        <w:t xml:space="preserve"> </w:t>
      </w:r>
      <w:r>
        <w:t xml:space="preserve">particular</w:t>
      </w:r>
      <w:r>
        <w:t xml:space="preserve"> </w:t>
      </w:r>
      <w:r>
        <w:t xml:space="preserve">pools.</w:t>
      </w:r>
      <w:r>
        <w:t xml:space="preserve"> </w:t>
      </w:r>
      <w:r>
        <w:t xml:space="preserve">We</w:t>
      </w:r>
      <w:r>
        <w:t xml:space="preserve"> </w:t>
      </w:r>
      <w:r>
        <w:t xml:space="preserve">calculated</w:t>
      </w:r>
      <w:r>
        <w:t xml:space="preserve"> </w:t>
      </w:r>
      <w:r>
        <w:t xml:space="preserve">carbon</w:t>
      </w:r>
      <w:r>
        <w:t xml:space="preserve"> </w:t>
      </w:r>
      <w:r>
        <w:t xml:space="preserve">age</w:t>
      </w:r>
      <w:r>
        <w:t xml:space="preserve"> </w:t>
      </w:r>
      <w:r>
        <w:t xml:space="preserve">distributions</w:t>
      </w:r>
      <w:r>
        <w:t xml:space="preserve"> </w:t>
      </w:r>
      <w:r>
        <w:t xml:space="preserve">for</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soil</w:t>
      </w:r>
      <w:r>
        <w:t xml:space="preserve"> </w:t>
      </w:r>
      <w:r>
        <w:t xml:space="preserve">organic</w:t>
      </w:r>
      <w:r>
        <w:t xml:space="preserve"> </w:t>
      </w:r>
      <w:r>
        <w:t xml:space="preserve">carbon</w:t>
      </w:r>
      <w:r>
        <w:t xml:space="preserve"> </w:t>
      </w:r>
      <w:r>
        <w:t xml:space="preserve">(SOC)</w:t>
      </w:r>
      <w:r>
        <w:t xml:space="preserve"> </w:t>
      </w:r>
      <w:r>
        <w:t xml:space="preserve">models,</w:t>
      </w:r>
      <w:r>
        <w:t xml:space="preserve"> </w:t>
      </w:r>
      <w:r>
        <w:t xml:space="preserve">which</w:t>
      </w:r>
      <w:r>
        <w:t xml:space="preserve"> </w:t>
      </w:r>
      <w:r>
        <w:t xml:space="preserve">showed</w:t>
      </w:r>
      <w:r>
        <w:t xml:space="preserve"> </w:t>
      </w:r>
      <w:r>
        <w:t xml:space="preserve">long-tail</w:t>
      </w:r>
      <w:r>
        <w:t xml:space="preserve"> </w:t>
      </w:r>
      <w:r>
        <w:t xml:space="preserve">distributions</w:t>
      </w:r>
      <w:r>
        <w:t xml:space="preserve"> </w:t>
      </w:r>
      <w:r>
        <w:t xml:space="preserve">far</w:t>
      </w:r>
      <w:r>
        <w:t xml:space="preserve"> </w:t>
      </w:r>
      <w:r>
        <w:t xml:space="preserve">from</w:t>
      </w:r>
      <w:r>
        <w:t xml:space="preserve"> </w:t>
      </w:r>
      <w:r>
        <w:t xml:space="preserve">the</w:t>
      </w:r>
      <w:r>
        <w:t xml:space="preserve"> </w:t>
      </w:r>
      <w:r>
        <w:t xml:space="preserve">mean</w:t>
      </w:r>
      <w:r>
        <w:t xml:space="preserve"> </w:t>
      </w:r>
      <w:r>
        <w:t xml:space="preserve">value.</w:t>
      </w:r>
      <w:r>
        <w:t xml:space="preserve"> </w:t>
      </w:r>
      <w:r>
        <w:t xml:space="preserve">We</w:t>
      </w:r>
      <w:r>
        <w:t xml:space="preserve"> </w:t>
      </w:r>
      <w:r>
        <w:t xml:space="preserve">also</w:t>
      </w:r>
      <w:r>
        <w:t xml:space="preserve"> </w:t>
      </w:r>
      <w:r>
        <w:t xml:space="preserve">computed</w:t>
      </w:r>
      <w:r>
        <w:t xml:space="preserve"> </w:t>
      </w:r>
      <w:r>
        <w:t xml:space="preserve">transit</w:t>
      </w:r>
      <w:r>
        <w:t xml:space="preserve"> </w:t>
      </w:r>
      <w:r>
        <w:t xml:space="preserve">time</w:t>
      </w:r>
      <w:r>
        <w:t xml:space="preserve"> </w:t>
      </w:r>
      <w:r>
        <w:t xml:space="preserve">distributions</w:t>
      </w:r>
      <w:r>
        <w:t xml:space="preserve"> </w:t>
      </w:r>
      <w:r>
        <w:t xml:space="preserve">for</w:t>
      </w:r>
      <w:r>
        <w:t xml:space="preserve"> </w:t>
      </w:r>
      <w:r>
        <w:t xml:space="preserve">these</w:t>
      </w:r>
      <w:r>
        <w:t xml:space="preserve"> </w:t>
      </w:r>
      <w:r>
        <w:t xml:space="preserve">models,</w:t>
      </w:r>
      <w:r>
        <w:t xml:space="preserve"> </w:t>
      </w:r>
      <w:r>
        <w:t xml:space="preserve">which</w:t>
      </w:r>
      <w:r>
        <w:t xml:space="preserve"> </w:t>
      </w:r>
      <w:r>
        <w:t xml:space="preserve">characterize</w:t>
      </w:r>
      <w:r>
        <w:t xml:space="preserve"> </w:t>
      </w:r>
      <w:r>
        <w:t xml:space="preserve">the</w:t>
      </w:r>
      <w:r>
        <w:t xml:space="preserve"> </w:t>
      </w:r>
      <w:r>
        <w:t xml:space="preserve">age</w:t>
      </w:r>
      <w:r>
        <w:t xml:space="preserve"> </w:t>
      </w:r>
      <w:r>
        <w:t xml:space="preserve">structure</w:t>
      </w:r>
      <w:r>
        <w:t xml:space="preserve"> </w:t>
      </w:r>
      <w:r>
        <w:t xml:space="preserve">of</w:t>
      </w:r>
      <w:r>
        <w:t xml:space="preserve"> </w:t>
      </w:r>
      <w:r>
        <w:t xml:space="preserve">carbon</w:t>
      </w:r>
      <w:r>
        <w:t xml:space="preserve"> </w:t>
      </w:r>
      <w:r>
        <w:t xml:space="preserve">in</w:t>
      </w:r>
      <w:r>
        <w:t xml:space="preserve"> </w:t>
      </w:r>
      <w:r>
        <w:t xml:space="preserve">the</w:t>
      </w:r>
      <w:r>
        <w:t xml:space="preserve"> </w:t>
      </w:r>
      <w:r>
        <w:t xml:space="preserve">output</w:t>
      </w:r>
      <w:r>
        <w:t xml:space="preserve"> </w:t>
      </w:r>
      <w:r>
        <w:t xml:space="preserve">flux,</w:t>
      </w:r>
      <w:r>
        <w:t xml:space="preserve"> </w:t>
      </w:r>
      <w:r>
        <w:t xml:space="preserve">i.e.</w:t>
      </w:r>
      <w:r>
        <w:t xml:space="preserve"> </w:t>
      </w:r>
      <w:r>
        <w:t xml:space="preserve">respired</w:t>
      </w:r>
      <w:r>
        <w:t xml:space="preserve"> </w:t>
      </w:r>
      <w:r>
        <w:t xml:space="preserve">or</w:t>
      </w:r>
      <w:r>
        <w:t xml:space="preserve"> </w:t>
      </w:r>
      <w:r>
        <w:t xml:space="preserve">leached</w:t>
      </w:r>
      <w:r>
        <w:t xml:space="preserve"> </w:t>
      </w:r>
      <w:r>
        <w:t xml:space="preserve">carbon.</w:t>
      </w:r>
      <w:r>
        <w:t xml:space="preserve"> </w:t>
      </w:r>
      <w:r>
        <w:t xml:space="preserve">These</w:t>
      </w:r>
      <w:r>
        <w:t xml:space="preserve"> </w:t>
      </w:r>
      <w:r>
        <w:t xml:space="preserve">models</w:t>
      </w:r>
      <w:r>
        <w:t xml:space="preserve"> </w:t>
      </w:r>
      <w:r>
        <w:t xml:space="preserve">predicted:</w:t>
      </w:r>
      <w:r>
        <w:t xml:space="preserve"> </w:t>
      </w:r>
      <w:r>
        <w:t xml:space="preserve">1)</w:t>
      </w:r>
      <w:r>
        <w:t xml:space="preserve"> </w:t>
      </w:r>
      <w:r>
        <w:t xml:space="preserve">transit</w:t>
      </w:r>
      <w:r>
        <w:t xml:space="preserve"> </w:t>
      </w:r>
      <w:r>
        <w:t xml:space="preserve">times</w:t>
      </w:r>
      <w:r>
        <w:t xml:space="preserve"> </w:t>
      </w:r>
      <w:r>
        <w:t xml:space="preserve">are</w:t>
      </w:r>
      <w:r>
        <w:t xml:space="preserve"> </w:t>
      </w:r>
      <w:r>
        <w:t xml:space="preserve">much</w:t>
      </w:r>
      <w:r>
        <w:t xml:space="preserve"> </w:t>
      </w:r>
      <w:r>
        <w:t xml:space="preserve">lower</w:t>
      </w:r>
      <w:r>
        <w:t xml:space="preserve"> </w:t>
      </w:r>
      <w:r>
        <w:t xml:space="preserve">than</w:t>
      </w:r>
      <w:r>
        <w:t xml:space="preserve"> </w:t>
      </w:r>
      <w:r>
        <w:t xml:space="preserve">ages</w:t>
      </w:r>
      <w:r>
        <w:t xml:space="preserve"> </w:t>
      </w:r>
      <w:r>
        <w:t xml:space="preserve">of</w:t>
      </w:r>
      <w:r>
        <w:t xml:space="preserve"> </w:t>
      </w:r>
      <w:r>
        <w:t xml:space="preserve">SOC,</w:t>
      </w:r>
      <w:r>
        <w:t xml:space="preserve"> </w:t>
      </w:r>
      <w:r>
        <w:t xml:space="preserve">suggesting</w:t>
      </w:r>
      <w:r>
        <w:t xml:space="preserve"> </w:t>
      </w:r>
      <w:r>
        <w:t xml:space="preserve">that</w:t>
      </w:r>
      <w:r>
        <w:t xml:space="preserve"> </w:t>
      </w:r>
      <w:r>
        <w:t xml:space="preserve">soils</w:t>
      </w:r>
      <w:r>
        <w:t xml:space="preserve"> </w:t>
      </w:r>
      <w:r>
        <w:t xml:space="preserve">are</w:t>
      </w:r>
      <w:r>
        <w:t xml:space="preserve"> </w:t>
      </w:r>
      <w:r>
        <w:t xml:space="preserve">far</w:t>
      </w:r>
      <w:r>
        <w:t xml:space="preserve"> </w:t>
      </w:r>
      <w:r>
        <w:t xml:space="preserve">from</w:t>
      </w:r>
      <w:r>
        <w:t xml:space="preserve"> </w:t>
      </w:r>
      <w:r>
        <w:t xml:space="preserve">being</w:t>
      </w:r>
      <w:r>
        <w:t xml:space="preserve"> </w:t>
      </w:r>
      <w:r>
        <w:t xml:space="preserve">systems</w:t>
      </w:r>
      <w:r>
        <w:t xml:space="preserve"> </w:t>
      </w:r>
      <w:r>
        <w:t xml:space="preserve">in</w:t>
      </w:r>
      <w:r>
        <w:t xml:space="preserve"> </w:t>
      </w:r>
      <w:r>
        <w:t xml:space="preserve">which</w:t>
      </w:r>
      <w:r>
        <w:t xml:space="preserve"> </w:t>
      </w:r>
      <w:r>
        <w:t xml:space="preserve">carbon</w:t>
      </w:r>
      <w:r>
        <w:t xml:space="preserve"> </w:t>
      </w:r>
      <w:r>
        <w:t xml:space="preserve">is</w:t>
      </w:r>
      <w:r>
        <w:t xml:space="preserve"> </w:t>
      </w:r>
      <w:r>
        <w:t xml:space="preserve">retained</w:t>
      </w:r>
      <w:r>
        <w:t xml:space="preserve"> </w:t>
      </w:r>
      <w:r>
        <w:t xml:space="preserve">for</w:t>
      </w:r>
      <w:r>
        <w:t xml:space="preserve"> </w:t>
      </w:r>
      <w:r>
        <w:t xml:space="preserve">a</w:t>
      </w:r>
      <w:r>
        <w:t xml:space="preserve"> </w:t>
      </w:r>
      <w:r>
        <w:t xml:space="preserve">long</w:t>
      </w:r>
      <w:r>
        <w:t xml:space="preserve"> </w:t>
      </w:r>
      <w:r>
        <w:t xml:space="preserve">time</w:t>
      </w:r>
      <w:r>
        <w:t xml:space="preserve"> </w:t>
      </w:r>
      <w:r>
        <w:t xml:space="preserve">before</w:t>
      </w:r>
      <w:r>
        <w:t xml:space="preserve"> </w:t>
      </w:r>
      <w:r>
        <w:t xml:space="preserve">being</w:t>
      </w:r>
      <w:r>
        <w:t xml:space="preserve"> </w:t>
      </w:r>
      <w:r>
        <w:t xml:space="preserve">released.</w:t>
      </w:r>
      <w:r>
        <w:t xml:space="preserve"> </w:t>
      </w:r>
      <w:r>
        <w:t xml:space="preserve">2)</w:t>
      </w:r>
      <w:r>
        <w:t xml:space="preserve"> </w:t>
      </w:r>
      <w:r>
        <w:t xml:space="preserve">The</w:t>
      </w:r>
      <w:r>
        <w:t xml:space="preserve"> </w:t>
      </w:r>
      <w:r>
        <w:t xml:space="preserve">difference</w:t>
      </w:r>
      <w:r>
        <w:t xml:space="preserve"> </w:t>
      </w:r>
      <w:r>
        <w:t xml:space="preserve">between</w:t>
      </w:r>
      <w:r>
        <w:t xml:space="preserve"> </w:t>
      </w:r>
      <w:r>
        <w:t xml:space="preserve">mean</w:t>
      </w:r>
      <w:r>
        <w:t xml:space="preserve"> </w:t>
      </w:r>
      <w:r>
        <w:t xml:space="preserve">ages</w:t>
      </w:r>
      <w:r>
        <w:t xml:space="preserve"> </w:t>
      </w:r>
      <w:r>
        <w:t xml:space="preserve">and</w:t>
      </w:r>
      <w:r>
        <w:t xml:space="preserve"> </w:t>
      </w:r>
      <w:r>
        <w:t xml:space="preserve">transit</w:t>
      </w:r>
      <w:r>
        <w:t xml:space="preserve"> </w:t>
      </w:r>
      <w:r>
        <w:t xml:space="preserve">times</w:t>
      </w:r>
      <w:r>
        <w:t xml:space="preserve"> </w:t>
      </w:r>
      <w:r>
        <w:t xml:space="preserve">is</w:t>
      </w:r>
      <w:r>
        <w:t xml:space="preserve"> </w:t>
      </w:r>
      <w:r>
        <w:t xml:space="preserve">large,</w:t>
      </w:r>
      <w:r>
        <w:t xml:space="preserve"> </w:t>
      </w:r>
      <w:r>
        <w:t xml:space="preserve">with</w:t>
      </w:r>
      <w:r>
        <w:t xml:space="preserve"> </w:t>
      </w:r>
      <w:r>
        <w:t xml:space="preserve">estimates</w:t>
      </w:r>
      <w:r>
        <w:t xml:space="preserve"> </w:t>
      </w:r>
      <w:r>
        <w:t xml:space="preserve">of</w:t>
      </w:r>
      <w:r>
        <w:t xml:space="preserve"> </w:t>
      </w:r>
      <w:r>
        <w:t xml:space="preserve">SOC</w:t>
      </w:r>
      <w:r>
        <w:t xml:space="preserve"> </w:t>
      </w:r>
      <w:r>
        <w:t xml:space="preserve">persistence</w:t>
      </w:r>
      <w:r>
        <w:t xml:space="preserve"> </w:t>
      </w:r>
      <w:r>
        <w:t xml:space="preserve">in</w:t>
      </w:r>
      <w:r>
        <w:t xml:space="preserve"> </w:t>
      </w:r>
      <w:r>
        <w:t xml:space="preserve">the</w:t>
      </w:r>
      <w:r>
        <w:t xml:space="preserve"> </w:t>
      </w:r>
      <w:r>
        <w:t xml:space="preserve">order</w:t>
      </w:r>
      <w:r>
        <w:t xml:space="preserve"> </w:t>
      </w:r>
      <w:r>
        <w:t xml:space="preserve">of</w:t>
      </w:r>
      <w:r>
        <w:t xml:space="preserve"> </w:t>
      </w:r>
      <w:r>
        <w:t xml:space="preserve">centuries</w:t>
      </w:r>
      <w:r>
        <w:t xml:space="preserve"> </w:t>
      </w:r>
      <w:r>
        <w:t xml:space="preserve">or</w:t>
      </w:r>
      <w:r>
        <w:t xml:space="preserve"> </w:t>
      </w:r>
      <w:r>
        <w:t xml:space="preserve">millennia</w:t>
      </w:r>
      <w:r>
        <w:t xml:space="preserve"> </w:t>
      </w:r>
      <w:r>
        <w:t xml:space="preserve">when</w:t>
      </w:r>
      <w:r>
        <w:t xml:space="preserve"> </w:t>
      </w:r>
      <w:r>
        <w:t xml:space="preserve">assessed</w:t>
      </w:r>
      <w:r>
        <w:t xml:space="preserve"> </w:t>
      </w:r>
      <w:r>
        <w:t xml:space="preserve">using</w:t>
      </w:r>
      <w:r>
        <w:t xml:space="preserve"> </w:t>
      </w:r>
      <w:r>
        <w:t xml:space="preserve">ages,</w:t>
      </w:r>
      <w:r>
        <w:t xml:space="preserve"> </w:t>
      </w:r>
      <w:r>
        <w:t xml:space="preserve">and</w:t>
      </w:r>
      <w:r>
        <w:t xml:space="preserve"> </w:t>
      </w:r>
      <w:r>
        <w:t xml:space="preserve">in</w:t>
      </w:r>
      <w:r>
        <w:t xml:space="preserve"> </w:t>
      </w:r>
      <w:r>
        <w:t xml:space="preserve">the</w:t>
      </w:r>
      <w:r>
        <w:t xml:space="preserve"> </w:t>
      </w:r>
      <w:r>
        <w:t xml:space="preserve">order</w:t>
      </w:r>
      <w:r>
        <w:t xml:space="preserve"> </w:t>
      </w:r>
      <w:r>
        <w:t xml:space="preserve">of</w:t>
      </w:r>
      <w:r>
        <w:t xml:space="preserve"> </w:t>
      </w:r>
      <w:r>
        <w:t xml:space="preserve">decades</w:t>
      </w:r>
      <w:r>
        <w:t xml:space="preserve"> </w:t>
      </w:r>
      <w:r>
        <w:t xml:space="preserve">when</w:t>
      </w:r>
      <w:r>
        <w:t xml:space="preserve"> </w:t>
      </w:r>
      <w:r>
        <w:t xml:space="preserve">using</w:t>
      </w:r>
      <w:r>
        <w:t xml:space="preserve"> </w:t>
      </w:r>
      <w:r>
        <w:t xml:space="preserve">transit</w:t>
      </w:r>
      <w:r>
        <w:t xml:space="preserve"> </w:t>
      </w:r>
      <w:r>
        <w:t xml:space="preserve">or</w:t>
      </w:r>
      <w:r>
        <w:t xml:space="preserve"> </w:t>
      </w:r>
      <w:r>
        <w:t xml:space="preserve">turnover</w:t>
      </w:r>
      <w:r>
        <w:t xml:space="preserve"> </w:t>
      </w:r>
      <w:r>
        <w:t xml:space="preserve">times.</w:t>
      </w:r>
      <w:r>
        <w:t xml:space="preserve"> </w:t>
      </w:r>
      <w:r>
        <w:t xml:space="preserve">3)</w:t>
      </w:r>
      <w:r>
        <w:t xml:space="preserve"> </w:t>
      </w:r>
      <w:r>
        <w:t xml:space="preserve">Random</w:t>
      </w:r>
      <w:r>
        <w:t xml:space="preserve"> </w:t>
      </w:r>
      <w:r>
        <w:t xml:space="preserve">chance</w:t>
      </w:r>
      <w:r>
        <w:t xml:space="preserve"> </w:t>
      </w:r>
      <w:r>
        <w:t xml:space="preserve">is</w:t>
      </w:r>
      <w:r>
        <w:t xml:space="preserve"> </w:t>
      </w:r>
      <w:r>
        <w:t xml:space="preserve">a</w:t>
      </w:r>
      <w:r>
        <w:t xml:space="preserve"> </w:t>
      </w:r>
      <w:r>
        <w:t xml:space="preserve">factor</w:t>
      </w:r>
      <w:r>
        <w:t xml:space="preserve"> </w:t>
      </w:r>
      <w:r>
        <w:t xml:space="preserve">that</w:t>
      </w:r>
      <w:r>
        <w:t xml:space="preserve"> </w:t>
      </w:r>
      <w:r>
        <w:t xml:space="preserve">helps</w:t>
      </w:r>
      <w:r>
        <w:t xml:space="preserve"> </w:t>
      </w:r>
      <w:r>
        <w:t xml:space="preserve">to</w:t>
      </w:r>
      <w:r>
        <w:t xml:space="preserve"> </w:t>
      </w:r>
      <w:r>
        <w:t xml:space="preserve">explain</w:t>
      </w:r>
      <w:r>
        <w:t xml:space="preserve"> </w:t>
      </w:r>
      <w:r>
        <w:t xml:space="preserve">why</w:t>
      </w:r>
      <w:r>
        <w:t xml:space="preserve"> </w:t>
      </w:r>
      <w:r>
        <w:t xml:space="preserve">some</w:t>
      </w:r>
      <w:r>
        <w:t xml:space="preserve"> </w:t>
      </w:r>
      <w:r>
        <w:t xml:space="preserve">organic</w:t>
      </w:r>
      <w:r>
        <w:t xml:space="preserve"> </w:t>
      </w:r>
      <w:r>
        <w:t xml:space="preserve">matter</w:t>
      </w:r>
      <w:r>
        <w:t xml:space="preserve"> </w:t>
      </w:r>
      <w:r>
        <w:t xml:space="preserve">persists</w:t>
      </w:r>
      <w:r>
        <w:t xml:space="preserve"> </w:t>
      </w:r>
      <w:r>
        <w:t xml:space="preserve">for</w:t>
      </w:r>
      <w:r>
        <w:t xml:space="preserve"> </w:t>
      </w:r>
      <w:r>
        <w:t xml:space="preserve">millennia</w:t>
      </w:r>
      <w:r>
        <w:t xml:space="preserve"> </w:t>
      </w:r>
      <w:r>
        <w:t xml:space="preserve">in</w:t>
      </w:r>
      <w:r>
        <w:t xml:space="preserve"> </w:t>
      </w:r>
      <w:r>
        <w:t xml:space="preserve">soil.</w:t>
      </w:r>
    </w:p>
    <w:p>
      <w:pPr>
        <w:pStyle w:val="Heading1"/>
      </w:pPr>
      <w:bookmarkStart w:id="21" w:name="introduction"/>
      <w:r>
        <w:t xml:space="preserve">Introduction</w:t>
      </w:r>
      <w:bookmarkEnd w:id="21"/>
    </w:p>
    <w:p>
      <w:pPr>
        <w:pStyle w:val="FirstParagraph"/>
      </w:pPr>
      <w:r>
        <w:t xml:space="preserve">The observation that soil organic matter (SOM) persists in soils for a wide range of times independent of its quality has challenged previous views in SOM cycling research</w:t>
      </w:r>
      <w:r>
        <w:t xml:space="preserve"> </w:t>
      </w:r>
      <w:r>
        <w:t xml:space="preserve">. It has been reported that easily degradable compounds could persist for years to decades in soils</w:t>
      </w:r>
      <w:r>
        <w:t xml:space="preserve"> </w:t>
      </w:r>
      <w:r>
        <w:t xml:space="preserve">, while highly aromatic organic compounds such as lignin or charcoal could be degrade in a matter of years, much faster than previously believed</w:t>
      </w:r>
      <w:r>
        <w:t xml:space="preserve"> </w:t>
      </w:r>
      <w:r>
        <w:t xml:space="preserve">. Therefore, current research on mechanisms of SOM cycling and stabilization focus on physical and chemical protection rather than molecular structure for explaining SOM persistence</w:t>
      </w:r>
      <w:r>
        <w:t xml:space="preserve"> </w:t>
      </w:r>
      <w:r>
        <w:t xml:space="preserve">.</w:t>
      </w:r>
    </w:p>
    <w:p>
      <w:pPr>
        <w:pStyle w:val="BodyText"/>
      </w:pPr>
      <w:r>
        <w:t xml:space="preserve">The term persistence however, has been vaguely defined. In most cases, persistence is associated with the turnover or mean residence time of carbon in SOM</w:t>
      </w:r>
      <w:r>
        <w:t xml:space="preserve"> </w:t>
      </w:r>
      <w:r>
        <w:t xml:space="preserve">. These two terms are problematic to use as definitions of persistence for three main reasons: 1) they are ambiguously used in many studies, in some cases referring to the concept of age and in others to the concept of transit times (see below), 2) in some cases their calculation rely on the assumption of a single homogenous pool at steady-state while a range of timescales for C has been clearly reported, and 3) measures of central tendency do not provide information on the distribution of the maximum age that could be observed in a soil (Figure</w:t>
      </w:r>
      <w:r>
        <w:t xml:space="preserve"> </w:t>
      </w:r>
      <w:hyperlink w:anchor="fig:example">
        <w:r>
          <w:rPr>
            <w:rStyle w:val="Hyperlink"/>
          </w:rPr>
          <w:t xml:space="preserve">[fig:example]</w:t>
        </w:r>
      </w:hyperlink>
      <w:r>
        <w:t xml:space="preserve">).</w:t>
      </w:r>
    </w:p>
    <w:p>
      <w:pPr>
        <w:pStyle w:val="BodyText"/>
      </w:pPr>
      <w:r>
        <w:t xml:space="preserve">Turnover and residence times are ambiguous terms because they may indicate concepts related to the age of carbon within the soil system or the age of carbon in the flux out of soils (e.g. CO</w:t>
      </w:r>
      <m:oMath>
        <m:sSub>
          <m:e>
            <m:r>
              <m:t/>
            </m:r>
          </m:e>
          <m:sub>
            <m:r>
              <m:t>2</m:t>
            </m:r>
          </m:sub>
        </m:sSub>
      </m:oMath>
      <w:r>
        <w:t xml:space="preserve"> </w:t>
      </w:r>
      <w:r>
        <w:t xml:space="preserve">respiration or dissolved organic carbon leaching). Less ambiguous are the concepts of</w:t>
      </w:r>
      <w:r>
        <w:t xml:space="preserve"> </w:t>
      </w:r>
      <w:r>
        <w:t xml:space="preserve">system age and transit times</w:t>
      </w:r>
      <w:r>
        <w:t xml:space="preserve"> </w:t>
      </w:r>
      <w:r>
        <w:t xml:space="preserve">. System age can be defined as the age of particles or atoms in a system, in this case a soil, since the time the atom entered the system until the time of observation. Transit time can be defined as the time elapsed since the atom entered until it leaves in the output flux. It is well established that both system age and transit time are equal in single-pool systems at steady-state. For systems with multiple pools these quantities are generally different.</w:t>
      </w:r>
    </w:p>
    <w:p>
      <w:pPr>
        <w:pStyle w:val="BodyText"/>
      </w:pPr>
      <w:r>
        <w:t xml:space="preserve">System age and transit time can be characterized by a distribution that measures the proportion of atoms or particles in a soil that have less than certain age</w:t>
      </w:r>
      <w:r>
        <w:t xml:space="preserve"> </w:t>
      </w:r>
      <w:r>
        <w:t xml:space="preserve">. These distributions can also be interpreted in a probabilistic sense, suggesting that the problem of persistence can also be approached from a stochastic point of view.</w:t>
      </w:r>
    </w:p>
    <w:p>
      <w:pPr>
        <w:pStyle w:val="BodyText"/>
      </w:pPr>
      <w:r>
        <w:t xml:space="preserve">In this manuscript, we will show that the concept of system age is appropriate for characterizing persistence of SOM. We will focus on carbon cycling, but the ideas and theory presented can be applied to any other biogeochemical element (Spohn and Sierra</w:t>
      </w:r>
      <w:r>
        <w:t xml:space="preserve"> </w:t>
      </w:r>
      <w:r>
        <w:rPr>
          <w:i/>
        </w:rPr>
        <w:t xml:space="preserve">in revision</w:t>
      </w:r>
      <w:r>
        <w:t xml:space="preserve">). In particular, we will show that 1) ages of carbon in soils can be explained by stochastic processes that can be directly linked to mechanisms of SOM (de)stabilization, 2) persistence (age distributions) is a model dependent quantity and cannot be derived from observations alone, 3) ages and transit times differ considerably in soils, with ages being much older than transit times. For this purpose, we will provide estimates of ages and transit times of carbon for a particular set of models, and estimates at the global scale using output from Earth system models.</w:t>
      </w:r>
    </w:p>
    <w:p>
      <w:pPr>
        <w:pStyle w:val="BodyText"/>
      </w:pPr>
      <w:r>
        <w:t xml:space="preserve">The approach we take here is mostly theoretical, starting from a general stochastic model for the definition of ages and using a set of examples from the literature to calculate ages and transit times at a set of single sites and at the global scale.</w:t>
      </w:r>
    </w:p>
    <w:p>
      <w:pPr>
        <w:pStyle w:val="Heading1"/>
      </w:pPr>
      <w:bookmarkStart w:id="22" w:name="conceptual-framework"/>
      <w:r>
        <w:t xml:space="preserve">Conceptual framework</w:t>
      </w:r>
      <w:bookmarkEnd w:id="22"/>
    </w:p>
    <w:p>
      <w:pPr>
        <w:pStyle w:val="Heading2"/>
      </w:pPr>
      <w:bookmarkStart w:id="23" w:name="characterizing-som-persistence"/>
      <w:r>
        <w:t xml:space="preserve">Characterizing SOM persistence</w:t>
      </w:r>
      <w:bookmarkEnd w:id="23"/>
    </w:p>
    <w:p>
      <w:pPr>
        <w:pStyle w:val="FirstParagraph"/>
      </w:pPr>
      <w:r>
        <w:t xml:space="preserve">Soils are constituted by a mixture of carbon atoms of mostly plant origin that have accumulated over a period of time.</w:t>
      </w:r>
      <w:r>
        <w:t xml:space="preserve"> </w:t>
      </w:r>
      <w:r>
        <w:t xml:space="preserve">For each atom, the time elapsed since it entered the soil is defined here as</w:t>
      </w:r>
      <w:r>
        <w:t xml:space="preserve"> </w:t>
      </w:r>
      <w:r>
        <w:rPr>
          <w:i/>
        </w:rPr>
        <w:t xml:space="preserve">age</w:t>
      </w:r>
      <w:r>
        <w:t xml:space="preserve">. If we were able to measure the age</w:t>
      </w:r>
      <w:r>
        <w:t xml:space="preserve"> </w:t>
      </w:r>
      <m:oMath>
        <m:r>
          <m:t>a</m:t>
        </m:r>
      </m:oMath>
      <w:r>
        <w:t xml:space="preserve"> </w:t>
      </w:r>
      <w:r>
        <w:t xml:space="preserve">of every single atom in a given amount of soil, we would be able to produce a frequency distribution of the ages of carbon. To be able to construct this frequency distribution, we would need to group C atoms in age bins of some size</w:t>
      </w:r>
      <w:r>
        <w:t xml:space="preserve"> </w:t>
      </w:r>
      <m:oMath>
        <m:r>
          <m:t>Δ</m:t>
        </m:r>
        <m:r>
          <m:t>a</m:t>
        </m:r>
      </m:oMath>
      <w:r>
        <w:t xml:space="preserve"> </w:t>
      </w:r>
      <w:r>
        <w:t xml:space="preserve">and count how many atoms belong to each age class. If we make the size of these age bins very small, we would obtain a series of</w:t>
      </w:r>
      <w:r>
        <w:t xml:space="preserve"> </w:t>
      </w:r>
      <m:oMath>
        <m:r>
          <m:t>a</m:t>
        </m:r>
        <m:r>
          <m:t>+</m:t>
        </m:r>
        <m:r>
          <m:t>δ</m:t>
        </m:r>
        <m:r>
          <m:t>a</m:t>
        </m:r>
      </m:oMath>
      <w:r>
        <w:t xml:space="preserve"> </w:t>
      </w:r>
      <w:r>
        <w:t xml:space="preserve">intervals that defines what is commonly know as a probability density function (pdf). This pdf measures the probability that certain amount of carbon is below or above certain age. Once we have a pdf of carbon ages, we can characterize the age structure of SOC by simple measures such as the mean, the median, and quantiles (Figure</w:t>
      </w:r>
      <w:r>
        <w:t xml:space="preserve"> </w:t>
      </w:r>
      <w:hyperlink w:anchor="fig:example">
        <w:r>
          <w:rPr>
            <w:rStyle w:val="Hyperlink"/>
          </w:rPr>
          <w:t xml:space="preserve">[fig:example]</w:t>
        </w:r>
      </w:hyperlink>
      <w:r>
        <w:t xml:space="preserve">).</w:t>
      </w:r>
    </w:p>
    <w:p>
      <w:pPr>
        <w:pStyle w:val="CaptionedFigure"/>
      </w:pPr>
      <w:r>
        <w:t xml:space="preserve">Soil organic matter age for two hypothetical soils with similar mean age, but with different density functions. In both cases, the mean age is 200 years (purple vertical line), but for the exponentially distributed soil the 95% quantile</w:t>
      </w:r>
      <w:r>
        <w:t xml:space="preserve"> </w:t>
      </w:r>
      <m:oMath>
        <m:sSub>
          <m:e>
            <m:r>
              <m:t>Q</m:t>
            </m:r>
          </m:e>
          <m:sub>
            <m:r>
              <m:t>95</m:t>
            </m:r>
          </m:sub>
        </m:sSub>
        <m:r>
          <m:t>=</m:t>
        </m:r>
        <m:r>
          <m:t>599</m:t>
        </m:r>
      </m:oMath>
      <w:r>
        <w:t xml:space="preserve"> </w:t>
      </w:r>
      <w:r>
        <w:t xml:space="preserve">years, while for the normally distributed soil (blue line)</w:t>
      </w:r>
      <w:r>
        <w:t xml:space="preserve"> </w:t>
      </w:r>
      <m:oMath>
        <m:sSub>
          <m:e>
            <m:r>
              <m:t>Q</m:t>
            </m:r>
          </m:e>
          <m:sub>
            <m:r>
              <m:t>95</m:t>
            </m:r>
          </m:sub>
        </m:sSub>
        <m:r>
          <m:t>=</m:t>
        </m:r>
        <m:r>
          <m:t>282</m:t>
        </m:r>
      </m:oMath>
      <w:r>
        <w:t xml:space="preserve"> </w:t>
      </w:r>
      <w:r>
        <w:t xml:space="preserve">years.</w:t>
      </w:r>
    </w:p>
    <w:p>
      <w:pPr>
        <w:pStyle w:val="ImageCaption"/>
      </w:pPr>
      <w:r>
        <w:t xml:space="preserve">Soil organic matter age for two hypothetical soils with similar mean age, but with different density functions. In both cases, the mean age is 200 years (purple vertical line), but for the exponentially distributed soil the 95% quantile</w:t>
      </w:r>
      <w:r>
        <w:t xml:space="preserve"> </w:t>
      </w:r>
      <m:oMath>
        <m:sSub>
          <m:e>
            <m:r>
              <m:t>Q</m:t>
            </m:r>
          </m:e>
          <m:sub>
            <m:r>
              <m:t>95</m:t>
            </m:r>
          </m:sub>
        </m:sSub>
        <m:r>
          <m:t>=</m:t>
        </m:r>
        <m:r>
          <m:t>599</m:t>
        </m:r>
      </m:oMath>
      <w:r>
        <w:t xml:space="preserve"> </w:t>
      </w:r>
      <w:r>
        <w:t xml:space="preserve">years, while for the normally distributed soil (blue line)</w:t>
      </w:r>
      <w:r>
        <w:t xml:space="preserve"> </w:t>
      </w:r>
      <m:oMath>
        <m:sSub>
          <m:e>
            <m:r>
              <m:t>Q</m:t>
            </m:r>
          </m:e>
          <m:sub>
            <m:r>
              <m:t>95</m:t>
            </m:r>
          </m:sub>
        </m:sSub>
        <m:r>
          <m:t>=</m:t>
        </m:r>
        <m:r>
          <m:t>282</m:t>
        </m:r>
      </m:oMath>
      <w:r>
        <w:t xml:space="preserve"> </w:t>
      </w:r>
      <w:r>
        <w:t xml:space="preserve">years.</w:t>
      </w:r>
    </w:p>
    <w:p>
      <w:pPr>
        <w:pStyle w:val="BodyText"/>
      </w:pPr>
      <w:r>
        <w:t xml:space="preserve">To arrive at a pdf of SOC ages, we need to take the atom perspective further. Consider a carbon atom that is part of a dead plant part just entering the soil. This C atom will stay in the soil until something will happen; for instance, the plant part may be broken down by physical mechanisms or by macro-organisms. The molecules that contain the atom may be transformed by exo-enzymes, they might be absorbed by mineral surfaces, or they might be ingested by a microorganism. All these different possibilities are the well-studied mechanisms of soil carbon (de)stabilization</w:t>
      </w:r>
      <w:r>
        <w:t xml:space="preserve"> </w:t>
      </w:r>
      <w:r>
        <w:t xml:space="preserve">. In this context however, we consider these mechanisms to set a probability on a C atom of changing its location and its state. Depending on the context, i.e. to what macro-molecule the atom belongs to, or the environment determined by factors such as pH, temperature, moisture, redox potential, etc., the probability of the C atom changing its state would be determined. However, we assume that none of these mechanisms operate at the age level. This means that mechanisms of (de)stabilization operate based on the physical, chemical, and biological properties of the organic matter, but not on the age since it entered the soil. We assume that SOM processing is independent of age, and therefore atoms are processed randomly with respect to age, but deterministically based on physical, chemical, and biological mechanisms.</w:t>
      </w:r>
    </w:p>
    <w:p>
      <w:pPr>
        <w:pStyle w:val="Heading2"/>
      </w:pPr>
      <w:bookmarkStart w:id="24" w:name="computation-of-age-distributions"/>
      <w:r>
        <w:t xml:space="preserve">Computation of age distributions</w:t>
      </w:r>
      <w:bookmarkEnd w:id="24"/>
    </w:p>
    <w:p>
      <w:pPr>
        <w:pStyle w:val="FirstParagraph"/>
      </w:pPr>
      <w:r>
        <w:t xml:space="preserve">To characterize SOM persistence using age distributions, it is necessary to use models that incorporate different (de)stabilization mechanisms. Over several decades, researchers have proposed a large variety of SOM models that account for biological, physical, and chemical mechanisms of SOM (de)stabilization</w:t>
      </w:r>
      <w:r>
        <w:t xml:space="preserve"> </w:t>
      </w:r>
      <w:r>
        <w:t xml:space="preserve">. A large number of these models can be represented as systems of linear differential equations</w:t>
      </w:r>
      <w:r>
        <w:t xml:space="preserve"> </w:t>
      </w:r>
      <w:r>
        <w:t xml:space="preserve"> </w:t>
      </w:r>
      <w:r>
        <w:t xml:space="preserve">of the form</w:t>
      </w:r>
    </w:p>
    <w:p>
      <w:pPr>
        <w:pStyle w:val="BodyText"/>
      </w:pPr>
      <m:oMathPara>
        <m:oMathParaPr>
          <m:jc m:val="center"/>
        </m:oMathParaPr>
        <m:oMath>
          <m:f>
            <m:fPr>
              <m:type m:val="bar"/>
            </m:fPr>
            <m:num>
              <m:r>
                <m:t>d</m:t>
              </m:r>
              <m:r>
                <m:rPr>
                  <m:sty m:val="b"/>
                </m:rPr>
                <m:t>x</m:t>
              </m:r>
              <m:r>
                <m:t>(</m:t>
              </m:r>
              <m:r>
                <m:t>t</m:t>
              </m:r>
              <m:r>
                <m:t>)</m:t>
              </m:r>
            </m:num>
            <m:den>
              <m:r>
                <m:t>d</m:t>
              </m:r>
              <m:r>
                <m:t>t</m:t>
              </m:r>
            </m:den>
          </m:f>
          <m:r>
            <m:t>=</m:t>
          </m:r>
          <m:groupChr>
            <m:groupChrPr>
              <m:chr m:val="̇"/>
              <m:pos m:val="top"/>
              <m:vertJc m:val="bot"/>
            </m:groupChrPr>
            <m:e>
              <m:r>
                <m:rPr>
                  <m:sty m:val="b"/>
                </m:rPr>
                <m:t>x</m:t>
              </m:r>
            </m:e>
          </m:groupChr>
          <m:r>
            <m:t>(</m:t>
          </m:r>
          <m:r>
            <m:t>t</m:t>
          </m:r>
          <m:r>
            <m:t>)</m:t>
          </m:r>
          <m:r>
            <m:t>=</m:t>
          </m:r>
          <m:r>
            <m:rPr>
              <m:sty m:val="b"/>
            </m:rPr>
            <m:t>u</m:t>
          </m:r>
          <m:r>
            <m:t>+</m:t>
          </m:r>
          <m:r>
            <m:rPr>
              <m:sty m:val="b"/>
            </m:rPr>
            <m:t>B</m:t>
          </m:r>
          <m:r>
            <m:t>⋅</m:t>
          </m:r>
          <m:r>
            <m:rPr>
              <m:sty m:val="b"/>
            </m:rPr>
            <m:t>x</m:t>
          </m:r>
          <m:r>
            <m:t>(</m:t>
          </m:r>
          <m:r>
            <m:t>t</m:t>
          </m:r>
          <m:r>
            <m:t>)</m:t>
          </m:r>
          <m:r>
            <m:t>,</m:t>
          </m:r>
        </m:oMath>
      </m:oMathPara>
    </w:p>
    <w:p>
      <w:pPr>
        <w:pStyle w:val="FirstParagraph"/>
      </w:pPr>
      <w:r>
        <w:t xml:space="preserve">where the rate of change of carbon over time in</w:t>
      </w:r>
      <w:r>
        <w:t xml:space="preserve"> </w:t>
      </w:r>
      <m:oMath>
        <m:r>
          <m:t>n</m:t>
        </m:r>
      </m:oMath>
      <w:r>
        <w:t xml:space="preserve"> </w:t>
      </w:r>
      <w:r>
        <w:t xml:space="preserve">different pools is represented by the</w:t>
      </w:r>
      <w:r>
        <w:t xml:space="preserve"> </w:t>
      </w:r>
      <m:oMath>
        <m:r>
          <m:t>n</m:t>
        </m:r>
      </m:oMath>
      <w:r>
        <w:t xml:space="preserve">-dimensional vector</w:t>
      </w:r>
      <w:r>
        <w:t xml:space="preserve"> </w:t>
      </w:r>
      <m:oMath>
        <m:groupChr>
          <m:groupChrPr>
            <m:chr m:val="̇"/>
            <m:pos m:val="top"/>
            <m:vertJc m:val="bot"/>
          </m:groupChrPr>
          <m:e>
            <m:r>
              <m:rPr>
                <m:sty m:val="b"/>
              </m:rPr>
              <m:t>x</m:t>
            </m:r>
          </m:e>
        </m:groupChr>
        <m:r>
          <m:t>(</m:t>
        </m:r>
        <m:r>
          <m:t>t</m:t>
        </m:r>
        <m:r>
          <m:t>)</m:t>
        </m:r>
      </m:oMath>
      <w:r>
        <w:t xml:space="preserve">. Constant inputs of carbon to the soil to each pool are represented by the</w:t>
      </w:r>
      <w:r>
        <w:t xml:space="preserve"> </w:t>
      </w:r>
      <m:oMath>
        <m:r>
          <m:t>n</m:t>
        </m:r>
      </m:oMath>
      <w:r>
        <w:t xml:space="preserve">-dimensional vector</w:t>
      </w:r>
      <w:r>
        <w:t xml:space="preserve"> </w:t>
      </w:r>
      <m:oMath>
        <m:r>
          <m:rPr>
            <m:sty m:val="b"/>
          </m:rPr>
          <m:t>u</m:t>
        </m:r>
      </m:oMath>
      <w:r>
        <w:t xml:space="preserve">, and rates of carbon processing, stabilization, and destabilization are represented in the</w:t>
      </w:r>
      <w:r>
        <w:t xml:space="preserve"> </w:t>
      </w:r>
      <m:oMath>
        <m:r>
          <m:t>n</m:t>
        </m:r>
        <m:r>
          <m:t>×</m:t>
        </m:r>
        <m:r>
          <m:t>n</m:t>
        </m:r>
      </m:oMath>
      <w:r>
        <w:t xml:space="preserve"> </w:t>
      </w:r>
      <w:r>
        <w:t xml:space="preserve">dimensional matrix</w:t>
      </w:r>
      <w:r>
        <w:t xml:space="preserve"> </w:t>
      </w:r>
      <m:oMath>
        <m:r>
          <m:rPr>
            <m:sty m:val="b"/>
          </m:rPr>
          <m:t>B</m:t>
        </m:r>
      </m:oMath>
      <w:r>
        <w:t xml:space="preserve">. The diagonal entries of</w:t>
      </w:r>
      <w:r>
        <w:t xml:space="preserve"> </w:t>
      </w:r>
      <m:oMath>
        <m:r>
          <m:rPr>
            <m:sty m:val="b"/>
          </m:rPr>
          <m:t>B</m:t>
        </m:r>
      </m:oMath>
      <w:r>
        <w:t xml:space="preserve"> </w:t>
      </w:r>
      <w:r>
        <w:t xml:space="preserve">contain the rates at which carbon is processed in each of the pools, and if we organize them from fast to slow from left to right, we can interpret all lower diagonal entries as the rates of carbon stabilization; and the upper diagonal entries as the rates of carbon destabilization</w:t>
      </w:r>
      <w:r>
        <w:t xml:space="preserve"> </w:t>
      </w:r>
      <w:r>
        <w:t xml:space="preserve">. By adding all rows from each column of</w:t>
      </w:r>
      <w:r>
        <w:t xml:space="preserve"> </w:t>
      </w:r>
      <m:oMath>
        <m:r>
          <m:rPr>
            <m:sty m:val="b"/>
          </m:rPr>
          <m:t>B</m:t>
        </m:r>
      </m:oMath>
      <w:r>
        <w:t xml:space="preserve">, one obtains a vector</w:t>
      </w:r>
      <w:r>
        <w:t xml:space="preserve"> </w:t>
      </w:r>
      <m:oMath>
        <m:r>
          <m:rPr>
            <m:sty m:val="b"/>
          </m:rPr>
          <m:t>z</m:t>
        </m:r>
      </m:oMath>
      <w:r>
        <w:t xml:space="preserve"> </w:t>
      </w:r>
      <w:r>
        <w:t xml:space="preserve">with the fraction of the decomposed carbon that is released from the system either as respired or dissolved carbon. This vector can be computed as</w:t>
      </w:r>
      <w:r>
        <w:t xml:space="preserve"> </w:t>
      </w:r>
      <m:oMath>
        <m:sSup>
          <m:e>
            <m:r>
              <m:rPr>
                <m:sty m:val="b"/>
              </m:rPr>
              <m:t>z</m:t>
            </m:r>
          </m:e>
          <m:sup>
            <m:r>
              <m:t>T</m:t>
            </m:r>
          </m:sup>
        </m:sSup>
        <m:r>
          <m:t>=</m:t>
        </m:r>
        <m:r>
          <m:t>−</m:t>
        </m:r>
        <m:sSup>
          <m:e>
            <m:r>
              <m:rPr>
                <m:sty m:val="b"/>
              </m:rPr>
              <m:t>1</m:t>
            </m:r>
          </m:e>
          <m:sup>
            <m:r>
              <m:t>T</m:t>
            </m:r>
          </m:sup>
        </m:sSup>
        <m:r>
          <m:t>⋅</m:t>
        </m:r>
        <m:r>
          <m:rPr>
            <m:sty m:val="b"/>
          </m:rPr>
          <m:t>B</m:t>
        </m:r>
      </m:oMath>
      <w:r>
        <w:t xml:space="preserve">, where</w:t>
      </w:r>
      <w:r>
        <w:t xml:space="preserve"> </w:t>
      </w:r>
      <m:oMath>
        <m:r>
          <m:t>T</m:t>
        </m:r>
      </m:oMath>
      <w:r>
        <w:t xml:space="preserve"> </w:t>
      </w:r>
      <w:r>
        <w:t xml:space="preserve">represents the transpose opertator. At steady-state, the model of equation (</w:t>
      </w:r>
      <w:hyperlink w:anchor="lam">
        <w:r>
          <w:rPr>
            <w:rStyle w:val="Hyperlink"/>
          </w:rPr>
          <w:t xml:space="preserve">[lam]</w:t>
        </w:r>
      </w:hyperlink>
      <w:r>
        <w:t xml:space="preserve">) has the general solution</w:t>
      </w:r>
      <w:r>
        <w:t xml:space="preserve"> </w:t>
      </w:r>
      <m:oMath>
        <m:sSup>
          <m:e>
            <m:r>
              <m:rPr>
                <m:sty m:val="b"/>
              </m:rPr>
              <m:t>x</m:t>
            </m:r>
          </m:e>
          <m:sup>
            <m:r>
              <m:t>*</m:t>
            </m:r>
          </m:sup>
        </m:sSup>
        <m:r>
          <m:t>=</m:t>
        </m:r>
        <m:r>
          <m:t>−</m:t>
        </m:r>
        <m:sSup>
          <m:e>
            <m:r>
              <m:rPr>
                <m:sty m:val="b"/>
              </m:rPr>
              <m:t>B</m:t>
            </m:r>
          </m:e>
          <m:sup>
            <m:r>
              <m:t>−</m:t>
            </m:r>
            <m:r>
              <m:t>1</m:t>
            </m:r>
          </m:sup>
        </m:sSup>
        <m:r>
          <m:t>⋅</m:t>
        </m:r>
        <m:r>
          <m:rPr>
            <m:sty m:val="b"/>
          </m:rPr>
          <m:t>u</m:t>
        </m:r>
      </m:oMath>
      <w:r>
        <w:t xml:space="preserve">.</w:t>
      </w:r>
    </w:p>
    <w:p>
      <w:pPr>
        <w:pStyle w:val="BodyText"/>
      </w:pPr>
      <w:r>
        <w:t xml:space="preserve"> </w:t>
      </w:r>
      <w:r>
        <w:t xml:space="preserve">showed that it is possible to build a stochastic model from the deterministic compartmental model of equation (</w:t>
      </w:r>
      <w:hyperlink w:anchor="lam">
        <w:r>
          <w:rPr>
            <w:rStyle w:val="Hyperlink"/>
          </w:rPr>
          <w:t xml:space="preserve">[lam]</w:t>
        </w:r>
      </w:hyperlink>
      <w:r>
        <w:t xml:space="preserve">). The stochastic model corresponds to a continuous time Markov chain with transition rate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t>=</m:t>
          </m:r>
          <m:d>
            <m:dPr>
              <m:begChr m:val="("/>
              <m:endChr m:val=")"/>
              <m:grow/>
            </m:dPr>
            <m:e>
              <m:m>
                <m:mPr>
                  <m:baseJc m:val="center"/>
                  <m:plcHide m:val="1"/>
                  <m:mcs>
                    <m:mc>
                      <m:mcPr>
                        <m:mcJc m:val="center"/>
                        <m:count m:val="1"/>
                      </m:mcPr>
                    </m:mc>
                    <m:mc>
                      <m:mcPr>
                        <m:mcJc m:val="center"/>
                        <m:count m:val="1"/>
                      </m:mcPr>
                    </m:mc>
                  </m:mcs>
                </m:mPr>
                <m:mr>
                  <m:e>
                    <m:r>
                      <m:rPr>
                        <m:sty m:val="b"/>
                      </m:rPr>
                      <m:t>B</m:t>
                    </m:r>
                  </m:e>
                  <m:e>
                    <m:r>
                      <m:rPr>
                        <m:sty m:val="b"/>
                      </m:rPr>
                      <m:t>0</m:t>
                    </m:r>
                  </m:e>
                </m:mr>
                <m:mr>
                  <m:e>
                    <m:sSup>
                      <m:e>
                        <m:r>
                          <m:rPr>
                            <m:sty m:val="b"/>
                          </m:rPr>
                          <m:t>z</m:t>
                        </m:r>
                      </m:e>
                      <m:sup>
                        <m:r>
                          <m:t>T</m:t>
                        </m:r>
                      </m:sup>
                    </m:sSup>
                  </m:e>
                  <m:e>
                    <m:r>
                      <m:t>0</m:t>
                    </m:r>
                  </m:e>
                </m:mr>
              </m:m>
            </m:e>
          </m:d>
          <m:r>
            <m:t>.</m:t>
          </m:r>
        </m:oMath>
      </m:oMathPara>
    </w:p>
    <w:p>
      <w:pPr>
        <w:pStyle w:val="FirstParagraph"/>
      </w:pPr>
      <w:r>
        <w:t xml:space="preserve">This transition rate matrix contains as elements the probabilities that carbon atoms move across different pools and get released from the entire system. It also clearly establish the relation between deterministic models of differential equations and stochastic models at the level of atoms, and can be used to compute age and transit time distributions.</w:t>
      </w:r>
    </w:p>
    <w:p>
      <w:pPr>
        <w:pStyle w:val="BodyText"/>
      </w:pPr>
      <w:r>
        <w:t xml:space="preserve">The age pdf for this type of linear models at steady-state can be computed by the following expression</w:t>
      </w:r>
      <w:r>
        <w:t xml:space="preserve"> </w:t>
      </w:r>
    </w:p>
    <w:p>
      <w:pPr>
        <w:pStyle w:val="BodyText"/>
      </w:pPr>
      <m:oMathPara>
        <m:oMathParaPr>
          <m:jc m:val="center"/>
        </m:oMathParaPr>
        <m:oMath>
          <m:r>
            <m:t>f</m:t>
          </m:r>
          <m:r>
            <m:t>(</m:t>
          </m:r>
          <m:r>
            <m:t>a</m:t>
          </m:r>
          <m:r>
            <m:t>)</m:t>
          </m:r>
          <m:r>
            <m:t>=</m:t>
          </m:r>
          <m:r>
            <m:t>−</m:t>
          </m:r>
          <m:sSup>
            <m:e>
              <m:r>
                <m:rPr>
                  <m:sty m:val="b"/>
                </m:rPr>
                <m:t>1</m:t>
              </m:r>
            </m:e>
            <m:sup>
              <m:r>
                <m:t>T</m:t>
              </m:r>
            </m:sup>
          </m:sSup>
          <m:r>
            <m:t>⋅</m:t>
          </m:r>
          <m:r>
            <m:rPr>
              <m:sty m:val="b"/>
            </m:rPr>
            <m:t>B</m:t>
          </m:r>
          <m:r>
            <m:t>⋅</m:t>
          </m:r>
          <m:sSup>
            <m:e>
              <m:r>
                <m:t>e</m:t>
              </m:r>
            </m:e>
            <m:sup>
              <m:r>
                <m:t>a</m:t>
              </m:r>
              <m:r>
                <m:t>⋅</m:t>
              </m:r>
              <m:r>
                <m:rPr>
                  <m:sty m:val="b"/>
                </m:rPr>
                <m:t>B</m:t>
              </m:r>
            </m:sup>
          </m:sSup>
          <m:r>
            <m:t>⋅</m:t>
          </m:r>
          <m:f>
            <m:fPr>
              <m:type m:val="bar"/>
            </m:fPr>
            <m:num>
              <m:sSup>
                <m:e>
                  <m:r>
                    <m:rPr>
                      <m:sty m:val="b"/>
                    </m:rPr>
                    <m:t>x</m:t>
                  </m:r>
                </m:e>
                <m:sup>
                  <m:r>
                    <m:t>*</m:t>
                  </m:r>
                </m:sup>
              </m:sSup>
            </m:num>
            <m:den>
              <m:r>
                <m:t>∑</m:t>
              </m:r>
              <m:sSup>
                <m:e>
                  <m:r>
                    <m:rPr>
                      <m:sty m:val="b"/>
                    </m:rPr>
                    <m:t>x</m:t>
                  </m:r>
                </m:e>
                <m:sup>
                  <m:r>
                    <m:t>*</m:t>
                  </m:r>
                </m:sup>
              </m:sSup>
            </m:den>
          </m:f>
          <m:r>
            <m:t>,</m:t>
          </m:r>
          <m:r>
            <m:t> </m:t>
          </m:r>
          <m:r>
            <m:t>a</m:t>
          </m:r>
          <m:r>
            <m:t>≥</m:t>
          </m:r>
          <m:r>
            <m:t>0</m:t>
          </m:r>
          <m:r>
            <m:t>,</m:t>
          </m:r>
        </m:oMath>
      </m:oMathPara>
    </w:p>
    <w:p>
      <w:pPr>
        <w:pStyle w:val="FirstParagraph"/>
      </w:pPr>
      <w:r>
        <w:t xml:space="preserve">where</w:t>
      </w:r>
      <w:r>
        <w:t xml:space="preserve"> </w:t>
      </w:r>
      <m:oMath>
        <m:r>
          <m:t>a</m:t>
        </m:r>
      </m:oMath>
      <w:r>
        <w:t xml:space="preserve"> </w:t>
      </w:r>
      <w:r>
        <w:t xml:space="preserve">is the random variable age,</w:t>
      </w:r>
      <w:r>
        <w:t xml:space="preserve"> </w:t>
      </w:r>
      <m:oMath>
        <m:sSup>
          <m:e>
            <m:r>
              <m:rPr>
                <m:sty m:val="b"/>
              </m:rPr>
              <m:t>1</m:t>
            </m:r>
          </m:e>
          <m:sup>
            <m:r>
              <m:t>T</m:t>
            </m:r>
          </m:sup>
        </m:sSup>
      </m:oMath>
      <w:r>
        <w:t xml:space="preserve"> </w:t>
      </w:r>
      <w:r>
        <w:t xml:space="preserve">is the transpose of the</w:t>
      </w:r>
      <w:r>
        <w:t xml:space="preserve"> </w:t>
      </w:r>
      <m:oMath>
        <m:r>
          <m:t>n</m:t>
        </m:r>
      </m:oMath>
      <w:r>
        <w:t xml:space="preserve">-dimensional vector containing ones,</w:t>
      </w:r>
      <w:r>
        <w:t xml:space="preserve"> </w:t>
      </w:r>
      <m:oMath>
        <m:sSup>
          <m:e>
            <m:r>
              <m:t>e</m:t>
            </m:r>
          </m:e>
          <m:sup>
            <m:r>
              <m:t>a</m:t>
            </m:r>
            <m:r>
              <m:t>⋅</m:t>
            </m:r>
            <m:r>
              <m:rPr>
                <m:sty m:val="b"/>
              </m:rPr>
              <m:t>B</m:t>
            </m:r>
          </m:sup>
        </m:sSup>
      </m:oMath>
      <w:r>
        <w:t xml:space="preserve"> </w:t>
      </w:r>
      <w:r>
        <w:t xml:space="preserve">is the matrix exponential computed for each value of</w:t>
      </w:r>
      <w:r>
        <w:t xml:space="preserve"> </w:t>
      </w:r>
      <m:oMath>
        <m:r>
          <m:t>a</m:t>
        </m:r>
      </m:oMath>
      <w:r>
        <w:t xml:space="preserve">, and</w:t>
      </w:r>
      <w:r>
        <w:t xml:space="preserve"> </w:t>
      </w:r>
      <m:oMath>
        <m:r>
          <m:t>∑</m:t>
        </m:r>
        <m:sSup>
          <m:e>
            <m:r>
              <m:rPr>
                <m:sty m:val="b"/>
              </m:rPr>
              <m:t>x</m:t>
            </m:r>
          </m:e>
          <m:sup>
            <m:r>
              <m:t>*</m:t>
            </m:r>
          </m:sup>
        </m:sSup>
      </m:oMath>
      <w:r>
        <w:t xml:space="preserve"> </w:t>
      </w:r>
      <w:r>
        <w:t xml:space="preserve">is the sum of the stocks of all pools at steady-state.</w:t>
      </w:r>
    </w:p>
    <w:p>
      <w:pPr>
        <w:pStyle w:val="BodyText"/>
      </w:pPr>
      <w:r>
        <w:t xml:space="preserve">The mean, i.e. expected value, of the age pdf can be computed by the expression</w:t>
      </w:r>
    </w:p>
    <w:p>
      <w:pPr>
        <w:pStyle w:val="BodyText"/>
      </w:pPr>
      <m:oMathPara>
        <m:oMathParaPr>
          <m:jc m:val="center"/>
        </m:oMathParaPr>
        <m:oMath>
          <m:r>
            <m:rPr>
              <m:sty m:val="p"/>
              <m:scr m:val="double-struck"/>
            </m:rPr>
            <m:t>E</m:t>
          </m:r>
          <m:r>
            <m:t>(</m:t>
          </m:r>
          <m:r>
            <m:t>a</m:t>
          </m:r>
          <m:r>
            <m:t>)</m:t>
          </m:r>
          <m:r>
            <m:t>=</m:t>
          </m:r>
          <m:r>
            <m:t>−</m:t>
          </m:r>
          <m:sSup>
            <m:e>
              <m:r>
                <m:rPr>
                  <m:sty m:val="b"/>
                </m:rPr>
                <m:t>1</m:t>
              </m:r>
            </m:e>
            <m:sup>
              <m:r>
                <m:t>T</m:t>
              </m:r>
            </m:sup>
          </m:sSup>
          <m:r>
            <m:t>⋅</m:t>
          </m:r>
          <m:sSup>
            <m:e>
              <m:r>
                <m:rPr>
                  <m:sty m:val="b"/>
                </m:rPr>
                <m:t>B</m:t>
              </m:r>
            </m:e>
            <m:sup>
              <m:r>
                <m:t>−</m:t>
              </m:r>
              <m:r>
                <m:t>1</m:t>
              </m:r>
            </m:sup>
          </m:sSup>
          <m:r>
            <m:t>⋅</m:t>
          </m:r>
          <m:f>
            <m:fPr>
              <m:type m:val="bar"/>
            </m:fPr>
            <m:num>
              <m:sSup>
                <m:e>
                  <m:r>
                    <m:rPr>
                      <m:sty m:val="b"/>
                    </m:rPr>
                    <m:t>x</m:t>
                  </m:r>
                </m:e>
                <m:sup>
                  <m:r>
                    <m:t>*</m:t>
                  </m:r>
                </m:sup>
              </m:sSup>
            </m:num>
            <m:den>
              <m:r>
                <m:t>∑</m:t>
              </m:r>
              <m:sSup>
                <m:e>
                  <m:r>
                    <m:rPr>
                      <m:sty m:val="b"/>
                    </m:rPr>
                    <m:t>x</m:t>
                  </m:r>
                </m:e>
                <m:sup>
                  <m:r>
                    <m:t>*</m:t>
                  </m:r>
                </m:sup>
              </m:sSup>
            </m:den>
          </m:f>
          <m:r>
            <m:t>.</m:t>
          </m:r>
        </m:oMath>
      </m:oMathPara>
    </w:p>
    <w:p>
      <w:pPr>
        <w:pStyle w:val="Heading2"/>
      </w:pPr>
      <w:bookmarkStart w:id="25" w:name="computation-of-transit-time-distributions"/>
      <w:r>
        <w:t xml:space="preserve">Computation of transit time distributions</w:t>
      </w:r>
      <w:bookmarkEnd w:id="25"/>
    </w:p>
    <w:p>
      <w:pPr>
        <w:pStyle w:val="FirstParagraph"/>
      </w:pPr>
      <w:r>
        <w:t xml:space="preserve">Although we propose age distributions to characterize persistence of SOM, it is also useful to compute transit time distributions of soil organic matter for comparison purposes, and to get an idea of the age structure of the carbon that is released from soils.</w:t>
      </w:r>
    </w:p>
    <w:p>
      <w:pPr>
        <w:pStyle w:val="BodyText"/>
      </w:pPr>
      <w:r>
        <w:t xml:space="preserve">The pdf of the transit time variable</w:t>
      </w:r>
      <w:r>
        <w:t xml:space="preserve"> </w:t>
      </w:r>
      <m:oMath>
        <m:r>
          <m:t>τ</m:t>
        </m:r>
      </m:oMath>
      <w:r>
        <w:t xml:space="preserve"> </w:t>
      </w:r>
      <w:r>
        <w:t xml:space="preserve">for models of the form of equation (</w:t>
      </w:r>
      <w:hyperlink w:anchor="lam">
        <w:r>
          <w:rPr>
            <w:rStyle w:val="Hyperlink"/>
          </w:rPr>
          <w:t xml:space="preserve">[lam]</w:t>
        </w:r>
      </w:hyperlink>
      <w:r>
        <w:t xml:space="preserve">) is given by</w:t>
      </w:r>
      <w:r>
        <w:t xml:space="preserve"> </w:t>
      </w:r>
    </w:p>
    <w:p>
      <w:pPr>
        <w:pStyle w:val="BodyText"/>
      </w:pPr>
      <m:oMathPara>
        <m:oMathParaPr>
          <m:jc m:val="center"/>
        </m:oMathParaPr>
        <m:oMath>
          <m:r>
            <m:t>f</m:t>
          </m:r>
          <m:r>
            <m:t>(</m:t>
          </m:r>
          <m:r>
            <m:t>τ</m:t>
          </m:r>
          <m:r>
            <m:t>)</m:t>
          </m:r>
          <m:r>
            <m:t>=</m:t>
          </m:r>
          <m:r>
            <m:t>−</m:t>
          </m:r>
          <m:sSup>
            <m:e>
              <m:r>
                <m:rPr>
                  <m:sty m:val="b"/>
                </m:rPr>
                <m:t>1</m:t>
              </m:r>
            </m:e>
            <m:sup>
              <m:r>
                <m:t>T</m:t>
              </m:r>
            </m:sup>
          </m:sSup>
          <m:r>
            <m:t>⋅</m:t>
          </m:r>
          <m:r>
            <m:rPr>
              <m:sty m:val="b"/>
            </m:rPr>
            <m:t>B</m:t>
          </m:r>
          <m:r>
            <m:t>⋅</m:t>
          </m:r>
          <m:sSup>
            <m:e>
              <m:r>
                <m:t>e</m:t>
              </m:r>
            </m:e>
            <m:sup>
              <m:r>
                <m:t>τ</m:t>
              </m:r>
              <m:r>
                <m:t>⋅</m:t>
              </m:r>
              <m:r>
                <m:rPr>
                  <m:sty m:val="b"/>
                </m:rPr>
                <m:t>B</m:t>
              </m:r>
            </m:sup>
          </m:sSup>
          <m:r>
            <m:t>⋅</m:t>
          </m:r>
          <m:f>
            <m:fPr>
              <m:type m:val="bar"/>
            </m:fPr>
            <m:num>
              <m:r>
                <m:rPr>
                  <m:sty m:val="b"/>
                </m:rPr>
                <m:t>u</m:t>
              </m:r>
            </m:num>
            <m:den>
              <m:r>
                <m:t>∑</m:t>
              </m:r>
              <m:r>
                <m:rPr>
                  <m:sty m:val="b"/>
                </m:rPr>
                <m:t>u</m:t>
              </m:r>
            </m:den>
          </m:f>
          <m:r>
            <m:t>,</m:t>
          </m:r>
          <m:r>
            <m:t> </m:t>
          </m:r>
          <m:r>
            <m:t>τ</m:t>
          </m:r>
          <m:r>
            <m:t>≥</m:t>
          </m:r>
          <m:r>
            <m:t>0</m:t>
          </m:r>
          <m:r>
            <m:t>,</m:t>
          </m:r>
        </m:oMath>
      </m:oMathPara>
    </w:p>
    <w:p>
      <w:pPr>
        <w:pStyle w:val="FirstParagraph"/>
      </w:pPr>
      <w:r>
        <w:t xml:space="preserve">and the mean transit time by</w:t>
      </w:r>
    </w:p>
    <w:p>
      <w:pPr>
        <w:pStyle w:val="BodyText"/>
      </w:pPr>
      <m:oMathPara>
        <m:oMathParaPr>
          <m:jc m:val="center"/>
        </m:oMathParaPr>
        <m:oMath>
          <m:r>
            <m:rPr>
              <m:sty m:val="p"/>
              <m:scr m:val="double-struck"/>
            </m:rPr>
            <m:t>E</m:t>
          </m:r>
          <m:r>
            <m:t>(</m:t>
          </m:r>
          <m:r>
            <m:t>τ</m:t>
          </m:r>
          <m:r>
            <m:t>)</m:t>
          </m:r>
          <m:r>
            <m:t>=</m:t>
          </m:r>
          <m:r>
            <m:t>−</m:t>
          </m:r>
          <m:sSup>
            <m:e>
              <m:r>
                <m:rPr>
                  <m:sty m:val="b"/>
                </m:rPr>
                <m:t>1</m:t>
              </m:r>
            </m:e>
            <m:sup>
              <m:r>
                <m:t>T</m:t>
              </m:r>
            </m:sup>
          </m:sSup>
          <m:r>
            <m:t>⋅</m:t>
          </m:r>
          <m:sSup>
            <m:e>
              <m:r>
                <m:rPr>
                  <m:sty m:val="b"/>
                </m:rPr>
                <m:t>B</m:t>
              </m:r>
            </m:e>
            <m:sup>
              <m:r>
                <m:t>−</m:t>
              </m:r>
              <m:r>
                <m:t>1</m:t>
              </m:r>
            </m:sup>
          </m:sSup>
          <m:r>
            <m:t>⋅</m:t>
          </m:r>
          <m:f>
            <m:fPr>
              <m:type m:val="bar"/>
            </m:fPr>
            <m:num>
              <m:r>
                <m:rPr>
                  <m:sty m:val="b"/>
                </m:rPr>
                <m:t>u</m:t>
              </m:r>
            </m:num>
            <m:den>
              <m:r>
                <m:t>∑</m:t>
              </m:r>
              <m:r>
                <m:rPr>
                  <m:sty m:val="b"/>
                </m:rPr>
                <m:t>u</m:t>
              </m:r>
            </m:den>
          </m:f>
          <m:r>
            <m:t>.</m:t>
          </m:r>
        </m:oMath>
      </m:oMathPara>
    </w:p>
    <w:p>
      <w:pPr>
        <w:pStyle w:val="FirstParagraph"/>
      </w:pPr>
      <w:r>
        <w:t xml:space="preserve">It is important to note that the mean transit time can also be obtained dividing the stock of mass at steady-state by either the input or the output flux. This metric is also called the turnover time, and it is used in many applications to characterize time scales of carbon cycling in ecosystems</w:t>
      </w:r>
      <w:r>
        <w:t xml:space="preserve"> </w:t>
      </w:r>
      <w:r>
        <w:t xml:space="preserve">.</w:t>
      </w:r>
    </w:p>
    <w:p>
      <w:pPr>
        <w:pStyle w:val="Heading2"/>
      </w:pPr>
      <w:bookmarkStart w:id="26" w:name="hypothetical-relation-between-ages-and-transit-times"/>
      <w:r>
        <w:t xml:space="preserve">Hypothetical relation between ages and transit times</w:t>
      </w:r>
      <w:bookmarkEnd w:id="26"/>
    </w:p>
    <w:p>
      <w:pPr>
        <w:pStyle w:val="FirstParagraph"/>
      </w:pPr>
      <w:r>
        <w:t xml:space="preserve">Following</w:t>
      </w:r>
      <w:r>
        <w:t xml:space="preserve"> </w:t>
      </w:r>
      <w:r>
        <w:t xml:space="preserve">, we hypothesize three different type of relations between ages and transit times of soil organic carbon: I) the age and the transit time distributions are equal, II) ages are younger than transit times, III) ages are</w:t>
      </w:r>
      <w:r>
        <w:t xml:space="preserve"> </w:t>
      </w:r>
      <w:r>
        <w:t xml:space="preserve">older than transit time (Figure</w:t>
      </w:r>
      <w:r>
        <w:t xml:space="preserve"> </w:t>
      </w:r>
      <w:hyperlink w:anchor="fig:hypotheses">
        <w:r>
          <w:rPr>
            <w:rStyle w:val="Hyperlink"/>
          </w:rPr>
          <w:t xml:space="preserve">[fig:hypotheses]</w:t>
        </w:r>
      </w:hyperlink>
      <w:r>
        <w:t xml:space="preserve">). The type I relation implies that the soil organic matter system is well mixed and all carbon atoms in soil have the same probability of being mineralized and released as CO</w:t>
      </w:r>
      <m:oMath>
        <m:sSub>
          <m:e>
            <m:r>
              <m:t/>
            </m:r>
          </m:e>
          <m:sub>
            <m:r>
              <m:t>2</m:t>
            </m:r>
          </m:sub>
        </m:sSub>
      </m:oMath>
      <w:r>
        <w:t xml:space="preserve"> </w:t>
      </w:r>
      <w:r>
        <w:t xml:space="preserve">or as dissolved organic carbon. When plotting ages versus transit times of carbon, type I systems would lie along the 1:1 line (Figure</w:t>
      </w:r>
      <w:r>
        <w:t xml:space="preserve"> </w:t>
      </w:r>
      <w:hyperlink w:anchor="fig:hypotheses">
        <w:r>
          <w:rPr>
            <w:rStyle w:val="Hyperlink"/>
          </w:rPr>
          <w:t xml:space="preserve">[fig:hypotheses]</w:t>
        </w:r>
      </w:hyperlink>
      <w:r>
        <w:t xml:space="preserve">).</w:t>
      </w:r>
    </w:p>
    <w:p>
      <w:pPr>
        <w:pStyle w:val="BodyText"/>
      </w:pPr>
      <w:r>
        <w:t xml:space="preserve">If the transit time is longer than the age (type II), the system retains carbon for a relatively long time before it is released. This type of behavior is common in systems in which physical transport or recycling are dominant mechanisms. For example, when a physical transport pathway moves carbon atoms sequentially before they are released, or when carbon is continuously recycled by microorganisms and only released outside the system after a long time. In these cases, the age of atoms in the release flux is older than the age of atoms stored inside the system, and a plot of ages versus transit times would occupy the region above the 1:1 line (Figure</w:t>
      </w:r>
      <w:r>
        <w:t xml:space="preserve"> </w:t>
      </w:r>
      <w:hyperlink w:anchor="fig:hypotheses">
        <w:r>
          <w:rPr>
            <w:rStyle w:val="Hyperlink"/>
          </w:rPr>
          <w:t xml:space="preserve">[fig:hypotheses]</w:t>
        </w:r>
      </w:hyperlink>
      <w:r>
        <w:t xml:space="preserve">).</w:t>
      </w:r>
      <w:r>
        <w:t xml:space="preserve"> </w:t>
      </w:r>
      <w:r>
        <w:t xml:space="preserve">We can also think about the type II relation as representative of a process with multiple steps in the degradation of organic matter, in which fresh OM is transformed into multiple products before it is mineralized and released from the soil in a final step. Or alternatively, we could also think of soil as a chromatography column with new C added at the top and oldest C released from the bottom in dissolved form.</w:t>
      </w:r>
    </w:p>
    <w:p>
      <w:pPr>
        <w:pStyle w:val="BodyText"/>
      </w:pPr>
      <w:r>
        <w:t xml:space="preserve">Recent research however, suggests that multiple biological, physical, and chemical mechanisms contribute to the (de)stabilization of SOM, and the probability of a carbon atom being mineralized at any given time would depend on the combined effect of these mechanisms without a specific progression of degradation steps, or sequential physical movement</w:t>
      </w:r>
      <w:r>
        <w:t xml:space="preserve"> </w:t>
      </w:r>
      <w:r>
        <w:t xml:space="preserve">. Therefore, we hypothesize that the type III relation, older ages than transit times, is the prevalent relation for SOC. This would imply that ages and transit times of SOC would occupy the lower region below the 1:1 line (Figure</w:t>
      </w:r>
      <w:r>
        <w:t xml:space="preserve"> </w:t>
      </w:r>
      <w:hyperlink w:anchor="fig:hypotheses">
        <w:r>
          <w:rPr>
            <w:rStyle w:val="Hyperlink"/>
          </w:rPr>
          <w:t xml:space="preserve">[fig:hypotheses]</w:t>
        </w:r>
      </w:hyperlink>
      <w:r>
        <w:t xml:space="preserve">).</w:t>
      </w:r>
    </w:p>
    <w:p>
      <w:pPr>
        <w:pStyle w:val="CaptionedFigure"/>
      </w:pPr>
      <w:r>
        <w:t xml:space="preserve">Possible relations between ages and transit times of organic matter in soils. Axes in arbitrary time units, e.g. days, months, years.</w:t>
      </w:r>
    </w:p>
    <w:p>
      <w:pPr>
        <w:pStyle w:val="ImageCaption"/>
      </w:pPr>
      <w:r>
        <w:t xml:space="preserve">Possible relations between ages and transit times of organic matter in soils. Axes in arbitrary time units, e.g. days, months, years.</w:t>
      </w:r>
    </w:p>
    <w:p>
      <w:pPr>
        <w:pStyle w:val="Heading1"/>
      </w:pPr>
      <w:bookmarkStart w:id="27" w:name="methods"/>
      <w:r>
        <w:t xml:space="preserve">Methods</w:t>
      </w:r>
      <w:bookmarkEnd w:id="27"/>
    </w:p>
    <w:p>
      <w:pPr>
        <w:pStyle w:val="FirstParagraph"/>
      </w:pPr>
      <w:r>
        <w:t xml:space="preserve">Equations</w:t>
      </w:r>
      <w:r>
        <w:t xml:space="preserve"> </w:t>
      </w:r>
      <w:hyperlink w:anchor="agepdf">
        <w:r>
          <w:rPr>
            <w:rStyle w:val="Hyperlink"/>
          </w:rPr>
          <w:t xml:space="preserve">[agepdf]</w:t>
        </w:r>
      </w:hyperlink>
      <w:r>
        <w:t xml:space="preserve"> </w:t>
      </w:r>
      <w:r>
        <w:t xml:space="preserve">to</w:t>
      </w:r>
      <w:r>
        <w:t xml:space="preserve"> </w:t>
      </w:r>
      <w:hyperlink w:anchor="meantt">
        <w:r>
          <w:rPr>
            <w:rStyle w:val="Hyperlink"/>
          </w:rPr>
          <w:t xml:space="preserve">[meantt]</w:t>
        </w:r>
      </w:hyperlink>
      <w:r>
        <w:t xml:space="preserve"> </w:t>
      </w:r>
      <w:r>
        <w:t xml:space="preserve">as well as additional formulas for the quantiles of these distributions described in</w:t>
      </w:r>
      <w:r>
        <w:t xml:space="preserve"> </w:t>
      </w:r>
      <w:r>
        <w:t xml:space="preserve"> </w:t>
      </w:r>
      <w:r>
        <w:t xml:space="preserve">were implemented in the R package SoilR</w:t>
      </w:r>
      <w:r>
        <w:t xml:space="preserve"> </w:t>
      </w:r>
      <w:r>
        <w:t xml:space="preserve">.</w:t>
      </w:r>
    </w:p>
    <w:p>
      <w:pPr>
        <w:pStyle w:val="BodyText"/>
      </w:pPr>
      <w:r>
        <w:t xml:space="preserve">We applied these formulas to a variety of SOC models reported in the literature (Table</w:t>
      </w:r>
      <w:r>
        <w:t xml:space="preserve"> </w:t>
      </w:r>
      <w:hyperlink w:anchor="tab:models">
        <w:r>
          <w:rPr>
            <w:rStyle w:val="Hyperlink"/>
          </w:rPr>
          <w:t xml:space="preserve">[tab:models]</w:t>
        </w:r>
      </w:hyperlink>
      <w:r>
        <w:t xml:space="preserve">). We selected popular SOC models such as RothC and Century</w:t>
      </w:r>
      <w:r>
        <w:t xml:space="preserve"> </w:t>
      </w:r>
      <w:r>
        <w:t xml:space="preserve">, using reference parameter values reported in their original publications; i.e. parameter values that are not affected by the temperature and moisture modifiers implemented in these models. For RothC, we excluded its inert pool because it has a decomposition rate equal to zero and therefore the age is infinitely large at steady-state and the matrix</w:t>
      </w:r>
      <w:r>
        <w:t xml:space="preserve"> </w:t>
      </w:r>
      <m:oMath>
        <m:r>
          <m:rPr>
            <m:sty m:val="b"/>
          </m:rPr>
          <m:t>B</m:t>
        </m:r>
      </m:oMath>
      <w:r>
        <w:t xml:space="preserve"> </w:t>
      </w:r>
      <w:r>
        <w:t xml:space="preserve">is not invertible</w:t>
      </w:r>
      <w:r>
        <w:t xml:space="preserve"> </w:t>
      </w:r>
      <w:r>
        <w:t xml:space="preserve">.</w:t>
      </w:r>
    </w:p>
    <w:p>
      <w:pPr>
        <w:pStyle w:val="BodyText"/>
      </w:pPr>
      <w:r>
        <w:t xml:space="preserve">We also selected the Yasso07 model because it has been parameterized using an extensive dataset of litter decomposition experiments</w:t>
      </w:r>
      <w:r>
        <w:t xml:space="preserve"> </w:t>
      </w:r>
      <w:r>
        <w:t xml:space="preserve">, and it has been implemented as part of the MPI Earth system model</w:t>
      </w:r>
      <w:r>
        <w:t xml:space="preserve"> </w:t>
      </w:r>
      <w:r>
        <w:t xml:space="preserve">. Also, the ICBM model was selected due to its simplicity and yet enough complexity to represent stabilization of SOC</w:t>
      </w:r>
      <w:r>
        <w:t xml:space="preserve"> </w:t>
      </w:r>
      <w:r>
        <w:t xml:space="preserve">.</w:t>
      </w:r>
    </w:p>
    <w:p>
      <w:pPr>
        <w:pStyle w:val="BodyText"/>
      </w:pPr>
      <w:r>
        <w:t xml:space="preserve">In addition, we selected a set of models used for global-scale applications. First, we selected three different parameterizations of the Community Land Model version 4 (CLM4cn), for needleleaf, deciduous, and tropical forest plant functional types (PFT). These parameterizations differ mostly on the amount and distribution of C inputs to the soil</w:t>
      </w:r>
      <w:r>
        <w:t xml:space="preserve"> </w:t>
      </w:r>
      <w:r>
        <w:t xml:space="preserve">. Second, we used three versions of reduced complexity models constructed from the output of three Earth system models</w:t>
      </w:r>
      <w:r>
        <w:t xml:space="preserve"> </w:t>
      </w:r>
      <w:r>
        <w:t xml:space="preserve">. For these models, we had sets of parameter values for the SOC component and for each individual grid cell, corrected to match radiocarbon values observed in a dataset of soil radiocarbon profiles as reported in</w:t>
      </w:r>
      <w:r>
        <w:t xml:space="preserve"> </w:t>
      </w:r>
      <w:r>
        <w:t xml:space="preserve">. We used the global mean of these parameter values to compare age and transit time distributions among all models, and used the complete set of gridded values to calculate mean and 95% quantiles of the age and transit time distributions.</w:t>
      </w:r>
    </w:p>
    <w:p>
      <w:pPr>
        <w:pStyle w:val="TableCaption"/>
      </w:pPr>
      <w:r>
        <w:t xml:space="preserve">Models used for the calculation of age and transit time distributions. Their matrix representation can be found in the Appendix.</w:t>
      </w:r>
    </w:p>
    <w:tbl>
      <w:tblPr>
        <w:tblStyle w:val="Table"/>
        <w:tblW w:type="pct" w:w="0.0"/>
        <w:tblLook w:firstRow="1"/>
        <w:tblCaption w:val="Models used for the calculation of age and transit time distributions. Their matrix representation can be found in the Appendix."/>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Number of pools</w:t>
            </w:r>
          </w:p>
        </w:tc>
        <w:tc>
          <w:tcPr>
            <w:tcBorders>
              <w:bottom w:val="single"/>
            </w:tcBorders>
            <w:vAlign w:val="bottom"/>
          </w:tcPr>
          <w:p>
            <w:pPr>
              <w:pStyle w:val="Compact"/>
              <w:jc w:val="left"/>
            </w:pPr>
            <w:r>
              <w:t xml:space="preserve">Reference</w:t>
            </w:r>
          </w:p>
        </w:tc>
      </w:tr>
      <w:tr>
        <w:tc>
          <w:p>
            <w:pPr>
              <w:pStyle w:val="Compact"/>
              <w:jc w:val="left"/>
            </w:pPr>
            <w:r>
              <w:t xml:space="preserve">RothC</w:t>
            </w:r>
          </w:p>
        </w:tc>
        <w:tc>
          <w:p>
            <w:pPr>
              <w:pStyle w:val="Compact"/>
              <w:jc w:val="left"/>
            </w:pPr>
            <w:r>
              <w:t xml:space="preserve">Rothamsted soil carbon model. This implementation excludes the inert pool.</w:t>
            </w:r>
          </w:p>
        </w:tc>
        <w:tc>
          <w:p>
            <w:pPr>
              <w:pStyle w:val="Compact"/>
              <w:jc w:val="center"/>
            </w:pPr>
            <w:r>
              <w:t xml:space="preserve">4</w:t>
            </w:r>
          </w:p>
        </w:tc>
        <w:tc>
          <w:p>
            <w:pPr>
              <w:pStyle w:val="Compact"/>
              <w:jc w:val="left"/>
            </w:pPr>
          </w:p>
        </w:tc>
      </w:tr>
      <w:tr>
        <w:tc>
          <w:p>
            <w:pPr>
              <w:pStyle w:val="Compact"/>
              <w:jc w:val="left"/>
            </w:pPr>
            <w:r>
              <w:t xml:space="preserve">Century</w:t>
            </w:r>
          </w:p>
        </w:tc>
        <w:tc>
          <w:p>
            <w:pPr>
              <w:pStyle w:val="Compact"/>
              <w:jc w:val="left"/>
            </w:pPr>
            <w:r>
              <w:t xml:space="preserve">Implementation of the Century model as originally described for temperate grasslands</w:t>
            </w:r>
          </w:p>
        </w:tc>
        <w:tc>
          <w:p>
            <w:pPr>
              <w:pStyle w:val="Compact"/>
              <w:jc w:val="center"/>
            </w:pPr>
            <w:r>
              <w:t xml:space="preserve">5</w:t>
            </w:r>
          </w:p>
        </w:tc>
        <w:tc>
          <w:p>
            <w:pPr>
              <w:pStyle w:val="Compact"/>
              <w:jc w:val="left"/>
            </w:pPr>
          </w:p>
        </w:tc>
      </w:tr>
      <w:tr>
        <w:tc>
          <w:p>
            <w:pPr>
              <w:pStyle w:val="Compact"/>
              <w:jc w:val="left"/>
            </w:pPr>
            <w:r>
              <w:t xml:space="preserve">Yasso07</w:t>
            </w:r>
          </w:p>
        </w:tc>
        <w:tc>
          <w:p>
            <w:pPr>
              <w:pStyle w:val="Compact"/>
              <w:jc w:val="left"/>
            </w:pPr>
            <w:r>
              <w:t xml:space="preserve">Model of litter decomposition parameterized from a global-scale database</w:t>
            </w:r>
          </w:p>
        </w:tc>
        <w:tc>
          <w:p>
            <w:pPr>
              <w:pStyle w:val="Compact"/>
              <w:jc w:val="center"/>
            </w:pPr>
            <w:r>
              <w:t xml:space="preserve">5</w:t>
            </w:r>
          </w:p>
        </w:tc>
        <w:tc>
          <w:p>
            <w:pPr>
              <w:pStyle w:val="Compact"/>
              <w:jc w:val="left"/>
            </w:pPr>
          </w:p>
        </w:tc>
      </w:tr>
      <w:tr>
        <w:tc>
          <w:p>
            <w:pPr>
              <w:pStyle w:val="Compact"/>
              <w:jc w:val="left"/>
            </w:pPr>
            <w:r>
              <w:t xml:space="preserve">ICBM</w:t>
            </w:r>
          </w:p>
        </w:tc>
        <w:tc>
          <w:p>
            <w:pPr>
              <w:pStyle w:val="Compact"/>
              <w:jc w:val="left"/>
            </w:pPr>
            <w:r>
              <w:t xml:space="preserve">Introductory carbon model, parameters for an experimental treatment without N and straw additions, interpreted as a control treatment</w:t>
            </w:r>
          </w:p>
        </w:tc>
        <w:tc>
          <w:p>
            <w:pPr>
              <w:pStyle w:val="Compact"/>
              <w:jc w:val="center"/>
            </w:pPr>
            <w:r>
              <w:t xml:space="preserve">2</w:t>
            </w:r>
          </w:p>
        </w:tc>
        <w:tc>
          <w:p>
            <w:pPr>
              <w:pStyle w:val="Compact"/>
              <w:jc w:val="left"/>
            </w:pPr>
          </w:p>
        </w:tc>
      </w:tr>
      <w:tr>
        <w:tc>
          <w:p>
            <w:pPr>
              <w:pStyle w:val="Compact"/>
              <w:jc w:val="left"/>
            </w:pPr>
            <w:r>
              <w:t xml:space="preserve">CLM4cn-Needleleaf</w:t>
            </w:r>
          </w:p>
        </w:tc>
        <w:tc>
          <w:p>
            <w:pPr>
              <w:pStyle w:val="Compact"/>
              <w:jc w:val="left"/>
            </w:pPr>
            <w:r>
              <w:t xml:space="preserve">Community land model version 4 with parameterization for needleleaf evergreen forest</w:t>
            </w:r>
          </w:p>
        </w:tc>
        <w:tc>
          <w:p>
            <w:pPr>
              <w:pStyle w:val="Compact"/>
              <w:jc w:val="center"/>
            </w:pPr>
            <w:r>
              <w:t xml:space="preserve">8</w:t>
            </w:r>
          </w:p>
        </w:tc>
        <w:tc>
          <w:p>
            <w:pPr>
              <w:pStyle w:val="Compact"/>
              <w:jc w:val="left"/>
            </w:pPr>
          </w:p>
        </w:tc>
      </w:tr>
      <w:tr>
        <w:tc>
          <w:p>
            <w:pPr>
              <w:pStyle w:val="Compact"/>
              <w:jc w:val="left"/>
            </w:pPr>
            <w:r>
              <w:t xml:space="preserve">CLM4cn-Deciduous</w:t>
            </w:r>
          </w:p>
        </w:tc>
        <w:tc>
          <w:p>
            <w:pPr>
              <w:pStyle w:val="Compact"/>
              <w:jc w:val="left"/>
            </w:pPr>
            <w:r>
              <w:t xml:space="preserve">Community land model version 4 with parameterization for deciduous forest</w:t>
            </w:r>
          </w:p>
        </w:tc>
        <w:tc>
          <w:p>
            <w:pPr>
              <w:pStyle w:val="Compact"/>
              <w:jc w:val="center"/>
            </w:pPr>
            <w:r>
              <w:t xml:space="preserve">8</w:t>
            </w:r>
          </w:p>
        </w:tc>
        <w:tc>
          <w:p>
            <w:pPr>
              <w:pStyle w:val="Compact"/>
              <w:jc w:val="left"/>
            </w:pPr>
          </w:p>
        </w:tc>
      </w:tr>
      <w:tr>
        <w:tc>
          <w:p>
            <w:pPr>
              <w:pStyle w:val="Compact"/>
              <w:jc w:val="left"/>
            </w:pPr>
            <w:r>
              <w:t xml:space="preserve">CLM4cn-Tropical</w:t>
            </w:r>
          </w:p>
        </w:tc>
        <w:tc>
          <w:p>
            <w:pPr>
              <w:pStyle w:val="Compact"/>
              <w:jc w:val="left"/>
            </w:pPr>
            <w:r>
              <w:t xml:space="preserve">Community land model version 4 with parameterization for tropical forest</w:t>
            </w:r>
          </w:p>
        </w:tc>
        <w:tc>
          <w:p>
            <w:pPr>
              <w:pStyle w:val="Compact"/>
              <w:jc w:val="center"/>
            </w:pPr>
            <w:r>
              <w:t xml:space="preserve">8</w:t>
            </w:r>
          </w:p>
        </w:tc>
        <w:tc>
          <w:p>
            <w:pPr>
              <w:pStyle w:val="Compact"/>
              <w:jc w:val="left"/>
            </w:pPr>
          </w:p>
        </w:tc>
      </w:tr>
      <w:tr>
        <w:tc>
          <w:p>
            <w:pPr>
              <w:pStyle w:val="Compact"/>
              <w:jc w:val="left"/>
            </w:pPr>
            <w:r>
              <w:t xml:space="preserve">CESM</w:t>
            </w:r>
          </w:p>
        </w:tc>
        <w:tc>
          <w:p>
            <w:pPr>
              <w:pStyle w:val="Compact"/>
              <w:jc w:val="left"/>
            </w:pPr>
            <w:r>
              <w:t xml:space="preserve">Reduced complexity model obtained from the output of the CESM model</w:t>
            </w:r>
          </w:p>
        </w:tc>
        <w:tc>
          <w:p>
            <w:pPr>
              <w:pStyle w:val="Compact"/>
              <w:jc w:val="center"/>
            </w:pPr>
            <w:r>
              <w:t xml:space="preserve">3</w:t>
            </w:r>
          </w:p>
        </w:tc>
        <w:tc>
          <w:p>
            <w:pPr>
              <w:pStyle w:val="Compact"/>
              <w:jc w:val="left"/>
            </w:pPr>
          </w:p>
        </w:tc>
      </w:tr>
      <w:tr>
        <w:tc>
          <w:p>
            <w:pPr>
              <w:pStyle w:val="Compact"/>
              <w:jc w:val="left"/>
            </w:pPr>
            <w:r>
              <w:t xml:space="preserve">IPSL</w:t>
            </w:r>
          </w:p>
        </w:tc>
        <w:tc>
          <w:p>
            <w:pPr>
              <w:pStyle w:val="Compact"/>
              <w:jc w:val="left"/>
            </w:pPr>
            <w:r>
              <w:t xml:space="preserve">Reduced complexity model obtained from the output of the IPSL model</w:t>
            </w:r>
          </w:p>
        </w:tc>
        <w:tc>
          <w:p>
            <w:pPr>
              <w:pStyle w:val="Compact"/>
              <w:jc w:val="center"/>
            </w:pPr>
            <w:r>
              <w:t xml:space="preserve">3</w:t>
            </w:r>
          </w:p>
        </w:tc>
        <w:tc>
          <w:p>
            <w:pPr>
              <w:pStyle w:val="Compact"/>
              <w:jc w:val="left"/>
            </w:pPr>
          </w:p>
        </w:tc>
      </w:tr>
      <w:tr>
        <w:tc>
          <w:p>
            <w:pPr>
              <w:pStyle w:val="Compact"/>
              <w:jc w:val="left"/>
            </w:pPr>
            <w:r>
              <w:t xml:space="preserve">MRI</w:t>
            </w:r>
          </w:p>
        </w:tc>
        <w:tc>
          <w:p>
            <w:pPr>
              <w:pStyle w:val="Compact"/>
              <w:jc w:val="left"/>
            </w:pPr>
            <w:r>
              <w:t xml:space="preserve">Reduced complexity model obtained from the output of the MRI model</w:t>
            </w:r>
          </w:p>
        </w:tc>
        <w:tc>
          <w:p>
            <w:pPr>
              <w:pStyle w:val="Compact"/>
              <w:jc w:val="center"/>
            </w:pPr>
            <w:r>
              <w:t xml:space="preserve">3</w:t>
            </w:r>
          </w:p>
        </w:tc>
        <w:tc>
          <w:p>
            <w:pPr>
              <w:pStyle w:val="Compact"/>
              <w:jc w:val="left"/>
            </w:pPr>
          </w:p>
        </w:tc>
      </w:tr>
    </w:tbl>
    <w:p>
      <w:pPr>
        <w:pStyle w:val="BodyText"/>
      </w:pPr>
      <w:r>
        <w:t xml:space="preserve">For each model, we plotted the relation between age and transit time and tested whether relation type I, II, or III (Figure</w:t>
      </w:r>
      <w:r>
        <w:t xml:space="preserve"> </w:t>
      </w:r>
      <w:hyperlink w:anchor="fig:hypotheses">
        <w:r>
          <w:rPr>
            <w:rStyle w:val="Hyperlink"/>
          </w:rPr>
          <w:t xml:space="preserve">[fig:hypotheses]</w:t>
        </w:r>
      </w:hyperlink>
      <w:r>
        <w:t xml:space="preserve">) hold. Code to reproduce all calculations is presented in the supplementary material.</w:t>
      </w:r>
    </w:p>
    <w:p>
      <w:pPr>
        <w:pStyle w:val="Heading1"/>
      </w:pPr>
      <w:bookmarkStart w:id="28" w:name="results"/>
      <w:r>
        <w:t xml:space="preserve">Results</w:t>
      </w:r>
      <w:bookmarkEnd w:id="28"/>
    </w:p>
    <w:p>
      <w:pPr>
        <w:pStyle w:val="Heading2"/>
      </w:pPr>
      <w:bookmarkStart w:id="29" w:name="age-distributions-of-soc-in-models"/>
      <w:r>
        <w:t xml:space="preserve">Age distributions of SOC in models</w:t>
      </w:r>
      <w:bookmarkEnd w:id="29"/>
    </w:p>
    <w:p>
      <w:pPr>
        <w:pStyle w:val="FirstParagraph"/>
      </w:pPr>
      <w:r>
        <w:t xml:space="preserve">All models produced age distributions of SOC in which most of the carbon is stored in relatively low ages, but with relatively long upper tails (Figure</w:t>
      </w:r>
      <w:r>
        <w:t xml:space="preserve"> </w:t>
      </w:r>
      <w:hyperlink w:anchor="fig:ageDensity">
        <w:r>
          <w:rPr>
            <w:rStyle w:val="Hyperlink"/>
          </w:rPr>
          <w:t xml:space="preserve">[fig:ageDensity]</w:t>
        </w:r>
      </w:hyperlink>
      <w:r>
        <w:t xml:space="preserve">).</w:t>
      </w:r>
      <w:r>
        <w:t xml:space="preserve"> </w:t>
      </w:r>
      <w:r>
        <w:t xml:space="preserve">The mean ages and upper 95% quantiles from these distributions presented large differences among models, from a few decades to thousands of years (Table</w:t>
      </w:r>
      <w:r>
        <w:t xml:space="preserve"> </w:t>
      </w:r>
      <w:hyperlink w:anchor="tab:Qs">
        <w:r>
          <w:rPr>
            <w:rStyle w:val="Hyperlink"/>
          </w:rPr>
          <w:t xml:space="preserve">[tab:Qs]</w:t>
        </w:r>
      </w:hyperlink>
      <w:r>
        <w:t xml:space="preserve">). The lower mean and 95% quantile of the age distributions were obtained for the CLM4cn model with parameters for the needleleaf PFT; while the highest values for the mean and 95% quantiles of the distributions were obtained for the average parameter values of the IPSL Earth system model (Table</w:t>
      </w:r>
      <w:r>
        <w:t xml:space="preserve"> </w:t>
      </w:r>
      <w:hyperlink w:anchor="tab:Qs">
        <w:r>
          <w:rPr>
            <w:rStyle w:val="Hyperlink"/>
          </w:rPr>
          <w:t xml:space="preserve">[tab:Qs]</w:t>
        </w:r>
      </w:hyperlink>
      <w:r>
        <w:t xml:space="preserve">).</w:t>
      </w:r>
    </w:p>
    <w:p>
      <w:pPr>
        <w:pStyle w:val="BodyText"/>
      </w:pPr>
      <w:r>
        <w:t xml:space="preserve">Interestingly, relatively similar distributions were obtained for two groups of models, the reduced complexity models obtained from the three Earth system models CESM, IPSL, and MRI, and the three parameterizations of CLM4cn. For the latter group, these results suggests that different parameterizations for PFTs in this model have little influence on the SOC age distribution and therefore on the predicted persistence of organic matter.</w:t>
      </w:r>
    </w:p>
    <w:p>
      <w:pPr>
        <w:pStyle w:val="BodyText"/>
      </w:pPr>
      <w:r>
        <w:t xml:space="preserve">The Century and RothC models presented large differences in their age distributions, even though they are commonly considered as relatively similar models. One important reason that explains this difference is that we excluded the inert pool from RothC for the computations. This pool is, by definition, considered to not decompose or exchange material with other pools. Its decomposition rate is equal to zero, and therefore the age of the material is infinitely large at steady-state (</w:t>
      </w:r>
      <m:oMath>
        <m:r>
          <m:t>+</m:t>
        </m:r>
        <m:r>
          <m:t>∞</m:t>
        </m:r>
      </m:oMath>
      <w:r>
        <w:t xml:space="preserve">). After removing this pool from the calculations, the mean age is approximately 50 years with an upper 95% quantile of about 164 years.</w:t>
      </w:r>
    </w:p>
    <w:p>
      <w:pPr>
        <w:pStyle w:val="TableCaption"/>
      </w:pPr>
      <w:r>
        <w:t xml:space="preserve">Mean and 95 percent quantile (Q</w:t>
      </w:r>
      <m:oMath>
        <m:sSub>
          <m:e>
            <m:r>
              <m:t/>
            </m:r>
          </m:e>
          <m:sub>
            <m:r>
              <m:t>95</m:t>
            </m:r>
          </m:sub>
        </m:sSub>
      </m:oMath>
      <w:r>
        <w:t xml:space="preserve">) of the age and transit time distributions for all models</w:t>
      </w:r>
    </w:p>
    <w:tbl>
      <w:tblPr>
        <w:tblStyle w:val="Table"/>
        <w:tblW w:type="pct" w:w="0.0"/>
        <w:tblLook w:firstRow="1"/>
        <w:tblCaption w:val="Mean and 95 percent quantile (Q_{95}) of the age and transit time distributions for all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Mean age</w:t>
            </w:r>
          </w:p>
        </w:tc>
        <w:tc>
          <w:tcPr>
            <w:tcBorders>
              <w:bottom w:val="single"/>
            </w:tcBorders>
            <w:vAlign w:val="bottom"/>
          </w:tcPr>
          <w:p>
            <w:pPr>
              <w:pStyle w:val="Compact"/>
              <w:jc w:val="right"/>
            </w:pPr>
            <w:r>
              <w:t xml:space="preserve">Age Q</w:t>
            </w:r>
            <m:oMath>
              <m:sSub>
                <m:e>
                  <m:r>
                    <m:t/>
                  </m:r>
                </m:e>
                <m:sub>
                  <m:r>
                    <m:t>95</m:t>
                  </m:r>
                </m:sub>
              </m:sSub>
            </m:oMath>
          </w:p>
        </w:tc>
        <w:tc>
          <w:tcPr>
            <w:tcBorders>
              <w:bottom w:val="single"/>
            </w:tcBorders>
            <w:vAlign w:val="bottom"/>
          </w:tcPr>
          <w:p>
            <w:pPr>
              <w:pStyle w:val="Compact"/>
              <w:jc w:val="right"/>
            </w:pPr>
            <w:r>
              <w:t xml:space="preserve">Mean Transit Time</w:t>
            </w:r>
          </w:p>
        </w:tc>
        <w:tc>
          <w:tcPr>
            <w:tcBorders>
              <w:bottom w:val="single"/>
            </w:tcBorders>
            <w:vAlign w:val="bottom"/>
          </w:tcPr>
          <w:p>
            <w:pPr>
              <w:pStyle w:val="Compact"/>
              <w:jc w:val="right"/>
            </w:pPr>
            <w:r>
              <w:t xml:space="preserve">Transit Time Q</w:t>
            </w:r>
            <m:oMath>
              <m:sSub>
                <m:e>
                  <m:r>
                    <m:t/>
                  </m:r>
                </m:e>
                <m:sub>
                  <m:r>
                    <m:t>95</m:t>
                  </m:r>
                </m:sub>
              </m:sSub>
            </m:oMath>
          </w:p>
        </w:tc>
      </w:tr>
      <w:tr>
        <w:tc>
          <w:p>
            <w:pPr>
              <w:pStyle w:val="Compact"/>
              <w:jc w:val="left"/>
            </w:pPr>
            <w:r>
              <w:t xml:space="preserve">RothC</w:t>
            </w:r>
          </w:p>
        </w:tc>
        <w:tc>
          <w:p>
            <w:pPr>
              <w:pStyle w:val="Compact"/>
              <w:jc w:val="right"/>
            </w:pPr>
            <w:r>
              <w:t xml:space="preserve">49.70</w:t>
            </w:r>
          </w:p>
        </w:tc>
        <w:tc>
          <w:p>
            <w:pPr>
              <w:pStyle w:val="Compact"/>
              <w:jc w:val="right"/>
            </w:pPr>
            <w:r>
              <w:t xml:space="preserve">163.70</w:t>
            </w:r>
          </w:p>
        </w:tc>
        <w:tc>
          <w:p>
            <w:pPr>
              <w:pStyle w:val="Compact"/>
              <w:jc w:val="right"/>
            </w:pPr>
            <w:r>
              <w:t xml:space="preserve">9.30</w:t>
            </w:r>
          </w:p>
        </w:tc>
        <w:tc>
          <w:p>
            <w:pPr>
              <w:pStyle w:val="Compact"/>
              <w:jc w:val="right"/>
            </w:pPr>
            <w:r>
              <w:t xml:space="preserve">58.40</w:t>
            </w:r>
          </w:p>
        </w:tc>
      </w:tr>
      <w:tr>
        <w:tc>
          <w:p>
            <w:pPr>
              <w:pStyle w:val="Compact"/>
              <w:jc w:val="left"/>
            </w:pPr>
            <w:r>
              <w:t xml:space="preserve">Century</w:t>
            </w:r>
          </w:p>
        </w:tc>
        <w:tc>
          <w:p>
            <w:pPr>
              <w:pStyle w:val="Compact"/>
              <w:jc w:val="right"/>
            </w:pPr>
            <w:r>
              <w:t xml:space="preserve">4082.40</w:t>
            </w:r>
          </w:p>
        </w:tc>
        <w:tc>
          <w:p>
            <w:pPr>
              <w:pStyle w:val="Compact"/>
              <w:jc w:val="right"/>
            </w:pPr>
            <w:r>
              <w:t xml:space="preserve">17981.40</w:t>
            </w:r>
          </w:p>
        </w:tc>
        <w:tc>
          <w:p>
            <w:pPr>
              <w:pStyle w:val="Compact"/>
              <w:jc w:val="right"/>
            </w:pPr>
            <w:r>
              <w:t xml:space="preserve">382.50</w:t>
            </w:r>
          </w:p>
        </w:tc>
        <w:tc>
          <w:p>
            <w:pPr>
              <w:pStyle w:val="Compact"/>
              <w:jc w:val="right"/>
            </w:pPr>
            <w:r>
              <w:t xml:space="preserve">1027.60</w:t>
            </w:r>
          </w:p>
        </w:tc>
      </w:tr>
      <w:tr>
        <w:tc>
          <w:p>
            <w:pPr>
              <w:pStyle w:val="Compact"/>
              <w:jc w:val="left"/>
            </w:pPr>
            <w:r>
              <w:t xml:space="preserve">Yasso07</w:t>
            </w:r>
          </w:p>
        </w:tc>
        <w:tc>
          <w:p>
            <w:pPr>
              <w:pStyle w:val="Compact"/>
              <w:jc w:val="right"/>
            </w:pPr>
            <w:r>
              <w:t xml:space="preserve">275.40</w:t>
            </w:r>
          </w:p>
        </w:tc>
        <w:tc>
          <w:p>
            <w:pPr>
              <w:pStyle w:val="Compact"/>
              <w:jc w:val="right"/>
            </w:pPr>
            <w:r>
              <w:t xml:space="preserve">878.60</w:t>
            </w:r>
          </w:p>
        </w:tc>
        <w:tc>
          <w:p>
            <w:pPr>
              <w:pStyle w:val="Compact"/>
              <w:jc w:val="right"/>
            </w:pPr>
            <w:r>
              <w:t xml:space="preserve">22.50</w:t>
            </w:r>
          </w:p>
        </w:tc>
        <w:tc>
          <w:p>
            <w:pPr>
              <w:pStyle w:val="Compact"/>
              <w:jc w:val="right"/>
            </w:pPr>
            <w:r>
              <w:t xml:space="preserve">91.20</w:t>
            </w:r>
          </w:p>
        </w:tc>
      </w:tr>
      <w:tr>
        <w:tc>
          <w:p>
            <w:pPr>
              <w:pStyle w:val="Compact"/>
              <w:jc w:val="left"/>
            </w:pPr>
            <w:r>
              <w:t xml:space="preserve">ICBM</w:t>
            </w:r>
          </w:p>
        </w:tc>
        <w:tc>
          <w:p>
            <w:pPr>
              <w:pStyle w:val="Compact"/>
              <w:jc w:val="right"/>
            </w:pPr>
            <w:r>
              <w:t xml:space="preserve">134.30</w:t>
            </w:r>
          </w:p>
        </w:tc>
        <w:tc>
          <w:p>
            <w:pPr>
              <w:pStyle w:val="Compact"/>
              <w:jc w:val="right"/>
            </w:pPr>
            <w:r>
              <w:t xml:space="preserve">416.00</w:t>
            </w:r>
          </w:p>
        </w:tc>
        <w:tc>
          <w:p>
            <w:pPr>
              <w:pStyle w:val="Compact"/>
              <w:jc w:val="right"/>
            </w:pPr>
            <w:r>
              <w:t xml:space="preserve">18.70</w:t>
            </w:r>
          </w:p>
        </w:tc>
        <w:tc>
          <w:p>
            <w:pPr>
              <w:pStyle w:val="Compact"/>
              <w:jc w:val="right"/>
            </w:pPr>
            <w:r>
              <w:t xml:space="preserve">130.50</w:t>
            </w:r>
          </w:p>
        </w:tc>
      </w:tr>
      <w:tr>
        <w:tc>
          <w:p>
            <w:pPr>
              <w:pStyle w:val="Compact"/>
              <w:jc w:val="left"/>
            </w:pPr>
            <w:r>
              <w:t xml:space="preserve">CLM4cn-Needleleaf</w:t>
            </w:r>
          </w:p>
        </w:tc>
        <w:tc>
          <w:p>
            <w:pPr>
              <w:pStyle w:val="Compact"/>
              <w:jc w:val="right"/>
            </w:pPr>
            <w:r>
              <w:t xml:space="preserve">22.50</w:t>
            </w:r>
          </w:p>
        </w:tc>
        <w:tc>
          <w:p>
            <w:pPr>
              <w:pStyle w:val="Compact"/>
              <w:jc w:val="right"/>
            </w:pPr>
            <w:r>
              <w:t xml:space="preserve">76.00</w:t>
            </w:r>
          </w:p>
        </w:tc>
        <w:tc>
          <w:p>
            <w:pPr>
              <w:pStyle w:val="Compact"/>
              <w:jc w:val="right"/>
            </w:pPr>
            <w:r>
              <w:t xml:space="preserve">6.20</w:t>
            </w:r>
          </w:p>
        </w:tc>
        <w:tc>
          <w:p>
            <w:pPr>
              <w:pStyle w:val="Compact"/>
              <w:jc w:val="right"/>
            </w:pPr>
            <w:r>
              <w:t xml:space="preserve">35.30</w:t>
            </w:r>
          </w:p>
        </w:tc>
      </w:tr>
      <w:tr>
        <w:tc>
          <w:p>
            <w:pPr>
              <w:pStyle w:val="Compact"/>
              <w:jc w:val="left"/>
            </w:pPr>
            <w:r>
              <w:t xml:space="preserve">CLM4cn-Deciduous</w:t>
            </w:r>
          </w:p>
        </w:tc>
        <w:tc>
          <w:p>
            <w:pPr>
              <w:pStyle w:val="Compact"/>
              <w:jc w:val="right"/>
            </w:pPr>
            <w:r>
              <w:t xml:space="preserve">22.80</w:t>
            </w:r>
          </w:p>
        </w:tc>
        <w:tc>
          <w:p>
            <w:pPr>
              <w:pStyle w:val="Compact"/>
              <w:jc w:val="right"/>
            </w:pPr>
            <w:r>
              <w:t xml:space="preserve">76.50</w:t>
            </w:r>
          </w:p>
        </w:tc>
        <w:tc>
          <w:p>
            <w:pPr>
              <w:pStyle w:val="Compact"/>
              <w:jc w:val="right"/>
            </w:pPr>
            <w:r>
              <w:t xml:space="preserve">6.10</w:t>
            </w:r>
          </w:p>
        </w:tc>
        <w:tc>
          <w:p>
            <w:pPr>
              <w:pStyle w:val="Compact"/>
              <w:jc w:val="right"/>
            </w:pPr>
            <w:r>
              <w:t xml:space="preserve">35.10</w:t>
            </w:r>
          </w:p>
        </w:tc>
      </w:tr>
      <w:tr>
        <w:tc>
          <w:p>
            <w:pPr>
              <w:pStyle w:val="Compact"/>
              <w:jc w:val="left"/>
            </w:pPr>
            <w:r>
              <w:t xml:space="preserve">CLM4cn-Tropical</w:t>
            </w:r>
          </w:p>
        </w:tc>
        <w:tc>
          <w:p>
            <w:pPr>
              <w:pStyle w:val="Compact"/>
              <w:jc w:val="right"/>
            </w:pPr>
            <w:r>
              <w:t xml:space="preserve">23.50</w:t>
            </w:r>
          </w:p>
        </w:tc>
        <w:tc>
          <w:p>
            <w:pPr>
              <w:pStyle w:val="Compact"/>
              <w:jc w:val="right"/>
            </w:pPr>
            <w:r>
              <w:t xml:space="preserve">77.40</w:t>
            </w:r>
          </w:p>
        </w:tc>
        <w:tc>
          <w:p>
            <w:pPr>
              <w:pStyle w:val="Compact"/>
              <w:jc w:val="right"/>
            </w:pPr>
            <w:r>
              <w:t xml:space="preserve">5.80</w:t>
            </w:r>
          </w:p>
        </w:tc>
        <w:tc>
          <w:p>
            <w:pPr>
              <w:pStyle w:val="Compact"/>
              <w:jc w:val="right"/>
            </w:pPr>
            <w:r>
              <w:t xml:space="preserve">34.90</w:t>
            </w:r>
          </w:p>
        </w:tc>
      </w:tr>
      <w:tr>
        <w:tc>
          <w:p>
            <w:pPr>
              <w:pStyle w:val="Compact"/>
              <w:jc w:val="left"/>
            </w:pPr>
            <w:r>
              <w:t xml:space="preserve">CESM</w:t>
            </w:r>
          </w:p>
        </w:tc>
        <w:tc>
          <w:p>
            <w:pPr>
              <w:pStyle w:val="Compact"/>
              <w:jc w:val="right"/>
            </w:pPr>
            <w:r>
              <w:t xml:space="preserve">4210.60</w:t>
            </w:r>
          </w:p>
        </w:tc>
        <w:tc>
          <w:p>
            <w:pPr>
              <w:pStyle w:val="Compact"/>
              <w:jc w:val="right"/>
            </w:pPr>
            <w:r>
              <w:t xml:space="preserve">13933.10</w:t>
            </w:r>
          </w:p>
        </w:tc>
        <w:tc>
          <w:p>
            <w:pPr>
              <w:pStyle w:val="Compact"/>
              <w:jc w:val="right"/>
            </w:pPr>
            <w:r>
              <w:t xml:space="preserve">41.30</w:t>
            </w:r>
          </w:p>
        </w:tc>
        <w:tc>
          <w:p>
            <w:pPr>
              <w:pStyle w:val="Compact"/>
              <w:jc w:val="right"/>
            </w:pPr>
            <w:r>
              <w:t xml:space="preserve">18.80</w:t>
            </w:r>
          </w:p>
        </w:tc>
      </w:tr>
      <w:tr>
        <w:tc>
          <w:p>
            <w:pPr>
              <w:pStyle w:val="Compact"/>
              <w:jc w:val="left"/>
            </w:pPr>
            <w:r>
              <w:t xml:space="preserve">IPSL</w:t>
            </w:r>
          </w:p>
        </w:tc>
        <w:tc>
          <w:p>
            <w:pPr>
              <w:pStyle w:val="Compact"/>
              <w:jc w:val="right"/>
            </w:pPr>
            <w:r>
              <w:t xml:space="preserve">8942.60</w:t>
            </w:r>
          </w:p>
        </w:tc>
        <w:tc>
          <w:p>
            <w:pPr>
              <w:pStyle w:val="Compact"/>
              <w:jc w:val="right"/>
            </w:pPr>
            <w:r>
              <w:t xml:space="preserve">39236.50</w:t>
            </w:r>
          </w:p>
        </w:tc>
        <w:tc>
          <w:p>
            <w:pPr>
              <w:pStyle w:val="Compact"/>
              <w:jc w:val="right"/>
            </w:pPr>
            <w:r>
              <w:t xml:space="preserve">39.40</w:t>
            </w:r>
          </w:p>
        </w:tc>
        <w:tc>
          <w:p>
            <w:pPr>
              <w:pStyle w:val="Compact"/>
              <w:jc w:val="right"/>
            </w:pPr>
            <w:r>
              <w:t xml:space="preserve">49.90</w:t>
            </w:r>
          </w:p>
        </w:tc>
      </w:tr>
      <w:tr>
        <w:tc>
          <w:p>
            <w:pPr>
              <w:pStyle w:val="Compact"/>
              <w:jc w:val="left"/>
            </w:pPr>
            <w:r>
              <w:t xml:space="preserve">MRI</w:t>
            </w:r>
          </w:p>
        </w:tc>
        <w:tc>
          <w:p>
            <w:pPr>
              <w:pStyle w:val="Compact"/>
              <w:jc w:val="right"/>
            </w:pPr>
            <w:r>
              <w:t xml:space="preserve">7554.00</w:t>
            </w:r>
          </w:p>
        </w:tc>
        <w:tc>
          <w:p>
            <w:pPr>
              <w:pStyle w:val="Compact"/>
              <w:jc w:val="right"/>
            </w:pPr>
            <w:r>
              <w:t xml:space="preserve">32846.50</w:t>
            </w:r>
          </w:p>
        </w:tc>
        <w:tc>
          <w:p>
            <w:pPr>
              <w:pStyle w:val="Compact"/>
              <w:jc w:val="right"/>
            </w:pPr>
            <w:r>
              <w:t xml:space="preserve">69.50</w:t>
            </w:r>
          </w:p>
        </w:tc>
        <w:tc>
          <w:p>
            <w:pPr>
              <w:pStyle w:val="Compact"/>
              <w:jc w:val="right"/>
            </w:pPr>
            <w:r>
              <w:t xml:space="preserve">158.40</w:t>
            </w:r>
          </w:p>
        </w:tc>
      </w:tr>
    </w:tbl>
    <w:p>
      <w:pPr>
        <w:pStyle w:val="CaptionedFigure"/>
      </w:pPr>
      <w:r>
        <w:t xml:space="preserve">Age density distribution functions of soil organic carbon calculated for the models described in Table (</w:t>
      </w:r>
      <w:hyperlink w:anchor="tab:models">
        <w:r>
          <w:rPr>
            <w:rStyle w:val="Hyperlink"/>
          </w:rPr>
          <w:t xml:space="preserve">[tab:models]</w:t>
        </w:r>
      </w:hyperlink>
      <w:r>
        <w:t xml:space="preserve">).</w:t>
      </w:r>
    </w:p>
    <w:p>
      <w:pPr>
        <w:pStyle w:val="ImageCaption"/>
      </w:pPr>
      <w:r>
        <w:t xml:space="preserve">Age density distribution functions of soil organic carbon calculated for the models described in Table (</w:t>
      </w:r>
      <w:hyperlink w:anchor="tab:models">
        <w:r>
          <w:rPr>
            <w:rStyle w:val="Hyperlink"/>
          </w:rPr>
          <w:t xml:space="preserve">[tab:models]</w:t>
        </w:r>
      </w:hyperlink>
      <w:r>
        <w:t xml:space="preserve">).</w:t>
      </w:r>
    </w:p>
    <w:p>
      <w:pPr>
        <w:pStyle w:val="Heading2"/>
      </w:pPr>
      <w:bookmarkStart w:id="30" w:name="transit-time-distributions-for-all-models"/>
      <w:r>
        <w:t xml:space="preserve">Transit time distributions for all models</w:t>
      </w:r>
      <w:bookmarkEnd w:id="30"/>
    </w:p>
    <w:p>
      <w:pPr>
        <w:pStyle w:val="FirstParagraph"/>
      </w:pPr>
      <w:r>
        <w:t xml:space="preserve">The transit time distributions obtained for all models showed that most of the carbon leaving the soil is of relatively young ages (Figure</w:t>
      </w:r>
      <w:r>
        <w:t xml:space="preserve"> </w:t>
      </w:r>
      <w:hyperlink w:anchor="fig:ttDensity">
        <w:r>
          <w:rPr>
            <w:rStyle w:val="Hyperlink"/>
          </w:rPr>
          <w:t xml:space="preserve">[fig:ttDensity]</w:t>
        </w:r>
      </w:hyperlink>
      <w:r>
        <w:t xml:space="preserve">). Compared to the age distributions, there were less differences in the shapes of the transit time distributions among models. However, there were still large differences in the mean and the 95% quantile of the transit time distributions, which vary from a few years to a few centuries (Table</w:t>
      </w:r>
      <w:r>
        <w:t xml:space="preserve"> </w:t>
      </w:r>
      <w:hyperlink w:anchor="tab:Qs">
        <w:r>
          <w:rPr>
            <w:rStyle w:val="Hyperlink"/>
          </w:rPr>
          <w:t xml:space="preserve">[tab:Qs]</w:t>
        </w:r>
      </w:hyperlink>
      <w:r>
        <w:t xml:space="preserve">). Although the lowest mean transit time was predicted by the CLM4cn model, the lowest value of the 95% quantile was predicted by the CESM Earth system model. The highest mean and 95% quantile of the transit time distributions was predicted by the Century model.</w:t>
      </w:r>
    </w:p>
    <w:p>
      <w:pPr>
        <w:pStyle w:val="CaptionedFigure"/>
      </w:pPr>
      <w:r>
        <w:t xml:space="preserve">Transit time density distribution functions of soil organic carbon calculated for the models described in Table (</w:t>
      </w:r>
      <w:hyperlink w:anchor="tab:models">
        <w:r>
          <w:rPr>
            <w:rStyle w:val="Hyperlink"/>
          </w:rPr>
          <w:t xml:space="preserve">[tab:models]</w:t>
        </w:r>
      </w:hyperlink>
      <w:r>
        <w:t xml:space="preserve">).</w:t>
      </w:r>
    </w:p>
    <w:p>
      <w:pPr>
        <w:pStyle w:val="ImageCaption"/>
      </w:pPr>
      <w:r>
        <w:t xml:space="preserve">Transit time density distribution functions of soil organic carbon calculated for the models described in Table (</w:t>
      </w:r>
      <w:hyperlink w:anchor="tab:models">
        <w:r>
          <w:rPr>
            <w:rStyle w:val="Hyperlink"/>
          </w:rPr>
          <w:t xml:space="preserve">[tab:models]</w:t>
        </w:r>
      </w:hyperlink>
      <w:r>
        <w:t xml:space="preserve">).</w:t>
      </w:r>
    </w:p>
    <w:p>
      <w:pPr>
        <w:pStyle w:val="Heading2"/>
      </w:pPr>
      <w:bookmarkStart w:id="31" w:name="relation-between-age-and-transit-time"/>
      <w:r>
        <w:t xml:space="preserve">Relation between age and transit time</w:t>
      </w:r>
      <w:bookmarkEnd w:id="31"/>
    </w:p>
    <w:p>
      <w:pPr>
        <w:pStyle w:val="FirstParagraph"/>
      </w:pPr>
      <w:r>
        <w:t xml:space="preserve">To analyze the relation between age and transit time distributions for all models, we plotted their sequence of quantiles, from 5 to 95%, in 5% increments (Figure</w:t>
      </w:r>
      <w:r>
        <w:t xml:space="preserve"> </w:t>
      </w:r>
      <w:hyperlink w:anchor="fig:quantiles">
        <w:r>
          <w:rPr>
            <w:rStyle w:val="Hyperlink"/>
          </w:rPr>
          <w:t xml:space="preserve">[fig:quantiles]</w:t>
        </w:r>
      </w:hyperlink>
      <w:r>
        <w:t xml:space="preserve">). Two important results emerge from this analysis. First, for all models and across the entire quantile sequence, ages are always older than transit times. This gives strong support to the hypothetical relation of type III, and although clear from the multiple-pool structure of all models, it rejects the idea that SOC in these models behaves as a one single well-mixed reservoir, or as a retention system in which material is sequentially processed or highly recycled before it leaves the system.</w:t>
      </w:r>
    </w:p>
    <w:p>
      <w:pPr>
        <w:pStyle w:val="BodyText"/>
      </w:pPr>
      <w:r>
        <w:t xml:space="preserve">The second main result is that variability in the initial part of the distributions (5% quantile) is much larger for transit times than for ages. This can be observed in Figure (</w:t>
      </w:r>
      <w:hyperlink w:anchor="fig:quantiles">
        <w:r>
          <w:rPr>
            <w:rStyle w:val="Hyperlink"/>
          </w:rPr>
          <w:t xml:space="preserve">[fig:quantiles]</w:t>
        </w:r>
      </w:hyperlink>
      <w:r>
        <w:t xml:space="preserve">) as a larger spread along the vertical direction towards the left part of the graph. On the contrary, the variability is much larger in terms of the 95% quantile of the age than of the transit time distributions. In other words, the upper tail of the distributions is much variable for age than for transit time.</w:t>
      </w:r>
    </w:p>
    <w:p>
      <w:pPr>
        <w:pStyle w:val="BodyText"/>
      </w:pPr>
      <w:r>
        <w:t xml:space="preserve">Overall, the age distribution for each model is very different than the transit time distribution. Then, if we adopt age distributions as a measure of persistence, transit time distributions would be a poor predictor of persistence of soil organic carbon.</w:t>
      </w:r>
    </w:p>
    <w:p>
      <w:pPr>
        <w:pStyle w:val="CaptionedFigure"/>
      </w:pPr>
      <w:r>
        <w:t xml:space="preserve">Sequence of quantiles, from 5 to 95% by 5% increments, for the age and transit time distributions of soil organic carbon calculated for the models of Table (</w:t>
      </w:r>
      <w:hyperlink w:anchor="tab:models">
        <w:r>
          <w:rPr>
            <w:rStyle w:val="Hyperlink"/>
          </w:rPr>
          <w:t xml:space="preserve">[tab:models]</w:t>
        </w:r>
      </w:hyperlink>
      <w:r>
        <w:t xml:space="preserve">). Dashed line represents the 1:1 line. Notice that axes are in logarithmic scale.</w:t>
      </w:r>
    </w:p>
    <w:p>
      <w:pPr>
        <w:pStyle w:val="ImageCaption"/>
      </w:pPr>
      <w:r>
        <w:t xml:space="preserve">Sequence of quantiles, from 5 to 95% by 5% increments, for the age and transit time distributions of soil organic carbon calculated for the models of Table (</w:t>
      </w:r>
      <w:hyperlink w:anchor="tab:models">
        <w:r>
          <w:rPr>
            <w:rStyle w:val="Hyperlink"/>
          </w:rPr>
          <w:t xml:space="preserve">[tab:models]</w:t>
        </w:r>
      </w:hyperlink>
      <w:r>
        <w:t xml:space="preserve">). Dashed line represents the 1:1 line. Notice that axes are in logarithmic scale.</w:t>
      </w:r>
    </w:p>
    <w:p>
      <w:pPr>
        <w:pStyle w:val="Heading2"/>
      </w:pPr>
      <w:bookmarkStart w:id="32" w:name="global-distribution-of-soc-age-and-transit-time"/>
      <w:r>
        <w:t xml:space="preserve">Global distribution of SOC age and transit time</w:t>
      </w:r>
      <w:bookmarkEnd w:id="32"/>
    </w:p>
    <w:p>
      <w:pPr>
        <w:pStyle w:val="FirstParagraph"/>
      </w:pPr>
      <w:r>
        <w:t xml:space="preserve">The three reduced complexity Earth system models showed a global distribution of mean ages and mean transit times that support the type III relation across all grid cells (Figure</w:t>
      </w:r>
      <w:r>
        <w:t xml:space="preserve"> </w:t>
      </w:r>
      <w:hyperlink w:anchor="fig:sattESMs">
        <w:r>
          <w:rPr>
            <w:rStyle w:val="Hyperlink"/>
          </w:rPr>
          <w:t xml:space="preserve">[fig:sattESMs]</w:t>
        </w:r>
      </w:hyperlink>
      <w:r>
        <w:t xml:space="preserve">, supplementary figures). On a global scale, the spread of mean ages was much larger than the spread of mean transit times; suggesting that SOC persistence has a large degree of geographic variability, much larger than what can be estimated from mean transit times alone.</w:t>
      </w:r>
    </w:p>
    <w:p>
      <w:pPr>
        <w:pStyle w:val="BodyText"/>
      </w:pPr>
      <w:r>
        <w:t xml:space="preserve">The average of the mean age across all grid cells for the CESM, IPSL, and MRI models was 4162, 8916, and 7312 years, respectively. However, mean ages can be as high as 25,000 years for some grid cells (see supplementary figures for details on the spatial distribution). Similarly, the average of the 95% quantiles across all grid cells for the CESM, IPSL, and MRI models were 13867, 39056, and 31802 years, respectively; but for some grid cells the 95% quantile was as high as 80,000 years.</w:t>
      </w:r>
    </w:p>
    <w:p>
      <w:pPr>
        <w:pStyle w:val="BodyText"/>
      </w:pPr>
      <w:r>
        <w:t xml:space="preserve">These values suggest that SOC persists on a millennial time scale across global soils. These values contrast with estimates of mean transit times across grid cells. For the CESM, IPSL, and MRI models, average mean transit times across grid cells were 40, 39, and 67 years, with average 95% quantiles as 26, 56, and 157 years, respectively. Clearly, mean transit times are not a reliable indicator of SOC persistence at the global scale.</w:t>
      </w:r>
    </w:p>
    <w:p>
      <w:pPr>
        <w:pStyle w:val="CaptionedFigure"/>
      </w:pPr>
      <w:r>
        <w:t xml:space="preserve">Mean age and mean transit times of soil organic carbon predicted for each grid cell by the three versions of the reduced complexity Earth system models CESM, IPSL, and MRI, corrected by observations of radiocarbon in soil profiles as described in</w:t>
      </w:r>
      <w:r>
        <w:t xml:space="preserve"> </w:t>
      </w:r>
      <w:r>
        <w:t xml:space="preserve">.</w:t>
      </w:r>
    </w:p>
    <w:p>
      <w:pPr>
        <w:pStyle w:val="ImageCaption"/>
      </w:pPr>
      <w:r>
        <w:t xml:space="preserve">Mean age and mean transit times of soil organic carbon predicted for each grid cell by the three versions of the reduced complexity Earth system models CESM, IPSL, and MRI, corrected by observations of radiocarbon in soil profiles as described in</w:t>
      </w:r>
      <w:r>
        <w:t xml:space="preserve"> </w:t>
      </w:r>
      <w:r>
        <w:t xml:space="preserve">.</w:t>
      </w:r>
    </w:p>
    <w:p>
      <w:pPr>
        <w:pStyle w:val="Heading1"/>
      </w:pPr>
      <w:bookmarkStart w:id="33" w:name="discussion"/>
      <w:r>
        <w:t xml:space="preserve">Discussion</w:t>
      </w:r>
      <w:bookmarkEnd w:id="33"/>
    </w:p>
    <w:p>
      <w:pPr>
        <w:pStyle w:val="Heading2"/>
      </w:pPr>
      <w:bookmarkStart w:id="34" w:name="age-distributions-as-a-measure-of-soc-persistence"/>
      <w:r>
        <w:t xml:space="preserve">Age distributions as a measure of SOC persistence</w:t>
      </w:r>
      <w:bookmarkEnd w:id="34"/>
    </w:p>
    <w:p>
      <w:pPr>
        <w:pStyle w:val="FirstParagraph"/>
      </w:pPr>
      <w:r>
        <w:t xml:space="preserve">We computed age probability density functions with corresponding mean and quantiles to assess the time that SOC persists in soils. We consider that age distributions are appropriate metrics to assess persistence because they unambiguously characterize the mix of carbon of different ages that can be observed in a heterogenous system such as soil.</w:t>
      </w:r>
    </w:p>
    <w:p>
      <w:pPr>
        <w:pStyle w:val="BodyText"/>
      </w:pPr>
      <w:r>
        <w:t xml:space="preserve">Our computations showed that transit time distributions differ largely from age distributions for all models. This is due to the fact that transit time distributions characterize the age structure of the output flux from the system, whereas the age distribution characterizes the age structure of the carbon stored within the system. In all models, the contribution of young carbon to the output flux is large, i.e. transit times are young, which implies that carbon that has been stored in the system for centuries or millennia contribute very little to the output flux.</w:t>
      </w:r>
    </w:p>
    <w:p>
      <w:pPr>
        <w:pStyle w:val="BodyText"/>
      </w:pPr>
      <w:r>
        <w:t xml:space="preserve">This difference between age and transit time is very important to consider in the context of the debate of SOM persistence</w:t>
      </w:r>
      <w:r>
        <w:t xml:space="preserve"> </w:t>
      </w:r>
      <w:r>
        <w:t xml:space="preserve">. If persistence is ambiguously defined as age, residence, or turnover time, we may not be able to appropriately study how mechanisms of (de)stabilization contribute to the long-term storage of carbon in soils. For instance, if we characterize persistence as the turnover time from models (stock over flux) and compare against radiocarbon-derived ages measured in bulk soils, we would be comparing transit times versus ages, which obviously would yield contradictory results. For this reason, we advocate a more precise definition of SOM persistence, and consider the age distribution of C as an adequate metric for this purpose.</w:t>
      </w:r>
    </w:p>
    <w:p>
      <w:pPr>
        <w:pStyle w:val="Heading2"/>
      </w:pPr>
      <w:bookmarkStart w:id="35" w:name="is-random-chance-a-relevant-factor-in-explaining-soc-persistence"/>
      <w:r>
        <w:t xml:space="preserve">Is random chance a relevant factor in explaining SOC persistence?</w:t>
      </w:r>
      <w:bookmarkEnd w:id="35"/>
    </w:p>
    <w:p>
      <w:pPr>
        <w:pStyle w:val="FirstParagraph"/>
      </w:pPr>
      <w:r>
        <w:t xml:space="preserve">The obtained probability density functions of SOC age suggest that a stochastic interpretation of persistence is feasible. In a previous study</w:t>
      </w:r>
      <w:r>
        <w:t xml:space="preserve"> </w:t>
      </w:r>
      <w:r>
        <w:t xml:space="preserve">, we found that deterministic pool models expressed as systems of differential equations such as those studied here, have an stochastic counterpart that correspond to the concept of continuous-time absorbing Markov chains (see also correspondence between equations</w:t>
      </w:r>
      <w:r>
        <w:t xml:space="preserve"> </w:t>
      </w:r>
      <w:hyperlink w:anchor="lam">
        <w:r>
          <w:rPr>
            <w:rStyle w:val="Hyperlink"/>
          </w:rPr>
          <w:t xml:space="preserve">[lam]</w:t>
        </w:r>
      </w:hyperlink>
      <w:r>
        <w:t xml:space="preserve"> </w:t>
      </w:r>
      <w:r>
        <w:t xml:space="preserve">and</w:t>
      </w:r>
      <w:r>
        <w:t xml:space="preserve"> </w:t>
      </w:r>
      <w:hyperlink w:anchor="Q">
        <w:r>
          <w:rPr>
            <w:rStyle w:val="Hyperlink"/>
          </w:rPr>
          <w:t xml:space="preserve">[Q]</w:t>
        </w:r>
      </w:hyperlink>
      <w:r>
        <w:t xml:space="preserve">). The rates that are used to represent decomposition of entire masses in the deterministic case, can be interpreted as probabilities at the atom level. Given this duality in interpretation, we can consider random chance at the atomic level as a relevant factor in explaining SOM persistence.</w:t>
      </w:r>
    </w:p>
    <w:p>
      <w:pPr>
        <w:pStyle w:val="BodyText"/>
      </w:pPr>
      <w:r>
        <w:t xml:space="preserve">This stochastic interpretation does not mean that carbon atoms randomly persist in soils. On the contrary, the probability of an atom to persist depends directly on the mechanisms of SOM (de)stabilization that set fix probabilities for the atoms to move among different pools, get consumed by microorganisms, or leave the soil system in gas, liquid, or solid phase.</w:t>
      </w:r>
    </w:p>
    <w:p>
      <w:pPr>
        <w:pStyle w:val="BodyText"/>
      </w:pPr>
      <w:r>
        <w:t xml:space="preserve">In our framework, we assume that these probabilities are based on physical, chemical, and biological processes, but not on age itself. For example, we assume that microbes consume an organic substrate based on the chemical or physical properties of the substrate, but not on the age of the carbon in the substrate. In this way, carbon consumption by microorganisms is random with respect to age, but not with respect to its chemical properties or its physical location within the soil matrix. If this were not the case, we would have to study how microorganisms can detect the age of a carbon substrate and make a decision to consume this substrate with respect to age. We consider this case unlikely, and not supported by previous literature on soil microbial ecology.</w:t>
      </w:r>
    </w:p>
    <w:p>
      <w:pPr>
        <w:pStyle w:val="BodyText"/>
      </w:pPr>
      <w:r>
        <w:t xml:space="preserve">Random chance is therefore a relevant factor that helps to explain why some carbon atoms persist for centuries or millennia in soils. It is a factor that has not been discussed much in the literature of soil carbon (de)stabilization mechanisms</w:t>
      </w:r>
      <w:r>
        <w:t xml:space="preserve"> </w:t>
      </w:r>
      <w:r>
        <w:t xml:space="preserve">, but we think it is key to explain observations and interpret model results. Some authors have emphasized the need to consider the probability that enzyme and substrates meet, and the probability that the product can be consumed by microorganisms</w:t>
      </w:r>
      <w:r>
        <w:t xml:space="preserve"> </w:t>
      </w:r>
      <w:r>
        <w:t xml:space="preserve">, and many previously proposed models have considered stochastic processes in modeling decomposition</w:t>
      </w:r>
      <w:r>
        <w:t xml:space="preserve"> </w:t>
      </w:r>
      <w:r>
        <w:t xml:space="preserve">. These stochastic interpretations of decomposition are important and must be considered in the context of the dual interpretation of models, at the atomic level from a stochastic point of view, and at the deterministic level from a macro-scale perspective.</w:t>
      </w:r>
    </w:p>
    <w:p>
      <w:pPr>
        <w:pStyle w:val="Heading2"/>
      </w:pPr>
      <w:bookmarkStart w:id="36" w:name="for-how-long-does-carbon-persist-in-soils"/>
      <w:r>
        <w:t xml:space="preserve">For how long does carbon persist in soils?</w:t>
      </w:r>
      <w:bookmarkEnd w:id="36"/>
    </w:p>
    <w:p>
      <w:pPr>
        <w:pStyle w:val="FirstParagraph"/>
      </w:pPr>
      <w:r>
        <w:t xml:space="preserve">Our results showed that age distributions depend on both model structure and the specific set of parameters in each model. Furthermore, persistence is a model derived quantity and cannot be obtained by measurements alone. Radiocarbon is a useful tracer that can help to assess persistence</w:t>
      </w:r>
      <w:r>
        <w:t xml:space="preserve"> </w:t>
      </w:r>
      <w:r>
        <w:t xml:space="preserve">, but to be able to translate isotopic ratios to ages, one must use a model</w:t>
      </w:r>
      <w:r>
        <w:t xml:space="preserve"> </w:t>
      </w:r>
      <w:r>
        <w:t xml:space="preserve">. The choice of model would therefore influence the estimates of persistence that can be obtained.</w:t>
      </w:r>
    </w:p>
    <w:p>
      <w:pPr>
        <w:pStyle w:val="BodyText"/>
      </w:pPr>
      <w:r>
        <w:t xml:space="preserve">The set of models we analyzed suggest that carbon persists on the order of centuries to millennia in soils. These time-scales contrast with estimates of turnover or residence times of soil carbon, which are generally in the order of decades</w:t>
      </w:r>
      <w:r>
        <w:t xml:space="preserve"> </w:t>
      </w:r>
      <w:r>
        <w:t xml:space="preserve">. This apparent contradiction can be easily explained by the fact that most previous studies have focused on the calculation of a metric similar to the transit time and not the age.</w:t>
      </w:r>
    </w:p>
    <w:p>
      <w:pPr>
        <w:pStyle w:val="BodyText"/>
      </w:pPr>
      <w:r>
        <w:t xml:space="preserve">Geographically, ages are highly variable according to the reduced complexity models we analyzed. They are much more variable than transit times, and can reach 95% quantiles of up to 6000 years. A future research challenge is to study specific mechanisms that contribute to SOC persistence and how they change across biomes or environmental gradients. Radiocarbon, in combination with models, are promising tools for this purpose. The radiocarbon value of bulk soil is a good indicator of the age of SOC, while radiocarbon in respired CO</w:t>
      </w:r>
      <m:oMath>
        <m:sSub>
          <m:e>
            <m:r>
              <m:t/>
            </m:r>
          </m:e>
          <m:sub>
            <m:r>
              <m:t>2</m:t>
            </m:r>
          </m:sub>
        </m:sSub>
      </m:oMath>
      <w:r>
        <w:t xml:space="preserve"> </w:t>
      </w:r>
      <w:r>
        <w:t xml:space="preserve">or leached in DOC is a good indicator of SOC transit time. If they both are measured across large environmental gradients, we may be able to better explain how different environmental drivers affect the time at which soil organic matter persists.</w:t>
      </w:r>
    </w:p>
    <w:p>
      <w:pPr>
        <w:pStyle w:val="BodyText"/>
      </w:pPr>
      <w:r>
        <w:t xml:space="preserve">Radiocarbon measurements however, have a few caveats that must be taken into account for their interpretation. For example, radiocarbon in SOM can also be influenced by the incorporation of fossil C derived from parent rocks into soil organisms and therefore into organic matter</w:t>
      </w:r>
      <w:r>
        <w:t xml:space="preserve"> </w:t>
      </w:r>
      <w:r>
        <w:t xml:space="preserve">. Radiocarbon in SOM can also reflect the time spent of C in vegetation pools such as tree-stems and thus the derived age from these measurements must account for this time lag.</w:t>
      </w:r>
    </w:p>
    <w:p>
      <w:pPr>
        <w:pStyle w:val="Heading1"/>
      </w:pPr>
      <w:bookmarkStart w:id="37" w:name="summary-and-conclusions"/>
      <w:r>
        <w:t xml:space="preserve">Summary and conclusions</w:t>
      </w:r>
      <w:bookmarkEnd w:id="37"/>
    </w:p>
    <w:p>
      <w:pPr>
        <w:pStyle w:val="FirstParagraph"/>
      </w:pPr>
      <w:r>
        <w:t xml:space="preserve">Persistence of soil organic matter can be characterized using the age distribution of carbon in soils. It provides information on the proportional distribution of carbon across the age range, and offers insights on the maximum ages of carbon that could be observed in a soil. The age distribution differs from the transit time distribution, which provides information on the age of carbon in the output flux. Since metrics such as turnover or residence time are commonly calculated using approaches such as dividing stocks over fluxes, and since these metrics are in most cases indicative of the transit time rather than the age, persistence of SOM cannot be reliably estimated from these metrics. Instead, approaches to estimate soil carbon age such as isotopic measurements on the bulk SOM should better approximate the age distribution of carbon and the associated concept of persistence.</w:t>
      </w:r>
    </w:p>
    <w:p>
      <w:pPr>
        <w:pStyle w:val="BodyText"/>
      </w:pPr>
      <w:r>
        <w:t xml:space="preserve">At the carbon atom level, random chance is an important factor that helps to explain persistence of soil organic matter. We can interpret mechanisms of stabilization and destabilization of soil organic matter as processes that determine the probability of carbon atoms to change state, moving across different pools in the soil or being consumed and mineralized by microorganisms. We assume that organic matter processing does not depend on the age of the carbon, but rather on physical, chemical, and biological processes that set probabilities of carbon processing. The result is a mix of carbon of different ages, but with defined age distributions. We believe it is important to include random chance in the discussion of understanding persistence of organic matter in soils.</w:t>
      </w:r>
    </w:p>
    <w:p>
      <w:pPr>
        <w:pStyle w:val="BodyText"/>
      </w:pPr>
      <w:r>
        <w:t xml:space="preserve">Radiocarbon measurements in bulk soils are important to understand SOC persistence. Our current best estimates of SOC in models corrected by radiocarbon measurements</w:t>
      </w:r>
      <w:r>
        <w:t xml:space="preserve"> </w:t>
      </w:r>
      <w:r>
        <w:t xml:space="preserve">, indicate that SOC persists for centuries to millennia. This differs from estimates based on turnover times that are in the order of decades, but this difference can be explained by the fact that turnover times are indicative of transit times rather than age.</w:t>
      </w:r>
    </w:p>
    <w:p>
      <w:pPr>
        <w:pStyle w:val="BodyText"/>
      </w:pPr>
      <w:r>
        <w:t xml:space="preserve">Both age and transit time distributions are useful concepts to integrate the diversity of mechanisms that control organic matter cycling. There is still a long way to determine how different interacting mechanisms produce different age and transit time distributions in soils. More efforts to integrate measurements with models should help us to integrate these different processes and understand why organic matter persists in soils for millennia.</w:t>
      </w:r>
    </w:p>
    <w:p>
      <w:pPr>
        <w:pStyle w:val="BodyText"/>
      </w:pPr>
      <w:r>
        <w:t xml:space="preserve">This project has received funding from the European Research Council (ERC) under the European Union’s Horizon 2020 research and innovation programme (grant agreement No. 695101). Funding was also provided by the Max Planck Institute for Biogeochemistry and the German Research Foundation (Emmy Noether Programme, SI 1953/2-1).</w:t>
      </w:r>
    </w:p>
    <w:p>
      <w:pPr>
        <w:pStyle w:val="Heading1"/>
      </w:pPr>
      <w:bookmarkStart w:id="38" w:name="appendix"/>
      <w:r>
        <w:t xml:space="preserve">Appendix</w:t>
      </w:r>
      <w:bookmarkEnd w:id="38"/>
    </w:p>
    <w:p>
      <w:pPr>
        <w:pStyle w:val="Heading2"/>
      </w:pPr>
      <w:bookmarkStart w:id="39" w:name="matrix-representation-of-analyzed-models"/>
      <w:r>
        <w:t xml:space="preserve">Matrix representation of analyzed models</w:t>
      </w:r>
      <w:bookmarkEnd w:id="39"/>
    </w:p>
    <w:p>
      <w:pPr>
        <w:pStyle w:val="FirstParagraph"/>
      </w:pPr>
      <w:r>
        <w:t xml:space="preserve">Each model was represented as a compartmental system of the form of equation (</w:t>
      </w:r>
      <w:hyperlink w:anchor="lam">
        <w:r>
          <w:rPr>
            <w:rStyle w:val="Hyperlink"/>
          </w:rPr>
          <w:t xml:space="preserve">[lam]</w:t>
        </w:r>
      </w:hyperlink>
      <w:r>
        <w:t xml:space="preserve">). Below, we present the specific form of the matrix</w:t>
      </w:r>
      <w:r>
        <w:t xml:space="preserve"> </w:t>
      </w:r>
      <m:oMath>
        <m:r>
          <m:rPr>
            <m:sty m:val="b"/>
          </m:rPr>
          <m:t>B</m:t>
        </m:r>
      </m:oMath>
      <w:r>
        <w:t xml:space="preserve"> </w:t>
      </w:r>
      <w:r>
        <w:t xml:space="preserve">and the vector</w:t>
      </w:r>
      <w:r>
        <w:t xml:space="preserve"> </w:t>
      </w:r>
      <m:oMath>
        <m:r>
          <m:rPr>
            <m:sty m:val="b"/>
          </m:rPr>
          <m:t>u</m:t>
        </m:r>
      </m:oMath>
      <w:r>
        <w:t xml:space="preserve"> </w:t>
      </w:r>
      <w:r>
        <w:t xml:space="preserve">with the parameter values used for each model.</w:t>
      </w:r>
    </w:p>
    <w:p>
      <w:pPr>
        <w:pStyle w:val="Heading3"/>
      </w:pPr>
      <w:bookmarkStart w:id="40" w:name="rothc"/>
      <w:r>
        <w:t xml:space="preserve">RothC</w:t>
      </w:r>
      <w:bookmarkEnd w:id="40"/>
    </w:p>
    <w:p>
      <w:pPr>
        <w:pStyle w:val="FirstParagraph"/>
      </w:pPr>
      <w:r>
        <w:t xml:space="preserve">$$\mathbf{B} =
\input{BrothC.tex},
\quad {\bm u} =
\input{uRothC.tex}.$$</w:t>
      </w:r>
    </w:p>
    <w:p>
      <w:pPr>
        <w:pStyle w:val="Heading3"/>
      </w:pPr>
      <w:bookmarkStart w:id="41" w:name="century"/>
      <w:r>
        <w:t xml:space="preserve">Century</w:t>
      </w:r>
      <w:bookmarkEnd w:id="41"/>
    </w:p>
    <w:p>
      <w:pPr>
        <w:pStyle w:val="FirstParagraph"/>
      </w:pPr>
      <w:r>
        <w:t xml:space="preserve">$$\mathbf{B} =
\input{Bcentury.tex},
\quad {\bm u} =
\input{uCentury.tex}.$$</w:t>
      </w:r>
    </w:p>
    <w:p>
      <w:pPr>
        <w:pStyle w:val="Heading3"/>
      </w:pPr>
      <w:bookmarkStart w:id="42" w:name="yasso07"/>
      <w:r>
        <w:t xml:space="preserve">Yasso07</w:t>
      </w:r>
      <w:bookmarkEnd w:id="42"/>
    </w:p>
    <w:p>
      <w:pPr>
        <w:pStyle w:val="FirstParagraph"/>
      </w:pPr>
      <w:r>
        <w:t xml:space="preserve">$$\mathbf{B} =
\input{Byasso.tex},
\quad {\bm u} =
\input{uYasso.tex}.$$</w:t>
      </w:r>
    </w:p>
    <w:p>
      <w:pPr>
        <w:pStyle w:val="Heading3"/>
      </w:pPr>
      <w:bookmarkStart w:id="43" w:name="icbm"/>
      <w:r>
        <w:t xml:space="preserve">ICBM</w:t>
      </w:r>
      <w:bookmarkEnd w:id="43"/>
    </w:p>
    <w:p>
      <w:pPr>
        <w:pStyle w:val="FirstParagraph"/>
      </w:pPr>
      <w:r>
        <w:t xml:space="preserve">$$\mathbf{B} =
\input{Bicbm.tex},
\quad {\bm u} =
\input{uICBM.tex}.$$</w:t>
      </w:r>
    </w:p>
    <w:p>
      <w:pPr>
        <w:pStyle w:val="Heading3"/>
      </w:pPr>
      <w:bookmarkStart w:id="44" w:name="clm4cn"/>
      <w:r>
        <w:t xml:space="preserve">CLM4cn</w:t>
      </w:r>
      <w:bookmarkEnd w:id="44"/>
    </w:p>
    <w:p>
      <w:pPr>
        <w:pStyle w:val="FirstParagraph"/>
      </w:pPr>
      <w:r>
        <w:t xml:space="preserve">This model contains one single</w:t>
      </w:r>
      <w:r>
        <w:t xml:space="preserve"> </w:t>
      </w:r>
      <m:oMath>
        <m:r>
          <m:rPr>
            <m:sty m:val="b"/>
          </m:rPr>
          <m:t>B</m:t>
        </m:r>
      </m:oMath>
      <w:r>
        <w:t xml:space="preserve"> </w:t>
      </w:r>
      <w:r>
        <w:t xml:space="preserve">matrix for all plant functional types (PFTs):</w:t>
      </w:r>
    </w:p>
    <w:p>
      <w:pPr>
        <w:pStyle w:val="BodyText"/>
      </w:pPr>
      <w:r>
        <w:t xml:space="preserve">$$\mathbf{B} =
\input{Bclm.tex}.$$</w:t>
      </w:r>
    </w:p>
    <w:p>
      <w:pPr>
        <w:pStyle w:val="FirstParagraph"/>
      </w:pPr>
      <w:r>
        <w:t xml:space="preserve">For the needleleaf, deciduous, and tropical PFTs, the vector</w:t>
      </w:r>
      <w:r>
        <w:t xml:space="preserve"> </w:t>
      </w:r>
      <m:oMath>
        <m:r>
          <m:rPr>
            <m:sty m:val="b"/>
          </m:rPr>
          <m:t>u</m:t>
        </m:r>
      </m:oMath>
      <w:r>
        <w:t xml:space="preserve"> </w:t>
      </w:r>
      <w:r>
        <w:t xml:space="preserve">is given by, respectively</w:t>
      </w:r>
    </w:p>
    <w:p>
      <w:pPr>
        <w:pStyle w:val="BodyText"/>
      </w:pPr>
      <w:r>
        <w:t xml:space="preserve">$${\bm u} =
\input{uCLM1.tex}, 
\quad {\bm u}=
\input{uCLM2.tex}, 
\quad {\bm u}=
\input{uCLM3.tex}.$$</w:t>
      </w:r>
    </w:p>
    <w:p>
      <w:pPr>
        <w:pStyle w:val="FirstParagraph"/>
      </w:pPr>
      <w:r>
        <w:t xml:space="preserve">For the following reduced complexity models, the average of parameters across all grid cells is given by the following matrices</w:t>
      </w:r>
    </w:p>
    <w:p>
      <w:pPr>
        <w:pStyle w:val="Heading3"/>
      </w:pPr>
      <w:bookmarkStart w:id="45" w:name="cesm"/>
      <w:r>
        <w:t xml:space="preserve">CESM</w:t>
      </w:r>
      <w:bookmarkEnd w:id="45"/>
    </w:p>
    <w:p>
      <w:pPr>
        <w:pStyle w:val="FirstParagraph"/>
      </w:pPr>
      <w:r>
        <w:t xml:space="preserve">$$\mathbf{B} =
\input{Bcesm.tex},
\quad {\bm u} =
\input{uCESM.tex}.$$</w:t>
      </w:r>
    </w:p>
    <w:p>
      <w:pPr>
        <w:pStyle w:val="Heading3"/>
      </w:pPr>
      <w:bookmarkStart w:id="46" w:name="ipsl"/>
      <w:r>
        <w:t xml:space="preserve">IPSL</w:t>
      </w:r>
      <w:bookmarkEnd w:id="46"/>
    </w:p>
    <w:p>
      <w:pPr>
        <w:pStyle w:val="FirstParagraph"/>
      </w:pPr>
      <w:r>
        <w:t xml:space="preserve">$$\mathbf{B} =
\input{Bipsl.tex},
\quad {\bm u} =
\input{uIPSL.tex}.$$</w:t>
      </w:r>
    </w:p>
    <w:p>
      <w:pPr>
        <w:pStyle w:val="Heading3"/>
      </w:pPr>
      <w:bookmarkStart w:id="47" w:name="mri"/>
      <w:r>
        <w:t xml:space="preserve">MRI</w:t>
      </w:r>
      <w:bookmarkEnd w:id="47"/>
    </w:p>
    <w:p>
      <w:pPr>
        <w:pStyle w:val="FirstParagraph"/>
      </w:pPr>
      <w:r>
        <w:t xml:space="preserve">$$\mathbf{B} =
\input{Bmri.tex},
\quad {\bm u} =
\input{uMRI.tex}.$$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59529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organic matter persistence as a stochastic process: age and transit time distributions of carbon in soils</dc:title>
  <dc:creator/>
  <cp:keywords/>
  <dcterms:created xsi:type="dcterms:W3CDTF">2018-03-09T15:23:21Z</dcterms:created>
  <dcterms:modified xsi:type="dcterms:W3CDTF">2018-03-09T15:23:21Z</dcterms:modified>
</cp:coreProperties>
</file>