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Register: Teradata to GCP Migration (Telecom - Dallas, TX)</w:t>
      </w:r>
    </w:p>
    <w:p>
      <w:r>
        <w:t>Estimated budget: $3.5M. Status: Planning phase. Use this register for workshop discussion and refinement.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Risk Description</w:t>
            </w:r>
          </w:p>
        </w:tc>
        <w:tc>
          <w:tcPr>
            <w:tcW w:type="dxa" w:w="1234"/>
          </w:tcPr>
          <w:p>
            <w:r>
              <w:t>Probability</w:t>
            </w:r>
          </w:p>
        </w:tc>
        <w:tc>
          <w:tcPr>
            <w:tcW w:type="dxa" w:w="1234"/>
          </w:tcPr>
          <w:p>
            <w:r>
              <w:t>Impact</w:t>
            </w:r>
          </w:p>
        </w:tc>
        <w:tc>
          <w:tcPr>
            <w:tcW w:type="dxa" w:w="1234"/>
          </w:tcPr>
          <w:p>
            <w:r>
              <w:t>Mitigation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Response Plan</w:t>
            </w:r>
          </w:p>
        </w:tc>
      </w:tr>
      <w:tr>
        <w:tc>
          <w:tcPr>
            <w:tcW w:type="dxa" w:w="1234"/>
          </w:tcPr>
          <w:p>
            <w:r>
              <w:t>Incomplete inventory of Teradata assets due to limited legacy documentation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Perform targeted discovery with DBAs; allocate SMEs for undocumented areas; use automated schema scanners</w:t>
            </w:r>
          </w:p>
        </w:tc>
        <w:tc>
          <w:tcPr>
            <w:tcW w:type="dxa" w:w="1234"/>
          </w:tcPr>
          <w:p>
            <w:r>
              <w:t>Data Engineering Lead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Immediate discovery sprint; escalate missing docs to Sponsor; schedule extended profiling window</w:t>
            </w:r>
          </w:p>
        </w:tc>
      </w:tr>
      <w:tr>
        <w:tc>
          <w:tcPr>
            <w:tcW w:type="dxa" w:w="1234"/>
          </w:tcPr>
          <w:p>
            <w:r>
              <w:t>Data loss during bulk migration or ETL translation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Implement checksum/hash reconciliation, row-count validation, and staged parallel runs; backup snapshots of source</w:t>
            </w:r>
          </w:p>
        </w:tc>
        <w:tc>
          <w:tcPr>
            <w:tcW w:type="dxa" w:w="1234"/>
          </w:tcPr>
          <w:p>
            <w:r>
              <w:t>Migration Lead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Halt migration on discrepancies; restore from backups; run incremental re-sync</w:t>
            </w:r>
          </w:p>
        </w:tc>
      </w:tr>
      <w:tr>
        <w:tc>
          <w:tcPr>
            <w:tcW w:type="dxa" w:w="1234"/>
          </w:tcPr>
          <w:p>
            <w:r>
              <w:t>SQL dialect and stored procedure incompatibilities (Teradata-&gt;BigQuery)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Inventory stored procs/macros; use automated conversion tools and SME review; build a conversion validation framework</w:t>
            </w:r>
          </w:p>
        </w:tc>
        <w:tc>
          <w:tcPr>
            <w:tcW w:type="dxa" w:w="1234"/>
          </w:tcPr>
          <w:p>
            <w:r>
              <w:t>Data Platform Architect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Prioritise business-critical queries for manual conversion; allocate spike tasks for complex macros</w:t>
            </w:r>
          </w:p>
        </w:tc>
      </w:tr>
      <w:tr>
        <w:tc>
          <w:tcPr>
            <w:tcW w:type="dxa" w:w="1234"/>
          </w:tcPr>
          <w:p>
            <w:r>
              <w:t>Performance regressions post-migration impacting SLAs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Establish performance baselines; run benchmarking; design slot reservations and BI Engine; query tuning cadence</w:t>
            </w:r>
          </w:p>
        </w:tc>
        <w:tc>
          <w:tcPr>
            <w:tcW w:type="dxa" w:w="1234"/>
          </w:tcPr>
          <w:p>
            <w:r>
              <w:t>Performance Engineer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Rollback to Teradata for critical workloads; increase BigQuery resources temporarily; create optimization tickets</w:t>
            </w:r>
          </w:p>
        </w:tc>
      </w:tr>
      <w:tr>
        <w:tc>
          <w:tcPr>
            <w:tcW w:type="dxa" w:w="1234"/>
          </w:tcPr>
          <w:p>
            <w:r>
              <w:t>Regulatory non-compliance (SOX/HIPAA/CPNI handling)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Engage Compliance early; document controls; enforce masking and access controls; audit logging via Cloud Logging</w:t>
            </w:r>
          </w:p>
        </w:tc>
        <w:tc>
          <w:tcPr>
            <w:tcW w:type="dxa" w:w="1234"/>
          </w:tcPr>
          <w:p>
            <w:r>
              <w:t>Compliance Lead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Pause deployments for non-compliant domains; remediate controls and re-audit</w:t>
            </w:r>
          </w:p>
        </w:tc>
      </w:tr>
      <w:tr>
        <w:tc>
          <w:tcPr>
            <w:tcW w:type="dxa" w:w="1234"/>
          </w:tcPr>
          <w:p>
            <w:r>
              <w:t>CPNI exposure due to incomplete masking or misconfigured views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GCP compliance team to implement masking for CPNI; review views and RBAC; test with privileged access workflows</w:t>
            </w:r>
          </w:p>
        </w:tc>
        <w:tc>
          <w:tcPr>
            <w:tcW w:type="dxa" w:w="1234"/>
          </w:tcPr>
          <w:p>
            <w:r>
              <w:t>Security Lead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Revoke problematic views; reimplement masking; notify affected stakeholders</w:t>
            </w:r>
          </w:p>
        </w:tc>
      </w:tr>
      <w:tr>
        <w:tc>
          <w:tcPr>
            <w:tcW w:type="dxa" w:w="1234"/>
          </w:tcPr>
          <w:p>
            <w:r>
              <w:t>Vendor SLA gaps for migration tooling or managed services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Document required SLAs; maintain contingency vendors; negotiate interim terms; include penalties</w:t>
            </w:r>
          </w:p>
        </w:tc>
        <w:tc>
          <w:tcPr>
            <w:tcW w:type="dxa" w:w="1234"/>
          </w:tcPr>
          <w:p>
            <w:r>
              <w:t>Procurement Lead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Escalate to Vendor Management; open change order or procure alternatives</w:t>
            </w:r>
          </w:p>
        </w:tc>
      </w:tr>
      <w:tr>
        <w:tc>
          <w:tcPr>
            <w:tcW w:type="dxa" w:w="1234"/>
          </w:tcPr>
          <w:p>
            <w:r>
              <w:t>Third-party BI tool compatibility and re-pointing risks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Early testing with Tableau/Looker/Power BI; create connector templates; vendor engagement for drivers</w:t>
            </w:r>
          </w:p>
        </w:tc>
        <w:tc>
          <w:tcPr>
            <w:tcW w:type="dxa" w:w="1234"/>
          </w:tcPr>
          <w:p>
            <w:r>
              <w:t>Integration Lead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Maintain dual connections during parallel run; provide fallback reports</w:t>
            </w:r>
          </w:p>
        </w:tc>
      </w:tr>
      <w:tr>
        <w:tc>
          <w:tcPr>
            <w:tcW w:type="dxa" w:w="1234"/>
          </w:tcPr>
          <w:p>
            <w:r>
              <w:t>Insufficient SME availability (20% allocated to opex)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Resource levelling; hire/contract temporary specialists; protect key SME time in schedule</w:t>
            </w:r>
          </w:p>
        </w:tc>
        <w:tc>
          <w:tcPr>
            <w:tcW w:type="dxa" w:w="1234"/>
          </w:tcPr>
          <w:p>
            <w:r>
              <w:t>Resource Manager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Reprioritise waves; request budget for contractors; escalate staffing to Sponsor</w:t>
            </w:r>
          </w:p>
        </w:tc>
      </w:tr>
      <w:tr>
        <w:tc>
          <w:tcPr>
            <w:tcW w:type="dxa" w:w="1234"/>
          </w:tcPr>
          <w:p>
            <w:r>
              <w:t>Fixed timeline pressure causing rushed validation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Build formal quality gates; reserve buffer time in waves; obtain executive buy-in for scope-based trade-offs</w:t>
            </w:r>
          </w:p>
        </w:tc>
        <w:tc>
          <w:tcPr>
            <w:tcW w:type="dxa" w:w="1234"/>
          </w:tcPr>
          <w:p>
            <w:r>
              <w:t>Project Manager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Defer non-critical waves; request timeline extension or reduce scope</w:t>
            </w:r>
          </w:p>
        </w:tc>
      </w:tr>
      <w:tr>
        <w:tc>
          <w:tcPr>
            <w:tcW w:type="dxa" w:w="1234"/>
          </w:tcPr>
          <w:p>
            <w:r>
              <w:t>Data quality issues discovered late during UAT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Early profiling and data quality rules; create data repair playbooks; involve business SMEs</w:t>
            </w:r>
          </w:p>
        </w:tc>
        <w:tc>
          <w:tcPr>
            <w:tcW w:type="dxa" w:w="1234"/>
          </w:tcPr>
          <w:p>
            <w:r>
              <w:t>Data Governance Lead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Implement corrective ETL rules; quarantine affected datasets; schedule remediation sprints</w:t>
            </w:r>
          </w:p>
        </w:tc>
      </w:tr>
      <w:tr>
        <w:tc>
          <w:tcPr>
            <w:tcW w:type="dxa" w:w="1234"/>
          </w:tcPr>
          <w:p>
            <w:r>
              <w:t>Security misconfigurations in GCP IAM or VPC exposing data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Use least privilege, org policy constraints, VPC Service Controls, and periodic security reviews; automated scanning</w:t>
            </w:r>
          </w:p>
        </w:tc>
        <w:tc>
          <w:tcPr>
            <w:tcW w:type="dxa" w:w="1234"/>
          </w:tcPr>
          <w:p>
            <w:r>
              <w:t>Cloud Security Lead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Revoke offending permissions; apply emergency org policies; conduct forensics</w:t>
            </w:r>
          </w:p>
        </w:tc>
      </w:tr>
      <w:tr>
        <w:tc>
          <w:tcPr>
            <w:tcW w:type="dxa" w:w="1234"/>
          </w:tcPr>
          <w:p>
            <w:r>
              <w:t>Cost overruns due to unexpected BigQuery or Storage usage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Set budget alerts, cost governance, use reservations, and run cost modelling; enforce dataset lifecycle policies</w:t>
            </w:r>
          </w:p>
        </w:tc>
        <w:tc>
          <w:tcPr>
            <w:tcW w:type="dxa" w:w="1234"/>
          </w:tcPr>
          <w:p>
            <w:r>
              <w:t>Finance Lead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Throttle heavy queries; enable cost controls; request contingency budget</w:t>
            </w:r>
          </w:p>
        </w:tc>
      </w:tr>
      <w:tr>
        <w:tc>
          <w:tcPr>
            <w:tcW w:type="dxa" w:w="1234"/>
          </w:tcPr>
          <w:p>
            <w:r>
              <w:t>Incomplete auditability or logging for regulatory evidence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Design logging requirements early; enable Cloud Logging and export logs to immutable storage; validate retention policies</w:t>
            </w:r>
          </w:p>
        </w:tc>
        <w:tc>
          <w:tcPr>
            <w:tcW w:type="dxa" w:w="1234"/>
          </w:tcPr>
          <w:p>
            <w:r>
              <w:t>Compliance Lead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Enable missing logging, rebuild audit trails where possible, notify auditors</w:t>
            </w:r>
          </w:p>
        </w:tc>
      </w:tr>
      <w:tr>
        <w:tc>
          <w:tcPr>
            <w:tcW w:type="dxa" w:w="1234"/>
          </w:tcPr>
          <w:p>
            <w:r>
              <w:t>Parallel run complexity causing data divergence between Teradata and BigQuery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Define clear dual-write or reconciliation strategy; frequent sync checkpoints; automated diff reports</w:t>
            </w:r>
          </w:p>
        </w:tc>
        <w:tc>
          <w:tcPr>
            <w:tcW w:type="dxa" w:w="1234"/>
          </w:tcPr>
          <w:p>
            <w:r>
              <w:t>Migration Lead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Freeze cutover until divergence resolved; fallback to latest consistent snapshot</w:t>
            </w:r>
          </w:p>
        </w:tc>
      </w:tr>
      <w:tr>
        <w:tc>
          <w:tcPr>
            <w:tcW w:type="dxa" w:w="1234"/>
          </w:tcPr>
          <w:p>
            <w:r>
              <w:t>Decommissioning errors causing accidental loss of production Teradata data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Controlled decommission runbook, approvals, and hold periods; preserve backups and retention snapshots</w:t>
            </w:r>
          </w:p>
        </w:tc>
        <w:tc>
          <w:tcPr>
            <w:tcW w:type="dxa" w:w="1234"/>
          </w:tcPr>
          <w:p>
            <w:r>
              <w:t>Operations Lead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Immediately restore from snapshot; delay decommission until validation complete</w:t>
            </w:r>
          </w:p>
        </w:tc>
      </w:tr>
      <w:tr>
        <w:tc>
          <w:tcPr>
            <w:tcW w:type="dxa" w:w="1234"/>
          </w:tcPr>
          <w:p>
            <w:r>
              <w:t>Legal or contract constraints with Teradata licensing during migration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Review contracts early with Legal; plan license transition; budget for buyouts if required</w:t>
            </w:r>
          </w:p>
        </w:tc>
        <w:tc>
          <w:tcPr>
            <w:tcW w:type="dxa" w:w="1234"/>
          </w:tcPr>
          <w:p>
            <w:r>
              <w:t>Legal/Procurement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Negotiate transitional license terms; allocate legal support</w:t>
            </w:r>
          </w:p>
        </w:tc>
      </w:tr>
      <w:tr>
        <w:tc>
          <w:tcPr>
            <w:tcW w:type="dxa" w:w="1234"/>
          </w:tcPr>
          <w:p>
            <w:r>
              <w:t>Integration breaks for upstream systems still pointing to Teradata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Inventory consumers; communicate cutover schedule; provide APIs/replication where needed</w:t>
            </w:r>
          </w:p>
        </w:tc>
        <w:tc>
          <w:tcPr>
            <w:tcW w:type="dxa" w:w="1234"/>
          </w:tcPr>
          <w:p>
            <w:r>
              <w:t>Integration Lead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Repoint affected systems; maintain hybrid access during transition</w:t>
            </w:r>
          </w:p>
        </w:tc>
      </w:tr>
      <w:tr>
        <w:tc>
          <w:tcPr>
            <w:tcW w:type="dxa" w:w="1234"/>
          </w:tcPr>
          <w:p>
            <w:r>
              <w:t>Resistance to change and lack of business adoption post-migration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Change management plan, training, and stakeholder engagement; early demos and pilot wins</w:t>
            </w:r>
          </w:p>
        </w:tc>
        <w:tc>
          <w:tcPr>
            <w:tcW w:type="dxa" w:w="1234"/>
          </w:tcPr>
          <w:p>
            <w:r>
              <w:t>Change Lead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Run targeted training; collect feedback; provide business escalation routes</w:t>
            </w:r>
          </w:p>
        </w:tc>
      </w:tr>
      <w:tr>
        <w:tc>
          <w:tcPr>
            <w:tcW w:type="dxa" w:w="1234"/>
          </w:tcPr>
          <w:p>
            <w:r>
              <w:t>Backup/restore and DR strategy not validated in cloud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Implement and test DR runbooks; RTO/RPO validation; regional replication if required</w:t>
            </w:r>
          </w:p>
        </w:tc>
        <w:tc>
          <w:tcPr>
            <w:tcW w:type="dxa" w:w="1234"/>
          </w:tcPr>
          <w:p>
            <w:r>
              <w:t>DR/Operations Lead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Trigger DR drills; failover to standby; remediate gaps</w:t>
            </w:r>
          </w:p>
        </w:tc>
      </w:tr>
      <w:tr>
        <w:tc>
          <w:tcPr>
            <w:tcW w:type="dxa" w:w="1234"/>
          </w:tcPr>
          <w:p>
            <w:r>
              <w:t>Dependency on single vendor/tool for SQL conversion creating lock-in risk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Evaluate multiple tools; keep conversion artifacts portable; include source control for conversion scripts</w:t>
            </w:r>
          </w:p>
        </w:tc>
        <w:tc>
          <w:tcPr>
            <w:tcW w:type="dxa" w:w="1234"/>
          </w:tcPr>
          <w:p>
            <w:r>
              <w:t>Tooling Lead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Switch to fallback tooling; roll back to manual conversion for critical items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