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527C2C" w:rsidRDefault="00B00A85" w:rsidP="00B00A85">
      <w:pPr>
        <w:spacing w:after="0" w:line="240" w:lineRule="auto"/>
        <w:rPr>
          <w:rFonts w:ascii="Albertus MT Lt" w:hAnsi="Albertus MT Lt"/>
          <w:sz w:val="24"/>
          <w:szCs w:val="24"/>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p>
    <w:p w:rsidR="00B00A85" w:rsidRDefault="003E3CEB" w:rsidP="00527C2C">
      <w:pPr>
        <w:spacing w:after="0"/>
        <w:jc w:val="right"/>
        <w:rPr>
          <w:rFonts w:ascii="Tahoma" w:hAnsi="Tahoma" w:cs="Tahoma"/>
          <w:b/>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Kind Attn: </w:t>
      </w:r>
      <w:r w:rsidR="00644279">
        <w:rPr>
          <w:rFonts w:ascii="Tahoma" w:hAnsi="Tahoma" w:cs="Tahoma"/>
          <w:b/>
        </w:rPr>
        <w:t xml:space="preserve">Shri </w:t>
      </w:r>
      <w:proofErr w:type="spellStart"/>
      <w:r w:rsidR="00644279">
        <w:rPr>
          <w:rFonts w:ascii="Tahoma" w:hAnsi="Tahoma" w:cs="Tahoma"/>
          <w:b/>
        </w:rPr>
        <w:t>Sa</w:t>
      </w:r>
      <w:r w:rsidR="00B30758">
        <w:rPr>
          <w:rFonts w:ascii="Tahoma" w:hAnsi="Tahoma" w:cs="Tahoma"/>
          <w:b/>
        </w:rPr>
        <w:t>tpal</w:t>
      </w:r>
      <w:proofErr w:type="spellEnd"/>
      <w:r w:rsidR="00B30758">
        <w:rPr>
          <w:rFonts w:ascii="Tahoma" w:hAnsi="Tahoma" w:cs="Tahoma"/>
          <w:b/>
        </w:rPr>
        <w:t xml:space="preserve"> Yadav</w:t>
      </w:r>
      <w:r w:rsidR="00B00A85">
        <w:rPr>
          <w:rFonts w:ascii="Tahoma" w:hAnsi="Tahoma" w:cs="Tahoma"/>
          <w:b/>
        </w:rPr>
        <w:t>,</w:t>
      </w:r>
    </w:p>
    <w:p w:rsidR="003E3CEB" w:rsidRPr="00B30758" w:rsidRDefault="00B30758" w:rsidP="00527C2C">
      <w:pPr>
        <w:spacing w:after="0"/>
        <w:jc w:val="right"/>
        <w:rPr>
          <w:rFonts w:ascii="Tahoma" w:hAnsi="Tahoma" w:cs="Tahoma"/>
          <w:bCs/>
          <w:u w:val="single"/>
          <w:lang w:val="en-US"/>
        </w:rPr>
      </w:pPr>
      <w:r w:rsidRPr="00B30758">
        <w:rPr>
          <w:rFonts w:ascii="Tahoma" w:hAnsi="Tahoma" w:cs="Tahoma"/>
          <w:bCs/>
          <w:u w:val="single"/>
        </w:rPr>
        <w:t>ASO</w:t>
      </w:r>
      <w:r w:rsidR="00242B88">
        <w:rPr>
          <w:rFonts w:ascii="Tahoma" w:hAnsi="Tahoma" w:cs="Tahoma"/>
          <w:bCs/>
          <w:u w:val="single"/>
        </w:rPr>
        <w:t xml:space="preserve"> </w:t>
      </w:r>
      <w:r w:rsidR="002833F9">
        <w:rPr>
          <w:rFonts w:ascii="Tahoma" w:hAnsi="Tahoma" w:cs="Tahoma"/>
          <w:bCs/>
          <w:u w:val="single"/>
        </w:rPr>
        <w:t>(</w:t>
      </w:r>
      <w:r w:rsidRPr="00B30758">
        <w:rPr>
          <w:rFonts w:ascii="Tahoma" w:hAnsi="Tahoma" w:cs="Tahoma"/>
          <w:bCs/>
          <w:u w:val="single"/>
        </w:rPr>
        <w:t>ONG-I and ONG-V</w:t>
      </w:r>
      <w:r w:rsidR="002833F9">
        <w:rPr>
          <w:rFonts w:ascii="Tahoma" w:hAnsi="Tahoma" w:cs="Tahoma"/>
          <w:bCs/>
          <w:u w:val="single"/>
        </w:rPr>
        <w:t>)</w:t>
      </w:r>
      <w:r w:rsidRPr="00B30758">
        <w:rPr>
          <w:rFonts w:ascii="Tahoma" w:hAnsi="Tahoma" w:cs="Tahoma"/>
          <w:bCs/>
          <w:u w:val="single"/>
        </w:rPr>
        <w:t xml:space="preserve"> </w:t>
      </w:r>
    </w:p>
    <w:p w:rsidR="003E3CEB" w:rsidRDefault="003E3CEB" w:rsidP="00BA37C1">
      <w:pPr>
        <w:spacing w:after="0"/>
        <w:ind w:right="-482"/>
        <w:jc w:val="center"/>
        <w:rPr>
          <w:rFonts w:ascii="Tahoma" w:hAnsi="Tahoma" w:cs="Tahoma"/>
          <w:bCs/>
          <w:u w:val="single"/>
        </w:rPr>
      </w:pP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8113A4">
      <w:pPr>
        <w:tabs>
          <w:tab w:val="left" w:pos="1440"/>
        </w:tabs>
        <w:spacing w:after="0" w:line="24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644279">
        <w:rPr>
          <w:rFonts w:ascii="Tahoma" w:hAnsi="Tahoma" w:cs="Tahoma"/>
          <w:lang w:val="en-US"/>
        </w:rPr>
        <w:t>Rajya</w:t>
      </w:r>
      <w:r>
        <w:rPr>
          <w:rFonts w:ascii="Tahoma" w:hAnsi="Tahoma" w:cs="Tahoma"/>
          <w:lang w:val="en-US"/>
        </w:rPr>
        <w:t xml:space="preserve"> Sabha Provisionally Admitted </w:t>
      </w:r>
      <w:r w:rsidR="00644279">
        <w:rPr>
          <w:rFonts w:ascii="Tahoma" w:hAnsi="Tahoma" w:cs="Tahoma"/>
          <w:lang w:val="en-US"/>
        </w:rPr>
        <w:t>S</w:t>
      </w:r>
      <w:r>
        <w:rPr>
          <w:rFonts w:ascii="Tahoma" w:hAnsi="Tahoma" w:cs="Tahoma"/>
          <w:lang w:val="en-US"/>
        </w:rPr>
        <w:t>tarred</w:t>
      </w:r>
      <w:r w:rsidR="00644279">
        <w:rPr>
          <w:rFonts w:ascii="Tahoma" w:hAnsi="Tahoma" w:cs="Tahoma"/>
          <w:lang w:val="en-US"/>
        </w:rPr>
        <w:t xml:space="preserve"> /Unstarred</w:t>
      </w:r>
      <w:r>
        <w:rPr>
          <w:rFonts w:ascii="Tahoma" w:hAnsi="Tahoma" w:cs="Tahoma"/>
          <w:lang w:val="en-US"/>
        </w:rPr>
        <w:t xml:space="preserve"> Question Dy. No. </w:t>
      </w:r>
      <w:r w:rsidR="00644279">
        <w:rPr>
          <w:rFonts w:ascii="Tahoma" w:hAnsi="Tahoma" w:cs="Tahoma"/>
          <w:b/>
          <w:bCs/>
        </w:rPr>
        <w:t>S1</w:t>
      </w:r>
      <w:r w:rsidR="00752DB9">
        <w:rPr>
          <w:rFonts w:ascii="Tahoma" w:hAnsi="Tahoma" w:cs="Tahoma"/>
          <w:b/>
          <w:bCs/>
        </w:rPr>
        <w:t>452</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02</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745353">
      <w:pPr>
        <w:tabs>
          <w:tab w:val="left" w:pos="1440"/>
        </w:tabs>
        <w:spacing w:after="0" w:line="240" w:lineRule="auto"/>
        <w:ind w:left="1701" w:right="-988" w:hanging="1701"/>
        <w:rPr>
          <w:rFonts w:ascii="Tahoma" w:hAnsi="Tahoma" w:cs="Tahoma"/>
          <w:b/>
          <w:bCs/>
        </w:rPr>
      </w:pPr>
      <w:r>
        <w:rPr>
          <w:rFonts w:ascii="Tahoma" w:hAnsi="Tahoma" w:cs="Tahoma"/>
          <w:lang w:val="en-US"/>
        </w:rPr>
        <w:t xml:space="preserve">        Regarding </w:t>
      </w:r>
      <w:r>
        <w:rPr>
          <w:rFonts w:ascii="Tahoma" w:hAnsi="Tahoma" w:cs="Tahoma"/>
          <w:b/>
          <w:lang w:val="en-US"/>
        </w:rPr>
        <w:t>“</w:t>
      </w:r>
      <w:r w:rsidR="00752DB9" w:rsidRPr="00752DB9">
        <w:rPr>
          <w:rFonts w:ascii="Tahoma" w:hAnsi="Tahoma" w:cs="Tahoma"/>
          <w:b/>
          <w:bCs/>
        </w:rPr>
        <w:t>Hydrocarbon Exploration and Licensing Policy (HELP): Attracting Investments</w:t>
      </w:r>
      <w:r>
        <w:rPr>
          <w:rFonts w:ascii="Tahoma" w:hAnsi="Tahoma" w:cs="Tahoma"/>
          <w:b/>
          <w:bCs/>
        </w:rPr>
        <w:t>”</w:t>
      </w:r>
    </w:p>
    <w:p w:rsidR="00745353" w:rsidRDefault="00745353" w:rsidP="008113A4">
      <w:pPr>
        <w:tabs>
          <w:tab w:val="left" w:pos="1440"/>
        </w:tabs>
        <w:spacing w:after="0" w:line="240" w:lineRule="auto"/>
        <w:ind w:left="1701" w:right="-572" w:hanging="1701"/>
        <w:rPr>
          <w:rFonts w:ascii="Tahoma" w:hAnsi="Tahoma" w:cs="Tahoma"/>
          <w:b/>
        </w:rPr>
      </w:pPr>
    </w:p>
    <w:p w:rsidR="003E3CEB" w:rsidRDefault="003E3CEB" w:rsidP="008113A4">
      <w:pPr>
        <w:tabs>
          <w:tab w:val="left" w:pos="709"/>
          <w:tab w:val="center" w:pos="4817"/>
        </w:tabs>
        <w:spacing w:after="0" w:line="24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21</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Default="003E3CEB" w:rsidP="003E3CEB">
      <w:pPr>
        <w:tabs>
          <w:tab w:val="left" w:pos="709"/>
          <w:tab w:val="center" w:pos="4817"/>
        </w:tabs>
        <w:spacing w:after="0"/>
        <w:ind w:right="-306"/>
        <w:rPr>
          <w:rFonts w:ascii="Tahoma" w:hAnsi="Tahoma" w:cs="Tahoma"/>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644279">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531"/>
        <w:gridCol w:w="5219"/>
      </w:tblGrid>
      <w:tr w:rsidR="003E3CEB" w:rsidTr="00242B88">
        <w:trPr>
          <w:trHeight w:val="1208"/>
        </w:trPr>
        <w:tc>
          <w:tcPr>
            <w:tcW w:w="4531"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rsidR="00527C2C" w:rsidRDefault="003E3CEB" w:rsidP="00752DB9">
            <w:pPr>
              <w:pStyle w:val="xmsonormal"/>
              <w:jc w:val="both"/>
              <w:rPr>
                <w:rStyle w:val="xsize"/>
                <w:rFonts w:ascii="Tahoma" w:hAnsi="Tahoma" w:cs="Tahoma"/>
                <w:i/>
                <w:iCs/>
                <w:sz w:val="22"/>
                <w:szCs w:val="22"/>
                <w:lang w:val="en-IN"/>
              </w:rPr>
            </w:pPr>
            <w:r w:rsidRPr="008113A4">
              <w:rPr>
                <w:rFonts w:ascii="Tahoma" w:hAnsi="Tahoma" w:cs="Tahoma"/>
                <w:i/>
                <w:iCs/>
                <w:sz w:val="22"/>
                <w:szCs w:val="22"/>
              </w:rPr>
              <w:t>Q.(</w:t>
            </w:r>
            <w:r w:rsidR="00BA37C1" w:rsidRPr="008113A4">
              <w:rPr>
                <w:rFonts w:ascii="Tahoma" w:hAnsi="Tahoma" w:cs="Tahoma"/>
                <w:i/>
                <w:iCs/>
                <w:sz w:val="22"/>
                <w:szCs w:val="22"/>
              </w:rPr>
              <w:t xml:space="preserve">a) </w:t>
            </w:r>
            <w:r w:rsidR="00752DB9" w:rsidRPr="00752DB9">
              <w:rPr>
                <w:rStyle w:val="xsize"/>
                <w:rFonts w:ascii="Tahoma" w:hAnsi="Tahoma" w:cs="Tahoma"/>
                <w:i/>
                <w:iCs/>
                <w:sz w:val="22"/>
                <w:szCs w:val="22"/>
                <w:lang w:val="en-IN"/>
              </w:rPr>
              <w:t xml:space="preserve">How can the Indian government balance the need to attract significant investments in hydrocarbon exploration with the imperative to ensure environmental sustainability and minimize the ecological footprint of these activities, particularly in sensitive ecosystems like the Krishna-Godavari Basin? </w:t>
            </w:r>
          </w:p>
          <w:p w:rsidR="00745353" w:rsidRDefault="00745353" w:rsidP="00752DB9">
            <w:pPr>
              <w:pStyle w:val="xmsonormal"/>
              <w:jc w:val="both"/>
              <w:rPr>
                <w:rFonts w:ascii="Tahoma" w:hAnsi="Tahoma" w:cs="Tahoma"/>
                <w:i/>
                <w:iCs/>
                <w:sz w:val="22"/>
                <w:szCs w:val="22"/>
                <w:lang w:val="en-IN"/>
              </w:rPr>
            </w:pPr>
          </w:p>
          <w:p w:rsidR="00745353" w:rsidRPr="00752DB9" w:rsidRDefault="00745353" w:rsidP="00752DB9">
            <w:pPr>
              <w:pStyle w:val="xmsonormal"/>
              <w:jc w:val="both"/>
              <w:rPr>
                <w:rFonts w:ascii="Tahoma" w:hAnsi="Tahoma" w:cs="Tahoma"/>
                <w:i/>
                <w:iCs/>
                <w:sz w:val="22"/>
                <w:szCs w:val="22"/>
                <w:lang w:val="en-IN"/>
              </w:rPr>
            </w:pPr>
          </w:p>
        </w:tc>
        <w:tc>
          <w:tcPr>
            <w:tcW w:w="5219" w:type="dxa"/>
            <w:tcBorders>
              <w:top w:val="single" w:sz="4" w:space="0" w:color="auto"/>
              <w:left w:val="single" w:sz="4" w:space="0" w:color="auto"/>
              <w:bottom w:val="single" w:sz="4" w:space="0" w:color="auto"/>
              <w:right w:val="single" w:sz="4" w:space="0" w:color="auto"/>
            </w:tcBorders>
            <w:hideMark/>
          </w:tcPr>
          <w:p w:rsidR="008113A4" w:rsidRPr="00242B88" w:rsidRDefault="003E3CEB" w:rsidP="00B30758">
            <w:pPr>
              <w:spacing w:after="0" w:line="240" w:lineRule="auto"/>
              <w:jc w:val="both"/>
              <w:rPr>
                <w:rFonts w:ascii="Tahoma" w:eastAsia="Times New Roman" w:hAnsi="Tahoma" w:cs="Tahoma"/>
                <w:b/>
                <w:bCs/>
                <w:kern w:val="2"/>
                <w14:ligatures w14:val="standardContextual"/>
              </w:rPr>
            </w:pPr>
            <w:r w:rsidRPr="00242B88">
              <w:rPr>
                <w:rFonts w:ascii="Tahoma" w:hAnsi="Tahoma" w:cs="Tahoma"/>
                <w:b/>
                <w:lang w:val="en-US"/>
              </w:rPr>
              <w:t>Answer to Q(a</w:t>
            </w:r>
            <w:r w:rsidR="00B30758" w:rsidRPr="00242B88">
              <w:rPr>
                <w:rFonts w:ascii="Tahoma" w:hAnsi="Tahoma" w:cs="Tahoma"/>
                <w:b/>
                <w:lang w:val="en-US"/>
              </w:rPr>
              <w:t>):</w:t>
            </w:r>
            <w:r w:rsidRPr="00242B88">
              <w:rPr>
                <w:rFonts w:ascii="Tahoma" w:hAnsi="Tahoma" w:cs="Tahoma"/>
                <w:lang w:val="en-US"/>
              </w:rPr>
              <w:t xml:space="preserve"> </w:t>
            </w:r>
            <w:proofErr w:type="spellStart"/>
            <w:r w:rsidRPr="00242B88">
              <w:rPr>
                <w:rFonts w:ascii="Tahoma" w:eastAsia="Times New Roman" w:hAnsi="Tahoma" w:cs="Tahoma"/>
                <w:b/>
                <w:bCs/>
                <w:kern w:val="2"/>
                <w14:ligatures w14:val="standardContextual"/>
              </w:rPr>
              <w:t>MoPNG</w:t>
            </w:r>
            <w:proofErr w:type="spellEnd"/>
            <w:r w:rsidRPr="00242B88">
              <w:rPr>
                <w:rFonts w:ascii="Tahoma" w:eastAsia="Times New Roman" w:hAnsi="Tahoma" w:cs="Tahoma"/>
                <w:b/>
                <w:bCs/>
                <w:kern w:val="2"/>
                <w14:ligatures w14:val="standardContextual"/>
              </w:rPr>
              <w:t xml:space="preserve"> may reply suitably.</w:t>
            </w:r>
          </w:p>
          <w:p w:rsidR="00242B88" w:rsidRPr="00242B88" w:rsidRDefault="008113A4" w:rsidP="00242B88">
            <w:pPr>
              <w:jc w:val="both"/>
              <w:rPr>
                <w:rFonts w:ascii="Tahoma" w:hAnsi="Tahoma" w:cs="Tahoma"/>
              </w:rPr>
            </w:pPr>
            <w:r w:rsidRPr="00242B88">
              <w:rPr>
                <w:rFonts w:ascii="Tahoma" w:eastAsia="Times New Roman" w:hAnsi="Tahoma" w:cs="Tahoma"/>
                <w:kern w:val="2"/>
                <w14:ligatures w14:val="standardContextual"/>
              </w:rPr>
              <w:t>As far as Oil India Limited (OIL) is concerned,</w:t>
            </w:r>
            <w:r w:rsidR="003E3CEB" w:rsidRPr="00242B88">
              <w:rPr>
                <w:rFonts w:ascii="Tahoma" w:eastAsia="Times New Roman" w:hAnsi="Tahoma" w:cs="Tahoma"/>
                <w:b/>
                <w:bCs/>
                <w:kern w:val="2"/>
                <w14:ligatures w14:val="standardContextual"/>
              </w:rPr>
              <w:t xml:space="preserve"> </w:t>
            </w:r>
            <w:r w:rsidR="00242B88" w:rsidRPr="00242B88">
              <w:rPr>
                <w:rFonts w:ascii="Tahoma" w:hAnsi="Tahoma" w:cs="Tahoma"/>
              </w:rPr>
              <w:t>The ORD Amendment Act and PNG Rules 2025 fundamentally modernize India’s upstream regulatory architecture.</w:t>
            </w:r>
          </w:p>
          <w:p w:rsidR="00242B88" w:rsidRPr="00242B88" w:rsidRDefault="00242B88" w:rsidP="00242B88">
            <w:pPr>
              <w:pStyle w:val="ListParagraph"/>
              <w:numPr>
                <w:ilvl w:val="0"/>
                <w:numId w:val="1"/>
              </w:numPr>
              <w:jc w:val="both"/>
              <w:rPr>
                <w:rFonts w:ascii="Tahoma" w:hAnsi="Tahoma" w:cs="Tahoma"/>
              </w:rPr>
            </w:pPr>
            <w:r w:rsidRPr="00242B88">
              <w:rPr>
                <w:rFonts w:ascii="Tahoma" w:hAnsi="Tahoma" w:cs="Tahoma"/>
              </w:rPr>
              <w:t>The ORD Amendment Act formally redefines “mineral oils” to include unconventional hydrocarbons</w:t>
            </w:r>
          </w:p>
          <w:p w:rsidR="00242B88" w:rsidRPr="00242B88" w:rsidRDefault="00242B88" w:rsidP="00242B88">
            <w:pPr>
              <w:pStyle w:val="ListParagraph"/>
              <w:numPr>
                <w:ilvl w:val="0"/>
                <w:numId w:val="1"/>
              </w:numPr>
              <w:jc w:val="both"/>
              <w:rPr>
                <w:rFonts w:ascii="Tahoma" w:hAnsi="Tahoma" w:cs="Tahoma"/>
              </w:rPr>
            </w:pPr>
            <w:r w:rsidRPr="00242B88">
              <w:rPr>
                <w:rFonts w:ascii="Tahoma" w:hAnsi="Tahoma" w:cs="Tahoma"/>
              </w:rPr>
              <w:t>The PNG rules 2025 has bought one unified petroleum lease covering exploration, development and production of all hydrocarbons.</w:t>
            </w:r>
          </w:p>
          <w:p w:rsidR="00242B88" w:rsidRPr="00242B88" w:rsidRDefault="00242B88" w:rsidP="00242B88">
            <w:pPr>
              <w:pStyle w:val="ListParagraph"/>
              <w:numPr>
                <w:ilvl w:val="0"/>
                <w:numId w:val="1"/>
              </w:numPr>
              <w:jc w:val="both"/>
              <w:rPr>
                <w:rFonts w:ascii="Tahoma" w:hAnsi="Tahoma" w:cs="Tahoma"/>
              </w:rPr>
            </w:pPr>
            <w:r w:rsidRPr="00242B88">
              <w:rPr>
                <w:rFonts w:ascii="Tahoma" w:hAnsi="Tahoma" w:cs="Tahoma"/>
              </w:rPr>
              <w:t>Faster Approvals as applications are decided within 180 days.</w:t>
            </w:r>
          </w:p>
          <w:p w:rsidR="00242B88" w:rsidRPr="00242B88" w:rsidRDefault="00242B88" w:rsidP="00242B88">
            <w:pPr>
              <w:pStyle w:val="ListParagraph"/>
              <w:numPr>
                <w:ilvl w:val="0"/>
                <w:numId w:val="1"/>
              </w:numPr>
              <w:jc w:val="both"/>
              <w:rPr>
                <w:rFonts w:ascii="Tahoma" w:hAnsi="Tahoma" w:cs="Tahoma"/>
              </w:rPr>
            </w:pPr>
            <w:r w:rsidRPr="00242B88">
              <w:rPr>
                <w:rFonts w:ascii="Tahoma" w:hAnsi="Tahoma" w:cs="Tahoma"/>
              </w:rPr>
              <w:t>The PNG rules 2025 allow for infrastructure sharing, third party access thus lowering the capex requirements for new entrants.</w:t>
            </w:r>
          </w:p>
          <w:p w:rsidR="00242B88" w:rsidRPr="00242B88" w:rsidRDefault="00242B88" w:rsidP="00242B88">
            <w:pPr>
              <w:jc w:val="both"/>
              <w:rPr>
                <w:rFonts w:ascii="Tahoma" w:hAnsi="Tahoma" w:cs="Tahoma"/>
              </w:rPr>
            </w:pPr>
            <w:r w:rsidRPr="00242B88">
              <w:rPr>
                <w:rFonts w:ascii="Tahoma" w:hAnsi="Tahoma" w:cs="Tahoma"/>
              </w:rPr>
              <w:t>The above facilitate Ease of Doing Business in ecologically sensitive areas like the KG Basin.</w:t>
            </w:r>
          </w:p>
          <w:p w:rsidR="00242B88" w:rsidRPr="00242B88" w:rsidRDefault="00242B88" w:rsidP="00242B88">
            <w:pPr>
              <w:jc w:val="both"/>
              <w:rPr>
                <w:rFonts w:ascii="Tahoma" w:hAnsi="Tahoma" w:cs="Tahoma"/>
              </w:rPr>
            </w:pPr>
            <w:r w:rsidRPr="00242B88">
              <w:rPr>
                <w:rFonts w:ascii="Tahoma" w:hAnsi="Tahoma" w:cs="Tahoma"/>
              </w:rPr>
              <w:t xml:space="preserve">While increasing the investment in hydrocarbon exploration, </w:t>
            </w:r>
            <w:proofErr w:type="spellStart"/>
            <w:r w:rsidRPr="00242B88">
              <w:rPr>
                <w:rFonts w:ascii="Tahoma" w:hAnsi="Tahoma" w:cs="Tahoma"/>
              </w:rPr>
              <w:t>GoI</w:t>
            </w:r>
            <w:proofErr w:type="spellEnd"/>
            <w:r w:rsidRPr="00242B88">
              <w:rPr>
                <w:rFonts w:ascii="Tahoma" w:hAnsi="Tahoma" w:cs="Tahoma"/>
              </w:rPr>
              <w:t xml:space="preserve"> has already has a comprehensive framework and policy measures to minimize the ecological footprint as given below.</w:t>
            </w:r>
          </w:p>
          <w:p w:rsidR="00242B88" w:rsidRPr="00242B88" w:rsidRDefault="00242B88" w:rsidP="00242B88">
            <w:pPr>
              <w:numPr>
                <w:ilvl w:val="0"/>
                <w:numId w:val="2"/>
              </w:numPr>
              <w:spacing w:after="160" w:line="259" w:lineRule="auto"/>
              <w:jc w:val="both"/>
              <w:rPr>
                <w:rFonts w:ascii="Tahoma" w:hAnsi="Tahoma" w:cs="Tahoma"/>
              </w:rPr>
            </w:pPr>
            <w:r w:rsidRPr="00242B88">
              <w:rPr>
                <w:rFonts w:ascii="Tahoma" w:hAnsi="Tahoma" w:cs="Tahoma"/>
                <w:b/>
                <w:bCs/>
              </w:rPr>
              <w:lastRenderedPageBreak/>
              <w:t>Mandatory Environmental Clearances (EC) and Impact Assessments (EIA):</w:t>
            </w:r>
            <w:r w:rsidRPr="00242B88">
              <w:rPr>
                <w:rFonts w:ascii="Tahoma" w:hAnsi="Tahoma" w:cs="Tahoma"/>
              </w:rPr>
              <w:t> All projects require prior EC under the Environment (Protection) Act, 1986. "Development and Production" projects are classified as Category A, requiring a comprehensive EIA report, an Environmental Management Plan (EMP), and mandatory public hearings.</w:t>
            </w:r>
          </w:p>
          <w:p w:rsidR="00242B88" w:rsidRPr="00242B88" w:rsidRDefault="00242B88" w:rsidP="00242B88">
            <w:pPr>
              <w:numPr>
                <w:ilvl w:val="0"/>
                <w:numId w:val="2"/>
              </w:numPr>
              <w:spacing w:after="160" w:line="259" w:lineRule="auto"/>
              <w:jc w:val="both"/>
              <w:rPr>
                <w:rFonts w:ascii="Tahoma" w:hAnsi="Tahoma" w:cs="Tahoma"/>
              </w:rPr>
            </w:pPr>
            <w:r w:rsidRPr="00242B88">
              <w:rPr>
                <w:rFonts w:ascii="Tahoma" w:hAnsi="Tahoma" w:cs="Tahoma"/>
                <w:b/>
                <w:bCs/>
              </w:rPr>
              <w:t>Streamlined but Rigorous Approval Process</w:t>
            </w:r>
          </w:p>
          <w:p w:rsidR="00242B88" w:rsidRPr="00242B88" w:rsidRDefault="00242B88" w:rsidP="00242B88">
            <w:pPr>
              <w:numPr>
                <w:ilvl w:val="0"/>
                <w:numId w:val="2"/>
              </w:numPr>
              <w:spacing w:after="160" w:line="259" w:lineRule="auto"/>
              <w:jc w:val="both"/>
              <w:rPr>
                <w:rFonts w:ascii="Tahoma" w:hAnsi="Tahoma" w:cs="Tahoma"/>
              </w:rPr>
            </w:pPr>
            <w:r w:rsidRPr="00242B88">
              <w:rPr>
                <w:rFonts w:ascii="Tahoma" w:hAnsi="Tahoma" w:cs="Tahoma"/>
                <w:b/>
                <w:bCs/>
              </w:rPr>
              <w:t>Compliance with Specific Zonal Norms:</w:t>
            </w:r>
            <w:r w:rsidRPr="00242B88">
              <w:rPr>
                <w:rFonts w:ascii="Tahoma" w:hAnsi="Tahoma" w:cs="Tahoma"/>
              </w:rPr>
              <w:t> Operations in ecologically sensitive areas like the KG Basin must adhere to specific regulations, including the Forest Conservation Act and Coastal Regulation Zone (CRZ) norms, with strict monitoring and penalties for non-compliance.</w:t>
            </w:r>
          </w:p>
          <w:p w:rsidR="00242B88" w:rsidRPr="00242B88" w:rsidRDefault="00242B88" w:rsidP="00242B88">
            <w:pPr>
              <w:jc w:val="both"/>
              <w:rPr>
                <w:rFonts w:ascii="Tahoma" w:hAnsi="Tahoma" w:cs="Tahoma"/>
              </w:rPr>
            </w:pPr>
            <w:r w:rsidRPr="00242B88">
              <w:rPr>
                <w:rFonts w:ascii="Tahoma" w:hAnsi="Tahoma" w:cs="Tahoma"/>
              </w:rPr>
              <w:t xml:space="preserve">Moreover, to ensure environment sustainability, </w:t>
            </w:r>
            <w:proofErr w:type="spellStart"/>
            <w:r w:rsidRPr="00242B88">
              <w:rPr>
                <w:rFonts w:ascii="Tahoma" w:hAnsi="Tahoma" w:cs="Tahoma"/>
              </w:rPr>
              <w:t>GoI</w:t>
            </w:r>
            <w:proofErr w:type="spellEnd"/>
            <w:r w:rsidRPr="00242B88">
              <w:rPr>
                <w:rFonts w:ascii="Tahoma" w:hAnsi="Tahoma" w:cs="Tahoma"/>
              </w:rPr>
              <w:t xml:space="preserve"> has mandated the following through PNG rules 2025:</w:t>
            </w:r>
          </w:p>
          <w:p w:rsidR="00242B88" w:rsidRPr="00242B88" w:rsidRDefault="00242B88" w:rsidP="00242B88">
            <w:pPr>
              <w:pStyle w:val="ListParagraph"/>
              <w:numPr>
                <w:ilvl w:val="0"/>
                <w:numId w:val="3"/>
              </w:numPr>
              <w:jc w:val="both"/>
              <w:rPr>
                <w:rFonts w:ascii="Tahoma" w:hAnsi="Tahoma" w:cs="Tahoma"/>
              </w:rPr>
            </w:pPr>
            <w:r w:rsidRPr="00242B88">
              <w:rPr>
                <w:rFonts w:ascii="Tahoma" w:hAnsi="Tahoma" w:cs="Tahoma"/>
              </w:rPr>
              <w:t>Mandatory monitoring and reporting of greenhouse gas emissions across operations and Operators must also implement measures to reduce greenhouse gas emissions.</w:t>
            </w:r>
          </w:p>
          <w:p w:rsidR="00242B88" w:rsidRPr="00242B88" w:rsidRDefault="00242B88" w:rsidP="00242B88">
            <w:pPr>
              <w:pStyle w:val="ListParagraph"/>
              <w:numPr>
                <w:ilvl w:val="0"/>
                <w:numId w:val="3"/>
              </w:numPr>
              <w:jc w:val="both"/>
              <w:rPr>
                <w:rFonts w:ascii="Tahoma" w:hAnsi="Tahoma" w:cs="Tahoma"/>
              </w:rPr>
            </w:pPr>
            <w:r w:rsidRPr="00242B88">
              <w:rPr>
                <w:rFonts w:ascii="Tahoma" w:hAnsi="Tahoma" w:cs="Tahoma"/>
              </w:rPr>
              <w:t>The rules mandate plans for “zero gas flaring” submitted within set timelines</w:t>
            </w:r>
          </w:p>
          <w:p w:rsidR="00242B88" w:rsidRPr="00242B88" w:rsidRDefault="00242B88" w:rsidP="00242B88">
            <w:pPr>
              <w:pStyle w:val="ListParagraph"/>
              <w:numPr>
                <w:ilvl w:val="0"/>
                <w:numId w:val="3"/>
              </w:numPr>
              <w:jc w:val="both"/>
              <w:rPr>
                <w:rFonts w:ascii="Tahoma" w:hAnsi="Tahoma" w:cs="Tahoma"/>
              </w:rPr>
            </w:pPr>
            <w:r w:rsidRPr="00242B88">
              <w:rPr>
                <w:rFonts w:ascii="Tahoma" w:hAnsi="Tahoma" w:cs="Tahoma"/>
              </w:rPr>
              <w:t>The operator shall undertake site restoration and maintain site restoration fund.</w:t>
            </w:r>
          </w:p>
          <w:p w:rsidR="00242B88" w:rsidRPr="00242B88" w:rsidRDefault="00242B88" w:rsidP="00242B88">
            <w:pPr>
              <w:pStyle w:val="ListParagraph"/>
              <w:numPr>
                <w:ilvl w:val="0"/>
                <w:numId w:val="3"/>
              </w:numPr>
              <w:jc w:val="both"/>
              <w:rPr>
                <w:rFonts w:ascii="Tahoma" w:hAnsi="Tahoma" w:cs="Tahoma"/>
              </w:rPr>
            </w:pPr>
            <w:r w:rsidRPr="00242B88">
              <w:rPr>
                <w:rFonts w:ascii="Tahoma" w:hAnsi="Tahoma" w:cs="Tahoma"/>
              </w:rPr>
              <w:t>Operators are permitted to undertake renewable and low</w:t>
            </w:r>
            <w:r w:rsidRPr="00242B88">
              <w:rPr>
                <w:rFonts w:ascii="Tahoma" w:hAnsi="Tahoma" w:cs="Tahoma"/>
              </w:rPr>
              <w:noBreakHyphen/>
              <w:t xml:space="preserve">carbon projects </w:t>
            </w:r>
            <w:r w:rsidRPr="00242B88">
              <w:rPr>
                <w:rFonts w:ascii="Tahoma" w:hAnsi="Tahoma" w:cs="Tahoma"/>
                <w:i/>
                <w:iCs/>
              </w:rPr>
              <w:t>within the petroleum lease area</w:t>
            </w:r>
            <w:r w:rsidRPr="00242B88">
              <w:rPr>
                <w:rFonts w:ascii="Tahoma" w:hAnsi="Tahoma" w:cs="Tahoma"/>
              </w:rPr>
              <w:t>, thus developing hybrid hubs and reducing the ecological impact.</w:t>
            </w:r>
          </w:p>
          <w:p w:rsidR="003E3CEB" w:rsidRPr="00242B88" w:rsidRDefault="003E3CEB" w:rsidP="00B30758">
            <w:pPr>
              <w:spacing w:after="0" w:line="240" w:lineRule="auto"/>
              <w:jc w:val="both"/>
              <w:rPr>
                <w:rFonts w:ascii="Tahoma" w:eastAsia="Times New Roman" w:hAnsi="Tahoma" w:cs="Tahoma"/>
                <w:b/>
                <w:bCs/>
                <w:kern w:val="2"/>
                <w14:ligatures w14:val="standardContextual"/>
              </w:rPr>
            </w:pPr>
          </w:p>
          <w:p w:rsidR="003E3CEB" w:rsidRPr="00242B88" w:rsidRDefault="003E3CEB" w:rsidP="008113A4">
            <w:pPr>
              <w:spacing w:after="120" w:line="240" w:lineRule="auto"/>
              <w:jc w:val="both"/>
              <w:rPr>
                <w:rFonts w:ascii="Tahoma" w:eastAsia="Times New Roman" w:hAnsi="Tahoma" w:cs="Tahoma"/>
                <w:kern w:val="2"/>
                <w14:ligatures w14:val="standardContextual"/>
              </w:rPr>
            </w:pPr>
          </w:p>
        </w:tc>
      </w:tr>
      <w:tr w:rsidR="003E3CEB" w:rsidTr="00242B88">
        <w:trPr>
          <w:trHeight w:val="1230"/>
        </w:trPr>
        <w:tc>
          <w:tcPr>
            <w:tcW w:w="4531" w:type="dxa"/>
            <w:tcBorders>
              <w:top w:val="single" w:sz="4" w:space="0" w:color="auto"/>
              <w:left w:val="single" w:sz="4" w:space="0" w:color="auto"/>
              <w:bottom w:val="single" w:sz="4" w:space="0" w:color="auto"/>
              <w:right w:val="single" w:sz="4" w:space="0" w:color="auto"/>
            </w:tcBorders>
          </w:tcPr>
          <w:p w:rsidR="00527C2C" w:rsidRDefault="003E3CEB" w:rsidP="00BA37C1">
            <w:pPr>
              <w:pStyle w:val="Default"/>
              <w:jc w:val="both"/>
              <w:rPr>
                <w:rStyle w:val="xsize"/>
                <w:rFonts w:ascii="Tahoma" w:hAnsi="Tahoma" w:cs="Tahoma"/>
                <w:i/>
                <w:iCs/>
                <w:sz w:val="22"/>
                <w:szCs w:val="22"/>
              </w:rPr>
            </w:pPr>
            <w:r w:rsidRPr="008113A4">
              <w:rPr>
                <w:rFonts w:ascii="Tahoma" w:hAnsi="Tahoma" w:cs="Tahoma"/>
                <w:i/>
                <w:iCs/>
                <w:sz w:val="22"/>
                <w:szCs w:val="22"/>
              </w:rPr>
              <w:lastRenderedPageBreak/>
              <w:t>Q.(</w:t>
            </w:r>
            <w:r w:rsidR="008113A4" w:rsidRPr="008113A4">
              <w:rPr>
                <w:rFonts w:ascii="Tahoma" w:hAnsi="Tahoma" w:cs="Tahoma"/>
                <w:i/>
                <w:iCs/>
                <w:sz w:val="22"/>
                <w:szCs w:val="22"/>
              </w:rPr>
              <w:t xml:space="preserve">b) </w:t>
            </w:r>
            <w:r w:rsidR="00752DB9" w:rsidRPr="00752DB9">
              <w:rPr>
                <w:rStyle w:val="xsize"/>
                <w:rFonts w:ascii="Tahoma" w:hAnsi="Tahoma" w:cs="Tahoma"/>
                <w:i/>
                <w:iCs/>
                <w:sz w:val="22"/>
                <w:szCs w:val="22"/>
              </w:rPr>
              <w:t>What specific policy measures can be implemented to encourage the adoption of advanced technologies, such as enhanced oil recovery (EOR) techniques and carbon capture and storage (CCS), in hydrocarbon exploration and production under the HELP framework?</w:t>
            </w:r>
          </w:p>
          <w:p w:rsidR="00745353" w:rsidRPr="008113A4" w:rsidRDefault="00745353" w:rsidP="00BA37C1">
            <w:pPr>
              <w:pStyle w:val="Default"/>
              <w:jc w:val="both"/>
              <w:rPr>
                <w:rFonts w:ascii="Tahoma" w:eastAsia="Times New Roman" w:hAnsi="Tahoma" w:cs="Tahoma"/>
                <w:i/>
                <w:iCs/>
                <w:sz w:val="22"/>
                <w:szCs w:val="22"/>
              </w:rPr>
            </w:pPr>
          </w:p>
        </w:tc>
        <w:tc>
          <w:tcPr>
            <w:tcW w:w="5219" w:type="dxa"/>
            <w:tcBorders>
              <w:top w:val="single" w:sz="4" w:space="0" w:color="auto"/>
              <w:left w:val="single" w:sz="4" w:space="0" w:color="auto"/>
              <w:bottom w:val="single" w:sz="4" w:space="0" w:color="auto"/>
              <w:right w:val="single" w:sz="4" w:space="0" w:color="auto"/>
            </w:tcBorders>
            <w:hideMark/>
          </w:tcPr>
          <w:p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242B88" w:rsidRPr="00745353" w:rsidRDefault="003E3CEB" w:rsidP="00242B88">
            <w:pPr>
              <w:spacing w:after="0" w:line="240" w:lineRule="auto"/>
              <w:jc w:val="both"/>
              <w:rPr>
                <w:rFonts w:ascii="Tahoma" w:eastAsia="Times New Roman" w:hAnsi="Tahoma" w:cs="Tahoma"/>
                <w:kern w:val="2"/>
                <w:lang w:val="en-US"/>
                <w14:ligatures w14:val="standardContextual"/>
              </w:rPr>
            </w:pPr>
            <w:r>
              <w:rPr>
                <w:rFonts w:ascii="Tahoma" w:eastAsia="Times New Roman" w:hAnsi="Tahoma" w:cs="Tahoma"/>
                <w:kern w:val="2"/>
                <w14:ligatures w14:val="standardContextual"/>
              </w:rPr>
              <w:t>As far as Oil India Limited (OIL) is concerned,</w:t>
            </w:r>
            <w:r w:rsidR="00745353" w:rsidRPr="00745353">
              <w:rPr>
                <w:rFonts w:ascii="Times New Roman" w:eastAsia="Times New Roman" w:hAnsi="Times New Roman" w:cs="Times New Roman"/>
                <w:color w:val="000000"/>
                <w:sz w:val="27"/>
                <w:szCs w:val="27"/>
                <w:lang w:val="en-US" w:bidi="hi-IN"/>
              </w:rPr>
              <w:t xml:space="preserve"> </w:t>
            </w:r>
          </w:p>
          <w:p w:rsidR="00242B88" w:rsidRPr="00242B88" w:rsidRDefault="00242B88" w:rsidP="00242B88">
            <w:p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Under the HELP framework, the use of advanced technologies like Enhanced Oil Recovery and Carbon Capture and Storage can be encouraged by improving project feasibility by reducing the financial burden on E&amp;P operators. This may be achieved by following:</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 xml:space="preserve">Field specific timelines with extensions based on technical/reservoir consideration and </w:t>
            </w:r>
            <w:proofErr w:type="spellStart"/>
            <w:r w:rsidRPr="00242B88">
              <w:rPr>
                <w:rFonts w:ascii="Tahoma" w:eastAsia="Times New Roman" w:hAnsi="Tahoma" w:cs="Tahoma"/>
                <w:kern w:val="2"/>
                <w14:ligatures w14:val="standardContextual"/>
              </w:rPr>
              <w:t>staturptory</w:t>
            </w:r>
            <w:proofErr w:type="spellEnd"/>
            <w:r w:rsidRPr="00242B88">
              <w:rPr>
                <w:rFonts w:ascii="Tahoma" w:eastAsia="Times New Roman" w:hAnsi="Tahoma" w:cs="Tahoma"/>
                <w:kern w:val="2"/>
                <w14:ligatures w14:val="standardContextual"/>
              </w:rPr>
              <w:t xml:space="preserve"> permissions timeline.</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Field/reservoir specific revision of recovery factor benchmark.</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Extend incentives to past Unconventional Hydrocarbon discoveries.</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Faster recovery of investment costs</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Providing tax benefits for technology-related capital expenditure</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 xml:space="preserve">Lower government revenue share (royalty/tax/cess etc) on additional production gained through approved EOR methods. </w:t>
            </w:r>
          </w:p>
          <w:p w:rsidR="00242B88" w:rsidRPr="00242B88" w:rsidRDefault="00242B88" w:rsidP="00242B88">
            <w:p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Such measures would improve returns on high‑risk investments and motivate operators to apply modern technologies to increase production from mature and marginal oil and gas fields.</w:t>
            </w:r>
          </w:p>
          <w:p w:rsidR="00242B88" w:rsidRPr="00242B88" w:rsidRDefault="00242B88" w:rsidP="00242B88">
            <w:p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For CCS, the primary policy challenge is establishing regulatory certainty and long-term incentives, as the technology does not yield direct hydrocarbon revenue. Under HELP, CCS can be formally recognized as a strategic activity linked to upstream operations, especially in depleted fields and deep saline aquifers.</w:t>
            </w:r>
          </w:p>
          <w:p w:rsidR="00242B88" w:rsidRPr="00242B88" w:rsidRDefault="00242B88" w:rsidP="00242B88">
            <w:pPr>
              <w:numPr>
                <w:ilvl w:val="0"/>
                <w:numId w:val="5"/>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A dedicated regulatory framework is needed to govern storage site approval, injection permits, monitoring and verification, and long-term liability</w:t>
            </w:r>
          </w:p>
          <w:p w:rsidR="00242B88" w:rsidRPr="00242B88" w:rsidRDefault="00242B88" w:rsidP="00242B88">
            <w:pPr>
              <w:numPr>
                <w:ilvl w:val="0"/>
                <w:numId w:val="5"/>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Economically, measures such as storage</w:t>
            </w:r>
            <w:r w:rsidRPr="00242B88">
              <w:rPr>
                <w:rFonts w:ascii="Tahoma" w:eastAsia="Times New Roman" w:hAnsi="Tahoma" w:cs="Tahoma"/>
                <w:kern w:val="2"/>
                <w14:ligatures w14:val="standardContextual"/>
              </w:rPr>
              <w:noBreakHyphen/>
              <w:t>based tax credits (similar to the U.S. 45Q), integrating CCS into India’s carbon market, and providing government co</w:t>
            </w:r>
            <w:r w:rsidRPr="00242B88">
              <w:rPr>
                <w:rFonts w:ascii="Tahoma" w:eastAsia="Times New Roman" w:hAnsi="Tahoma" w:cs="Tahoma"/>
                <w:kern w:val="2"/>
                <w14:ligatures w14:val="standardContextual"/>
              </w:rPr>
              <w:noBreakHyphen/>
              <w:t>funding or viability gap support can improve project viability</w:t>
            </w:r>
          </w:p>
          <w:p w:rsidR="00242B88" w:rsidRPr="00242B88" w:rsidRDefault="00242B88" w:rsidP="00242B88">
            <w:pPr>
              <w:numPr>
                <w:ilvl w:val="0"/>
                <w:numId w:val="5"/>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lastRenderedPageBreak/>
              <w:t>Policies enabling shared CO₂ transport and storage infrastructure, along with partnerships between upstream operators and major industrial emitters, can promote cost-effective, cluster-based CCS development</w:t>
            </w:r>
          </w:p>
          <w:p w:rsidR="00242B88" w:rsidRPr="00242B88" w:rsidRDefault="00242B88" w:rsidP="00242B88">
            <w:pPr>
              <w:spacing w:after="0" w:line="240" w:lineRule="auto"/>
              <w:jc w:val="both"/>
              <w:rPr>
                <w:rFonts w:ascii="Tahoma" w:eastAsia="Times New Roman" w:hAnsi="Tahoma" w:cs="Tahoma"/>
                <w:kern w:val="2"/>
                <w14:ligatures w14:val="standardContextual"/>
              </w:rPr>
            </w:pPr>
          </w:p>
          <w:p w:rsidR="00745353" w:rsidRPr="00745353" w:rsidRDefault="00745353" w:rsidP="00745353">
            <w:pPr>
              <w:spacing w:after="0" w:line="240" w:lineRule="auto"/>
              <w:jc w:val="both"/>
              <w:rPr>
                <w:rFonts w:ascii="Tahoma" w:eastAsia="Times New Roman" w:hAnsi="Tahoma" w:cs="Tahoma"/>
                <w:kern w:val="2"/>
                <w:lang w:val="en-US"/>
                <w14:ligatures w14:val="standardContextual"/>
              </w:rPr>
            </w:pPr>
          </w:p>
          <w:p w:rsidR="003E3CEB" w:rsidRDefault="003E3CEB" w:rsidP="00B30758">
            <w:pPr>
              <w:spacing w:after="0" w:line="240" w:lineRule="auto"/>
              <w:jc w:val="both"/>
              <w:rPr>
                <w:rFonts w:ascii="Tahoma" w:hAnsi="Tahoma" w:cs="Tahoma"/>
                <w:lang w:val="en-US"/>
              </w:rPr>
            </w:pPr>
          </w:p>
        </w:tc>
      </w:tr>
    </w:tbl>
    <w:p w:rsidR="00242B88" w:rsidRDefault="00242B88" w:rsidP="00242B88">
      <w:pPr>
        <w:spacing w:after="0"/>
        <w:ind w:right="-482"/>
        <w:jc w:val="right"/>
        <w:rPr>
          <w:rFonts w:ascii="Tahoma" w:hAnsi="Tahoma" w:cs="Tahoma"/>
          <w:color w:val="000000" w:themeColor="text1"/>
          <w:lang w:val="en-US"/>
        </w:rPr>
      </w:pPr>
    </w:p>
    <w:p w:rsidR="00242B88" w:rsidRPr="00D44C53" w:rsidRDefault="00242B88" w:rsidP="00242B88">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242B88" w:rsidRPr="00D44C53" w:rsidRDefault="00242B88" w:rsidP="00242B88">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242B88" w:rsidRPr="00D44C53" w:rsidRDefault="00242B88" w:rsidP="00242B88">
      <w:pPr>
        <w:spacing w:after="0" w:line="240" w:lineRule="auto"/>
        <w:ind w:right="-482"/>
        <w:jc w:val="right"/>
        <w:rPr>
          <w:rFonts w:ascii="Tahoma" w:hAnsi="Tahoma" w:cs="Tahoma"/>
          <w:color w:val="000000" w:themeColor="text1"/>
          <w:lang w:val="en-US"/>
        </w:rPr>
      </w:pPr>
    </w:p>
    <w:p w:rsidR="00242B88" w:rsidRDefault="00242B88" w:rsidP="00242B88">
      <w:pPr>
        <w:spacing w:after="0" w:line="240" w:lineRule="auto"/>
        <w:ind w:right="-482"/>
        <w:jc w:val="right"/>
        <w:rPr>
          <w:rFonts w:ascii="Tahoma" w:hAnsi="Tahoma" w:cs="Tahoma"/>
          <w:color w:val="000000" w:themeColor="text1"/>
          <w:lang w:val="en-US"/>
        </w:rPr>
      </w:pPr>
    </w:p>
    <w:p w:rsidR="00242B88" w:rsidRDefault="00242B88" w:rsidP="00242B88">
      <w:pPr>
        <w:spacing w:after="0" w:line="240" w:lineRule="auto"/>
        <w:ind w:right="-482"/>
        <w:jc w:val="right"/>
        <w:rPr>
          <w:rFonts w:ascii="Tahoma" w:hAnsi="Tahoma" w:cs="Tahoma"/>
          <w:color w:val="000000" w:themeColor="text1"/>
          <w:lang w:val="en-US"/>
        </w:rPr>
      </w:pPr>
    </w:p>
    <w:p w:rsidR="00242B88" w:rsidRDefault="00242B88" w:rsidP="00242B88">
      <w:pPr>
        <w:spacing w:after="0" w:line="240" w:lineRule="auto"/>
        <w:ind w:right="-482"/>
        <w:jc w:val="right"/>
        <w:rPr>
          <w:rFonts w:ascii="Tahoma" w:hAnsi="Tahoma" w:cs="Tahoma"/>
          <w:color w:val="000000" w:themeColor="text1"/>
          <w:lang w:val="en-US"/>
        </w:rPr>
      </w:pPr>
    </w:p>
    <w:p w:rsidR="00242B88" w:rsidRDefault="00242B88" w:rsidP="00242B88">
      <w:pPr>
        <w:spacing w:after="0" w:line="240" w:lineRule="auto"/>
        <w:ind w:right="-482"/>
        <w:jc w:val="right"/>
        <w:rPr>
          <w:rFonts w:ascii="Tahoma" w:hAnsi="Tahoma" w:cs="Tahoma"/>
          <w:color w:val="000000" w:themeColor="text1"/>
          <w:lang w:val="en-US"/>
        </w:rPr>
      </w:pPr>
      <w:bookmarkStart w:id="0" w:name="_GoBack"/>
      <w:bookmarkEnd w:id="0"/>
    </w:p>
    <w:p w:rsidR="00242B88" w:rsidRPr="00D44C53" w:rsidRDefault="00242B88" w:rsidP="00242B88">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Pr="00A61609">
        <w:rPr>
          <w:rFonts w:ascii="Tahoma" w:hAnsi="Tahoma" w:cs="Tahoma"/>
          <w:b/>
          <w:lang w:val="en-US"/>
        </w:rPr>
        <w:t xml:space="preserve">Kishore Kumar </w:t>
      </w:r>
      <w:proofErr w:type="spellStart"/>
      <w:r w:rsidRPr="00A61609">
        <w:rPr>
          <w:rFonts w:ascii="Tahoma" w:hAnsi="Tahoma" w:cs="Tahoma"/>
          <w:b/>
          <w:lang w:val="en-US"/>
        </w:rPr>
        <w:t>Baishya</w:t>
      </w:r>
      <w:proofErr w:type="spellEnd"/>
      <w:r w:rsidRPr="00D44C53">
        <w:rPr>
          <w:rFonts w:ascii="Tahoma" w:hAnsi="Tahoma" w:cs="Tahoma"/>
          <w:b/>
          <w:color w:val="000000" w:themeColor="text1"/>
          <w:lang w:val="en-US"/>
        </w:rPr>
        <w:t>)</w:t>
      </w:r>
    </w:p>
    <w:p w:rsidR="00242B88" w:rsidRDefault="00242B88" w:rsidP="00242B88">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Pr="00D44C53">
        <w:rPr>
          <w:rFonts w:ascii="Tahoma" w:hAnsi="Tahoma" w:cs="Tahoma"/>
          <w:color w:val="000000" w:themeColor="text1"/>
          <w:lang w:val="en-US"/>
        </w:rPr>
        <w:t>General Manager (Planning)</w:t>
      </w:r>
    </w:p>
    <w:p w:rsidR="00242B88" w:rsidRDefault="00242B88" w:rsidP="00242B88">
      <w:pPr>
        <w:spacing w:after="0"/>
        <w:ind w:right="-482"/>
        <w:jc w:val="right"/>
        <w:rPr>
          <w:rFonts w:ascii="Tahoma" w:hAnsi="Tahoma" w:cs="Tahoma"/>
          <w:b/>
          <w:u w:val="single"/>
          <w:lang w:val="en-US"/>
        </w:rPr>
      </w:pPr>
      <w:r w:rsidRPr="00D44C53">
        <w:rPr>
          <w:rFonts w:ascii="Tahoma" w:hAnsi="Tahoma" w:cs="Tahoma"/>
          <w:b/>
          <w:color w:val="000000" w:themeColor="text1"/>
          <w:u w:val="single"/>
          <w:lang w:val="en-US"/>
        </w:rPr>
        <w:t>For Chairman &amp; Managing Director</w:t>
      </w:r>
    </w:p>
    <w:p w:rsidR="00B30758" w:rsidRDefault="00B30758" w:rsidP="00745353">
      <w:pPr>
        <w:spacing w:after="0" w:line="240" w:lineRule="auto"/>
        <w:ind w:right="-482"/>
        <w:jc w:val="right"/>
      </w:pPr>
    </w:p>
    <w:sectPr w:rsidR="00B30758" w:rsidSect="007D431F">
      <w:headerReference w:type="default" r:id="rId7"/>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47B1" w:rsidRDefault="006247B1" w:rsidP="007D431F">
      <w:pPr>
        <w:spacing w:after="0" w:line="240" w:lineRule="auto"/>
      </w:pPr>
      <w:r>
        <w:separator/>
      </w:r>
    </w:p>
  </w:endnote>
  <w:endnote w:type="continuationSeparator" w:id="0">
    <w:p w:rsidR="006247B1" w:rsidRDefault="006247B1"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47B1" w:rsidRDefault="006247B1" w:rsidP="007D431F">
      <w:pPr>
        <w:spacing w:after="0" w:line="240" w:lineRule="auto"/>
      </w:pPr>
      <w:r>
        <w:separator/>
      </w:r>
    </w:p>
  </w:footnote>
  <w:footnote w:type="continuationSeparator" w:id="0">
    <w:p w:rsidR="006247B1" w:rsidRDefault="006247B1"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r>
      <w:rPr>
        <w:rFonts w:ascii="Tahoma" w:hAnsi="Tahoma" w:cs="Tahoma"/>
        <w:b/>
        <w:lang w:val="en-US"/>
      </w:rPr>
      <w:t>OIL/PLNG/54/2/1/2026/11</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29</w:t>
    </w:r>
    <w:r w:rsidRPr="00242B88">
      <w:rPr>
        <w:rFonts w:ascii="Tahoma" w:hAnsi="Tahoma" w:cs="Tahoma"/>
        <w:b/>
        <w:vertAlign w:val="superscript"/>
        <w:lang w:val="en-US"/>
      </w:rPr>
      <w:t>th</w:t>
    </w:r>
    <w:r>
      <w:rPr>
        <w:rFonts w:ascii="Tahoma" w:hAnsi="Tahoma" w:cs="Tahoma"/>
        <w:b/>
        <w:lang w:val="en-US"/>
      </w:rPr>
      <w:t xml:space="preserve"> January, 2026</w:t>
    </w:r>
  </w:p>
  <w:p w:rsidR="00242B88" w:rsidRDefault="00242B88">
    <w:pPr>
      <w:pStyle w:val="Header"/>
    </w:pPr>
  </w:p>
  <w:p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29145F"/>
    <w:multiLevelType w:val="multilevel"/>
    <w:tmpl w:val="4CEA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C3A92"/>
    <w:multiLevelType w:val="hybridMultilevel"/>
    <w:tmpl w:val="50A66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8C7638"/>
    <w:multiLevelType w:val="hybridMultilevel"/>
    <w:tmpl w:val="3B185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5655FA"/>
    <w:multiLevelType w:val="hybridMultilevel"/>
    <w:tmpl w:val="484A9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CB3BA3"/>
    <w:multiLevelType w:val="hybridMultilevel"/>
    <w:tmpl w:val="8DE650E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1F48AA"/>
    <w:rsid w:val="002000D1"/>
    <w:rsid w:val="00242B88"/>
    <w:rsid w:val="002833F9"/>
    <w:rsid w:val="00311C60"/>
    <w:rsid w:val="00351734"/>
    <w:rsid w:val="003E3CEB"/>
    <w:rsid w:val="00434E16"/>
    <w:rsid w:val="00441C1A"/>
    <w:rsid w:val="004505F3"/>
    <w:rsid w:val="004A05A9"/>
    <w:rsid w:val="004F3FE8"/>
    <w:rsid w:val="00527C2C"/>
    <w:rsid w:val="006247B1"/>
    <w:rsid w:val="00644279"/>
    <w:rsid w:val="006745EB"/>
    <w:rsid w:val="00745353"/>
    <w:rsid w:val="00752DB9"/>
    <w:rsid w:val="007D431F"/>
    <w:rsid w:val="008113A4"/>
    <w:rsid w:val="008F70D1"/>
    <w:rsid w:val="00921496"/>
    <w:rsid w:val="00975387"/>
    <w:rsid w:val="00A61609"/>
    <w:rsid w:val="00AD01B1"/>
    <w:rsid w:val="00B00A85"/>
    <w:rsid w:val="00B30758"/>
    <w:rsid w:val="00B925AC"/>
    <w:rsid w:val="00BA37C1"/>
    <w:rsid w:val="00BB181A"/>
    <w:rsid w:val="00CE21FD"/>
    <w:rsid w:val="00D0096A"/>
    <w:rsid w:val="00F74D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34B8F0"/>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semiHidden/>
    <w:unhideWhenUsed/>
    <w:rsid w:val="00745353"/>
    <w:rPr>
      <w:rFonts w:ascii="Times New Roman" w:hAnsi="Times New Roman" w:cs="Times New Roman"/>
      <w:sz w:val="24"/>
      <w:szCs w:val="24"/>
    </w:rPr>
  </w:style>
  <w:style w:type="paragraph" w:styleId="ListParagraph">
    <w:name w:val="List Paragraph"/>
    <w:basedOn w:val="Normal"/>
    <w:uiPriority w:val="34"/>
    <w:qFormat/>
    <w:rsid w:val="00242B88"/>
    <w:pPr>
      <w:spacing w:after="160" w:line="259" w:lineRule="auto"/>
      <w:ind w:left="720"/>
      <w:contextualSpacing/>
    </w:pPr>
    <w:rPr>
      <w:kern w:val="2"/>
      <w14:ligatures w14:val="standardContextual"/>
    </w:rPr>
  </w:style>
  <w:style w:type="paragraph" w:styleId="BalloonText">
    <w:name w:val="Balloon Text"/>
    <w:basedOn w:val="Normal"/>
    <w:link w:val="BalloonTextChar"/>
    <w:uiPriority w:val="99"/>
    <w:semiHidden/>
    <w:unhideWhenUsed/>
    <w:rsid w:val="00242B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B88"/>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936745406">
      <w:bodyDiv w:val="1"/>
      <w:marLeft w:val="0"/>
      <w:marRight w:val="0"/>
      <w:marTop w:val="0"/>
      <w:marBottom w:val="0"/>
      <w:divBdr>
        <w:top w:val="none" w:sz="0" w:space="0" w:color="auto"/>
        <w:left w:val="none" w:sz="0" w:space="0" w:color="auto"/>
        <w:bottom w:val="none" w:sz="0" w:space="0" w:color="auto"/>
        <w:right w:val="none" w:sz="0" w:space="0" w:color="auto"/>
      </w:divBdr>
    </w:div>
    <w:div w:id="1950625828">
      <w:bodyDiv w:val="1"/>
      <w:marLeft w:val="0"/>
      <w:marRight w:val="0"/>
      <w:marTop w:val="0"/>
      <w:marBottom w:val="0"/>
      <w:divBdr>
        <w:top w:val="none" w:sz="0" w:space="0" w:color="auto"/>
        <w:left w:val="none" w:sz="0" w:space="0" w:color="auto"/>
        <w:bottom w:val="none" w:sz="0" w:space="0" w:color="auto"/>
        <w:right w:val="none" w:sz="0" w:space="0" w:color="auto"/>
      </w:divBdr>
    </w:div>
    <w:div w:id="1993295779">
      <w:bodyDiv w:val="1"/>
      <w:marLeft w:val="0"/>
      <w:marRight w:val="0"/>
      <w:marTop w:val="0"/>
      <w:marBottom w:val="0"/>
      <w:divBdr>
        <w:top w:val="none" w:sz="0" w:space="0" w:color="auto"/>
        <w:left w:val="none" w:sz="0" w:space="0" w:color="auto"/>
        <w:bottom w:val="none" w:sz="0" w:space="0" w:color="auto"/>
        <w:right w:val="none" w:sz="0" w:space="0" w:color="auto"/>
      </w:divBdr>
    </w:div>
    <w:div w:id="208988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6</cp:revision>
  <cp:lastPrinted>2026-01-29T07:24:00Z</cp:lastPrinted>
  <dcterms:created xsi:type="dcterms:W3CDTF">2026-01-21T06:37:00Z</dcterms:created>
  <dcterms:modified xsi:type="dcterms:W3CDTF">2026-01-29T07:29:00Z</dcterms:modified>
</cp:coreProperties>
</file>