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523F" w:rsidRDefault="0071523F" w:rsidP="003E3CEB">
      <w:pPr>
        <w:spacing w:after="0"/>
        <w:ind w:right="-392"/>
        <w:rPr>
          <w:rFonts w:ascii="Tahoma" w:hAnsi="Tahoma" w:cs="Tahoma"/>
          <w:b/>
          <w:lang w:val="en-US"/>
        </w:rPr>
      </w:pPr>
    </w:p>
    <w:p w:rsidR="0071523F" w:rsidRDefault="0071523F" w:rsidP="003E3CEB">
      <w:pPr>
        <w:spacing w:after="0"/>
        <w:ind w:right="-392"/>
        <w:rPr>
          <w:rFonts w:ascii="Tahoma" w:hAnsi="Tahoma" w:cs="Tahoma"/>
          <w:b/>
          <w:lang w:val="en-US"/>
        </w:rPr>
      </w:pPr>
    </w:p>
    <w:p w:rsidR="0071523F" w:rsidRDefault="0071523F" w:rsidP="003E3CEB">
      <w:pPr>
        <w:spacing w:after="0"/>
        <w:ind w:right="-392"/>
        <w:rPr>
          <w:rFonts w:ascii="Tahoma" w:hAnsi="Tahoma" w:cs="Tahoma"/>
          <w:b/>
          <w:lang w:val="en-US"/>
        </w:rPr>
      </w:pPr>
      <w:bookmarkStart w:id="0" w:name="_GoBack"/>
      <w:bookmarkEnd w:id="0"/>
    </w:p>
    <w:p w:rsidR="003E3CEB" w:rsidRDefault="003E3CEB" w:rsidP="003E3CEB">
      <w:pPr>
        <w:spacing w:after="0"/>
        <w:ind w:right="-392"/>
        <w:rPr>
          <w:rFonts w:ascii="Tahoma" w:hAnsi="Tahoma" w:cs="Tahoma"/>
          <w:b/>
          <w:lang w:val="en-US"/>
        </w:rPr>
      </w:pPr>
      <w:r>
        <w:rPr>
          <w:rFonts w:ascii="Tahoma" w:hAnsi="Tahoma" w:cs="Tahoma"/>
          <w:b/>
          <w:lang w:val="en-US"/>
        </w:rPr>
        <w:t>OIL/PLNG/54/2/</w:t>
      </w:r>
      <w:r w:rsidR="0032770A">
        <w:rPr>
          <w:rFonts w:ascii="Tahoma" w:hAnsi="Tahoma" w:cs="Tahoma"/>
          <w:b/>
          <w:lang w:val="en-US"/>
        </w:rPr>
        <w:t>1</w:t>
      </w:r>
      <w:r>
        <w:rPr>
          <w:rFonts w:ascii="Tahoma" w:hAnsi="Tahoma" w:cs="Tahoma"/>
          <w:b/>
          <w:lang w:val="en-US"/>
        </w:rPr>
        <w:t>/202</w:t>
      </w:r>
      <w:r w:rsidR="0032770A">
        <w:rPr>
          <w:rFonts w:ascii="Tahoma" w:hAnsi="Tahoma" w:cs="Tahoma"/>
          <w:b/>
          <w:lang w:val="en-US"/>
        </w:rPr>
        <w:t>6</w:t>
      </w:r>
      <w:r>
        <w:rPr>
          <w:rFonts w:ascii="Tahoma" w:hAnsi="Tahoma" w:cs="Tahoma"/>
          <w:b/>
          <w:lang w:val="en-US"/>
        </w:rPr>
        <w:t>/</w:t>
      </w:r>
      <w:r w:rsidR="0032770A">
        <w:rPr>
          <w:rFonts w:ascii="Tahoma" w:hAnsi="Tahoma" w:cs="Tahoma"/>
          <w:b/>
          <w:lang w:val="en-US"/>
        </w:rPr>
        <w:t>0</w:t>
      </w:r>
      <w:r>
        <w:rPr>
          <w:rFonts w:ascii="Tahoma" w:hAnsi="Tahoma" w:cs="Tahoma"/>
          <w:b/>
          <w:lang w:val="en-US"/>
        </w:rPr>
        <w:t>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536EB2">
        <w:rPr>
          <w:rFonts w:ascii="Tahoma" w:hAnsi="Tahoma" w:cs="Tahoma"/>
          <w:b/>
          <w:lang w:val="en-US"/>
        </w:rPr>
        <w:t xml:space="preserve">  </w:t>
      </w:r>
      <w:r>
        <w:rPr>
          <w:rFonts w:ascii="Tahoma" w:hAnsi="Tahoma" w:cs="Tahoma"/>
          <w:b/>
          <w:lang w:val="en-US"/>
        </w:rPr>
        <w:t xml:space="preserve"> </w:t>
      </w:r>
      <w:r w:rsidR="00536EB2">
        <w:rPr>
          <w:rFonts w:ascii="Tahoma" w:hAnsi="Tahoma" w:cs="Tahoma"/>
          <w:b/>
          <w:lang w:val="en-US"/>
        </w:rPr>
        <w:t xml:space="preserve"> </w:t>
      </w:r>
      <w:r w:rsidR="005B7E00">
        <w:rPr>
          <w:rFonts w:ascii="Tahoma" w:hAnsi="Tahoma" w:cs="Tahoma"/>
          <w:b/>
          <w:lang w:val="en-US"/>
        </w:rPr>
        <w:t>20</w:t>
      </w:r>
      <w:r w:rsidR="00527C2C" w:rsidRPr="00527C2C">
        <w:rPr>
          <w:rFonts w:ascii="Tahoma" w:hAnsi="Tahoma" w:cs="Tahoma"/>
          <w:b/>
          <w:vertAlign w:val="superscript"/>
          <w:lang w:val="en-US"/>
        </w:rPr>
        <w:t>th</w:t>
      </w:r>
      <w:r>
        <w:rPr>
          <w:rFonts w:ascii="Tahoma" w:hAnsi="Tahoma" w:cs="Tahoma"/>
          <w:b/>
          <w:lang w:val="en-US"/>
        </w:rPr>
        <w:t xml:space="preserve"> </w:t>
      </w:r>
      <w:r w:rsidR="00527C2C">
        <w:rPr>
          <w:rFonts w:ascii="Tahoma" w:hAnsi="Tahoma" w:cs="Tahoma"/>
          <w:b/>
          <w:lang w:val="en-US"/>
        </w:rPr>
        <w:t>January</w:t>
      </w:r>
      <w:r>
        <w:rPr>
          <w:rFonts w:ascii="Tahoma" w:hAnsi="Tahoma" w:cs="Tahoma"/>
          <w:b/>
          <w:lang w:val="en-US"/>
        </w:rPr>
        <w:t>, 202</w:t>
      </w:r>
      <w:r w:rsidR="00527C2C">
        <w:rPr>
          <w:rFonts w:ascii="Tahoma" w:hAnsi="Tahoma" w:cs="Tahoma"/>
          <w:b/>
          <w:lang w:val="en-US"/>
        </w:rPr>
        <w:t>6</w:t>
      </w:r>
    </w:p>
    <w:p w:rsidR="003E3CEB" w:rsidRDefault="003E3CEB" w:rsidP="003E3CEB">
      <w:pPr>
        <w:spacing w:after="0"/>
        <w:ind w:right="-28"/>
        <w:rPr>
          <w:rFonts w:ascii="Tahoma" w:hAnsi="Tahoma" w:cs="Tahoma"/>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527C2C" w:rsidRDefault="00B00A85" w:rsidP="00B00A85">
      <w:pPr>
        <w:spacing w:after="0" w:line="240" w:lineRule="auto"/>
        <w:rPr>
          <w:rFonts w:ascii="Albertus MT Lt" w:hAnsi="Albertus MT Lt"/>
          <w:sz w:val="24"/>
          <w:szCs w:val="24"/>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p>
    <w:p w:rsidR="00B00A85" w:rsidRDefault="003E3CEB" w:rsidP="00536EB2">
      <w:pPr>
        <w:spacing w:after="0"/>
        <w:ind w:right="-421"/>
        <w:jc w:val="right"/>
        <w:rPr>
          <w:rFonts w:ascii="Tahoma" w:hAnsi="Tahoma" w:cs="Tahoma"/>
          <w:b/>
        </w:rPr>
      </w:pPr>
      <w:r>
        <w:rPr>
          <w:rFonts w:ascii="Tahoma" w:hAnsi="Tahoma" w:cs="Tahoma"/>
          <w:b/>
          <w:bCs/>
          <w:lang w:val="en-US"/>
        </w:rPr>
        <w:t xml:space="preserve">                              </w:t>
      </w:r>
      <w:r>
        <w:rPr>
          <w:rFonts w:ascii="Tahoma" w:hAnsi="Tahoma" w:cs="Tahoma"/>
          <w:b/>
          <w:lang w:val="en-US"/>
        </w:rPr>
        <w:t xml:space="preserve">                               Kind Attn: </w:t>
      </w:r>
      <w:r w:rsidR="00B00A85">
        <w:rPr>
          <w:rFonts w:ascii="Tahoma" w:hAnsi="Tahoma" w:cs="Tahoma"/>
          <w:b/>
        </w:rPr>
        <w:t xml:space="preserve">Shri K. </w:t>
      </w:r>
      <w:proofErr w:type="spellStart"/>
      <w:r w:rsidR="00B00A85">
        <w:rPr>
          <w:rFonts w:ascii="Tahoma" w:hAnsi="Tahoma" w:cs="Tahoma"/>
          <w:b/>
        </w:rPr>
        <w:t>Reguram</w:t>
      </w:r>
      <w:proofErr w:type="spellEnd"/>
    </w:p>
    <w:p w:rsidR="003E3CEB" w:rsidRDefault="00B00A85" w:rsidP="00536EB2">
      <w:pPr>
        <w:spacing w:after="0"/>
        <w:ind w:right="-421"/>
        <w:jc w:val="right"/>
        <w:rPr>
          <w:rFonts w:ascii="Tahoma" w:hAnsi="Tahoma" w:cs="Tahoma"/>
          <w:bCs/>
          <w:u w:val="single"/>
        </w:rPr>
      </w:pPr>
      <w:r w:rsidRPr="0071523F">
        <w:rPr>
          <w:rFonts w:ascii="Tahoma" w:hAnsi="Tahoma" w:cs="Tahoma"/>
          <w:bCs/>
          <w:u w:val="single"/>
        </w:rPr>
        <w:t xml:space="preserve">Under </w:t>
      </w:r>
      <w:r w:rsidR="005356DD" w:rsidRPr="0071523F">
        <w:rPr>
          <w:rFonts w:ascii="Tahoma" w:hAnsi="Tahoma" w:cs="Tahoma"/>
          <w:bCs/>
          <w:u w:val="single"/>
        </w:rPr>
        <w:t>Secretary (</w:t>
      </w:r>
      <w:r w:rsidR="0071523F">
        <w:rPr>
          <w:rFonts w:ascii="Tahoma" w:hAnsi="Tahoma" w:cs="Tahoma"/>
          <w:bCs/>
          <w:u w:val="single"/>
        </w:rPr>
        <w:t>Exploration Division</w:t>
      </w:r>
      <w:r w:rsidRPr="0071523F">
        <w:rPr>
          <w:rFonts w:ascii="Tahoma" w:hAnsi="Tahoma" w:cs="Tahoma"/>
          <w:bCs/>
          <w:u w:val="single"/>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3E3CEB">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Lok Sabha Provisionally Admitted </w:t>
      </w:r>
      <w:r w:rsidR="00527C2C">
        <w:rPr>
          <w:rFonts w:ascii="Tahoma" w:hAnsi="Tahoma" w:cs="Tahoma"/>
          <w:lang w:val="en-US"/>
        </w:rPr>
        <w:t>Uns</w:t>
      </w:r>
      <w:r>
        <w:rPr>
          <w:rFonts w:ascii="Tahoma" w:hAnsi="Tahoma" w:cs="Tahoma"/>
          <w:lang w:val="en-US"/>
        </w:rPr>
        <w:t xml:space="preserve">tarred Question Dy. No. </w:t>
      </w:r>
      <w:r w:rsidR="00B00A85">
        <w:rPr>
          <w:rFonts w:ascii="Tahoma" w:hAnsi="Tahoma" w:cs="Tahoma"/>
          <w:b/>
          <w:bCs/>
        </w:rPr>
        <w:t>293</w:t>
      </w:r>
      <w:r>
        <w:rPr>
          <w:rFonts w:ascii="Tahoma" w:hAnsi="Tahoma" w:cs="Tahoma"/>
          <w:b/>
          <w:bCs/>
        </w:rPr>
        <w:t xml:space="preserve"> </w:t>
      </w:r>
      <w:r>
        <w:rPr>
          <w:rFonts w:ascii="Tahoma" w:hAnsi="Tahoma" w:cs="Tahoma"/>
          <w:lang w:val="en-US"/>
        </w:rPr>
        <w:t xml:space="preserve">for </w:t>
      </w:r>
      <w:r w:rsidR="00527C2C">
        <w:rPr>
          <w:rFonts w:ascii="Tahoma" w:hAnsi="Tahoma" w:cs="Tahoma"/>
          <w:lang w:val="en-US"/>
        </w:rPr>
        <w:t>29</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3E3CEB">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B00A85">
        <w:rPr>
          <w:rFonts w:ascii="Tahoma" w:hAnsi="Tahoma" w:cs="Tahoma"/>
          <w:b/>
          <w:bCs/>
        </w:rPr>
        <w:t xml:space="preserve">Potential </w:t>
      </w:r>
      <w:r w:rsidR="00BA37C1">
        <w:rPr>
          <w:rFonts w:ascii="Tahoma" w:hAnsi="Tahoma" w:cs="Tahoma"/>
          <w:b/>
          <w:bCs/>
        </w:rPr>
        <w:t>of</w:t>
      </w:r>
      <w:r w:rsidR="00B00A85">
        <w:rPr>
          <w:rFonts w:ascii="Tahoma" w:hAnsi="Tahoma" w:cs="Tahoma"/>
          <w:b/>
          <w:bCs/>
        </w:rPr>
        <w:t xml:space="preserve"> Petroleum and Natural Gas Reserves </w:t>
      </w:r>
      <w:r w:rsidR="00BA37C1">
        <w:rPr>
          <w:rFonts w:ascii="Tahoma" w:hAnsi="Tahoma" w:cs="Tahoma"/>
          <w:b/>
          <w:bCs/>
        </w:rPr>
        <w:t>in Daman and Diu</w:t>
      </w:r>
      <w:r>
        <w:rPr>
          <w:rFonts w:ascii="Tahoma" w:hAnsi="Tahoma" w:cs="Tahoma"/>
          <w:b/>
          <w:bCs/>
        </w:rPr>
        <w:t>”</w:t>
      </w:r>
    </w:p>
    <w:p w:rsidR="003E3CEB" w:rsidRDefault="003E3CEB" w:rsidP="003E3CEB">
      <w:pPr>
        <w:tabs>
          <w:tab w:val="left" w:pos="709"/>
          <w:tab w:val="center" w:pos="4817"/>
        </w:tabs>
        <w:spacing w:after="0"/>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A37C1">
        <w:rPr>
          <w:rFonts w:ascii="Tahoma" w:hAnsi="Tahoma" w:cs="Tahoma"/>
          <w:lang w:val="en-US"/>
        </w:rPr>
        <w:t>1</w:t>
      </w:r>
      <w:r w:rsidR="0071523F">
        <w:rPr>
          <w:rFonts w:ascii="Tahoma" w:hAnsi="Tahoma" w:cs="Tahoma"/>
          <w:lang w:val="en-US"/>
        </w:rPr>
        <w:t>6</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Default="003E3CEB" w:rsidP="003E3CEB">
      <w:pPr>
        <w:tabs>
          <w:tab w:val="left" w:pos="709"/>
          <w:tab w:val="center" w:pos="4817"/>
        </w:tabs>
        <w:spacing w:after="0"/>
        <w:ind w:right="-306"/>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4106"/>
        <w:gridCol w:w="5644"/>
      </w:tblGrid>
      <w:tr w:rsidR="0071523F" w:rsidTr="00C13B4F">
        <w:trPr>
          <w:trHeight w:val="1208"/>
        </w:trPr>
        <w:tc>
          <w:tcPr>
            <w:tcW w:w="4106" w:type="dxa"/>
            <w:tcBorders>
              <w:top w:val="single" w:sz="4" w:space="0" w:color="auto"/>
              <w:left w:val="single" w:sz="4" w:space="0" w:color="auto"/>
              <w:bottom w:val="single" w:sz="4" w:space="0" w:color="auto"/>
              <w:right w:val="single" w:sz="4" w:space="0" w:color="auto"/>
            </w:tcBorders>
          </w:tcPr>
          <w:p w:rsidR="0071523F" w:rsidRDefault="0071523F">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 :</w:t>
            </w:r>
            <w:proofErr w:type="gramEnd"/>
          </w:p>
          <w:p w:rsidR="0071523F" w:rsidRDefault="0071523F">
            <w:pPr>
              <w:spacing w:after="0" w:line="240" w:lineRule="auto"/>
              <w:ind w:right="34"/>
              <w:jc w:val="both"/>
              <w:rPr>
                <w:rFonts w:ascii="Tahoma" w:hAnsi="Tahoma" w:cs="Tahoma"/>
                <w:i/>
                <w:iCs/>
              </w:rPr>
            </w:pPr>
          </w:p>
          <w:p w:rsidR="0071523F" w:rsidRPr="00BA37C1" w:rsidRDefault="0071523F" w:rsidP="00BA37C1">
            <w:pPr>
              <w:pStyle w:val="Default"/>
              <w:jc w:val="both"/>
              <w:rPr>
                <w:rFonts w:ascii="Tahoma" w:hAnsi="Tahoma" w:cs="Tahoma"/>
                <w:i/>
                <w:iCs/>
                <w:sz w:val="22"/>
                <w:szCs w:val="22"/>
              </w:rPr>
            </w:pPr>
            <w:r w:rsidRPr="00BA37C1">
              <w:rPr>
                <w:rFonts w:ascii="Tahoma" w:hAnsi="Tahoma" w:cs="Tahoma"/>
                <w:i/>
                <w:iCs/>
                <w:sz w:val="22"/>
                <w:szCs w:val="22"/>
              </w:rPr>
              <w:t>Q.(a) Whether the Union Government has conducted any assessment or evaluation study to ascertain the presence or absence of potential petroleum or natural gas reserves in Daman and Diu and its surrounding areas, if so, the details thereof;</w:t>
            </w:r>
          </w:p>
          <w:p w:rsidR="0071523F" w:rsidRPr="00527C2C" w:rsidRDefault="0071523F" w:rsidP="00527C2C">
            <w:pPr>
              <w:pStyle w:val="Default"/>
              <w:jc w:val="both"/>
              <w:rPr>
                <w:rFonts w:ascii="Tahoma" w:hAnsi="Tahoma" w:cs="Tahoma"/>
                <w:i/>
                <w:iCs/>
                <w:sz w:val="22"/>
                <w:szCs w:val="22"/>
              </w:rPr>
            </w:pPr>
          </w:p>
        </w:tc>
        <w:tc>
          <w:tcPr>
            <w:tcW w:w="5644" w:type="dxa"/>
            <w:vMerge w:val="restart"/>
            <w:tcBorders>
              <w:top w:val="single" w:sz="4" w:space="0" w:color="auto"/>
              <w:left w:val="single" w:sz="4" w:space="0" w:color="auto"/>
              <w:right w:val="single" w:sz="4" w:space="0" w:color="auto"/>
            </w:tcBorders>
            <w:hideMark/>
          </w:tcPr>
          <w:p w:rsidR="0071523F" w:rsidRDefault="0071523F">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Q(a), Q(b) &amp; Q(c</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C13B4F" w:rsidRPr="00C13B4F" w:rsidRDefault="0071523F" w:rsidP="00C13B4F">
            <w:pPr>
              <w:spacing w:after="120" w:line="240" w:lineRule="auto"/>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 xml:space="preserve">As far as Oil India Limited (OIL) is </w:t>
            </w:r>
            <w:proofErr w:type="gramStart"/>
            <w:r>
              <w:rPr>
                <w:rFonts w:ascii="Tahoma" w:eastAsia="Times New Roman" w:hAnsi="Tahoma" w:cs="Tahoma"/>
                <w:kern w:val="2"/>
                <w14:ligatures w14:val="standardContextual"/>
              </w:rPr>
              <w:t xml:space="preserve">concerned, </w:t>
            </w:r>
            <w:r w:rsidR="00C13B4F">
              <w:rPr>
                <w:rFonts w:ascii="Tahoma" w:eastAsia="Times New Roman" w:hAnsi="Tahoma" w:cs="Tahoma"/>
                <w:kern w:val="2"/>
                <w14:ligatures w14:val="standardContextual"/>
              </w:rPr>
              <w:t xml:space="preserve">  </w:t>
            </w:r>
            <w:proofErr w:type="gramEnd"/>
            <w:r w:rsidR="00C13B4F">
              <w:rPr>
                <w:rFonts w:ascii="Tahoma" w:eastAsia="Times New Roman" w:hAnsi="Tahoma" w:cs="Tahoma"/>
                <w:kern w:val="2"/>
                <w14:ligatures w14:val="standardContextual"/>
              </w:rPr>
              <w:t xml:space="preserve"> </w:t>
            </w:r>
            <w:r w:rsidR="00733DD4">
              <w:rPr>
                <w:rFonts w:ascii="Tahoma" w:eastAsia="Times New Roman" w:hAnsi="Tahoma" w:cs="Tahoma"/>
                <w:kern w:val="2"/>
                <w14:ligatures w14:val="standardContextual"/>
              </w:rPr>
              <w:t xml:space="preserve">   </w:t>
            </w:r>
            <w:r w:rsidR="00C13B4F" w:rsidRPr="00C13B4F">
              <w:rPr>
                <w:rFonts w:ascii="Tahoma" w:eastAsia="Times New Roman" w:hAnsi="Tahoma" w:cs="Tahoma"/>
                <w:kern w:val="2"/>
                <w:lang w:val="en-US"/>
                <w14:ligatures w14:val="standardContextual"/>
              </w:rPr>
              <w:t>it currently has two (2) exploratory blocks awarded under OALP (Open Acreage Licensing Policy) Bid Round IX in onshore Gujarat. OIL is Operator with 100% Participating Interest (PI) in Block CB-ONHP-2023/1 and holds 50% PI in non-operated Block CB-ONHP-2022/2 with ONGC being the Operator with the remaining 50% PI. The Petroleum Leases (PL's) for the blocks are still awaited from the Government of Gujarat. Exploration activities can only start after the PL's are granted.</w:t>
            </w:r>
          </w:p>
          <w:p w:rsidR="00C13B4F" w:rsidRPr="00C13B4F" w:rsidRDefault="00C13B4F" w:rsidP="00C13B4F">
            <w:pPr>
              <w:spacing w:after="120" w:line="240" w:lineRule="auto"/>
              <w:jc w:val="both"/>
              <w:rPr>
                <w:rFonts w:ascii="Tahoma" w:eastAsia="Times New Roman" w:hAnsi="Tahoma" w:cs="Tahoma"/>
                <w:kern w:val="2"/>
                <w:lang w:val="en-US"/>
                <w14:ligatures w14:val="standardContextual"/>
              </w:rPr>
            </w:pPr>
            <w:r w:rsidRPr="00C13B4F">
              <w:rPr>
                <w:rFonts w:ascii="Tahoma" w:eastAsia="Times New Roman" w:hAnsi="Tahoma" w:cs="Tahoma"/>
                <w:kern w:val="2"/>
                <w:lang w:val="en-US"/>
                <w14:ligatures w14:val="standardContextual"/>
              </w:rPr>
              <w:t xml:space="preserve">Once PL's are received, the consortium will begin seismic survey and drill wells to check for oil or natural gas occurrence. Only after completing the exploration activities, it can be confirmed whether the blocks </w:t>
            </w:r>
            <w:proofErr w:type="gramStart"/>
            <w:r w:rsidRPr="00C13B4F">
              <w:rPr>
                <w:rFonts w:ascii="Tahoma" w:eastAsia="Times New Roman" w:hAnsi="Tahoma" w:cs="Tahoma"/>
                <w:kern w:val="2"/>
                <w:lang w:val="en-US"/>
                <w14:ligatures w14:val="standardContextual"/>
              </w:rPr>
              <w:t>holds</w:t>
            </w:r>
            <w:proofErr w:type="gramEnd"/>
            <w:r w:rsidRPr="00C13B4F">
              <w:rPr>
                <w:rFonts w:ascii="Tahoma" w:eastAsia="Times New Roman" w:hAnsi="Tahoma" w:cs="Tahoma"/>
                <w:kern w:val="2"/>
                <w:lang w:val="en-US"/>
                <w14:ligatures w14:val="standardContextual"/>
              </w:rPr>
              <w:t xml:space="preserve"> reserves. Subsequent actions will depend on project viability, available infrastructure, market conditions, and regulatory approvals.</w:t>
            </w:r>
          </w:p>
          <w:p w:rsidR="0071523F" w:rsidRDefault="0071523F" w:rsidP="006E49C3">
            <w:pPr>
              <w:spacing w:after="120" w:line="240" w:lineRule="auto"/>
              <w:jc w:val="both"/>
              <w:rPr>
                <w:rFonts w:ascii="Tahoma" w:eastAsia="Times New Roman" w:hAnsi="Tahoma" w:cs="Tahoma"/>
                <w:kern w:val="2"/>
                <w14:ligatures w14:val="standardContextual"/>
              </w:rPr>
            </w:pPr>
          </w:p>
        </w:tc>
      </w:tr>
      <w:tr w:rsidR="0071523F" w:rsidTr="00C13B4F">
        <w:trPr>
          <w:trHeight w:val="1230"/>
        </w:trPr>
        <w:tc>
          <w:tcPr>
            <w:tcW w:w="4106" w:type="dxa"/>
            <w:tcBorders>
              <w:top w:val="single" w:sz="4" w:space="0" w:color="auto"/>
              <w:left w:val="single" w:sz="4" w:space="0" w:color="auto"/>
              <w:bottom w:val="single" w:sz="4" w:space="0" w:color="auto"/>
              <w:right w:val="single" w:sz="4" w:space="0" w:color="auto"/>
            </w:tcBorders>
          </w:tcPr>
          <w:p w:rsidR="0071523F" w:rsidRPr="00BA37C1" w:rsidRDefault="0071523F" w:rsidP="00BA37C1">
            <w:pPr>
              <w:pStyle w:val="Default"/>
              <w:jc w:val="both"/>
              <w:rPr>
                <w:rFonts w:ascii="Tahoma" w:eastAsia="Times New Roman" w:hAnsi="Tahoma" w:cs="Tahoma"/>
                <w:i/>
                <w:iCs/>
                <w:sz w:val="22"/>
                <w:szCs w:val="22"/>
              </w:rPr>
            </w:pPr>
            <w:r w:rsidRPr="00BA37C1">
              <w:rPr>
                <w:rFonts w:ascii="Tahoma" w:hAnsi="Tahoma" w:cs="Tahoma"/>
                <w:i/>
                <w:iCs/>
                <w:sz w:val="22"/>
                <w:szCs w:val="22"/>
              </w:rPr>
              <w:t>Q.(b) Whether the Government has considered the options for linking petroleum reserves located along the coastal boundaries of Gujarat and Maharashtra with the local economy of Daman and Diu, if so, the details thereof; and</w:t>
            </w:r>
          </w:p>
        </w:tc>
        <w:tc>
          <w:tcPr>
            <w:tcW w:w="5644" w:type="dxa"/>
            <w:vMerge/>
            <w:tcBorders>
              <w:left w:val="single" w:sz="4" w:space="0" w:color="auto"/>
              <w:right w:val="single" w:sz="4" w:space="0" w:color="auto"/>
            </w:tcBorders>
            <w:hideMark/>
          </w:tcPr>
          <w:p w:rsidR="0071523F" w:rsidRDefault="0071523F" w:rsidP="006E49C3">
            <w:pPr>
              <w:spacing w:after="120" w:line="240" w:lineRule="auto"/>
              <w:jc w:val="both"/>
              <w:rPr>
                <w:rFonts w:ascii="Tahoma" w:hAnsi="Tahoma" w:cs="Tahoma"/>
                <w:lang w:val="en-US"/>
              </w:rPr>
            </w:pPr>
          </w:p>
        </w:tc>
      </w:tr>
      <w:tr w:rsidR="0071523F" w:rsidTr="00C13B4F">
        <w:trPr>
          <w:trHeight w:val="1230"/>
        </w:trPr>
        <w:tc>
          <w:tcPr>
            <w:tcW w:w="4106" w:type="dxa"/>
            <w:tcBorders>
              <w:top w:val="single" w:sz="4" w:space="0" w:color="auto"/>
              <w:left w:val="single" w:sz="4" w:space="0" w:color="auto"/>
              <w:bottom w:val="single" w:sz="4" w:space="0" w:color="auto"/>
              <w:right w:val="single" w:sz="4" w:space="0" w:color="auto"/>
            </w:tcBorders>
          </w:tcPr>
          <w:p w:rsidR="0071523F" w:rsidRPr="00BA37C1" w:rsidRDefault="0071523F" w:rsidP="00BA37C1">
            <w:pPr>
              <w:pStyle w:val="Default"/>
              <w:jc w:val="both"/>
              <w:rPr>
                <w:rFonts w:ascii="Tahoma" w:hAnsi="Tahoma" w:cs="Tahoma"/>
                <w:i/>
                <w:iCs/>
                <w:sz w:val="22"/>
                <w:szCs w:val="22"/>
              </w:rPr>
            </w:pPr>
            <w:r w:rsidRPr="00BA37C1">
              <w:rPr>
                <w:rFonts w:ascii="Tahoma" w:hAnsi="Tahoma" w:cs="Tahoma"/>
                <w:i/>
                <w:iCs/>
                <w:sz w:val="22"/>
                <w:szCs w:val="22"/>
              </w:rPr>
              <w:t>Q.(c) Whether any roadmap or blueprint has been prepared by the Government in this regard, if so, the details thereof and the manner in which this may impact the functioning of industries located in Daman and Diu?</w:t>
            </w:r>
          </w:p>
        </w:tc>
        <w:tc>
          <w:tcPr>
            <w:tcW w:w="5644" w:type="dxa"/>
            <w:vMerge/>
            <w:tcBorders>
              <w:left w:val="single" w:sz="4" w:space="0" w:color="auto"/>
              <w:bottom w:val="single" w:sz="4" w:space="0" w:color="auto"/>
              <w:right w:val="single" w:sz="4" w:space="0" w:color="auto"/>
            </w:tcBorders>
            <w:hideMark/>
          </w:tcPr>
          <w:p w:rsidR="0071523F" w:rsidRDefault="0071523F">
            <w:pPr>
              <w:spacing w:after="120" w:line="240" w:lineRule="auto"/>
              <w:jc w:val="both"/>
              <w:rPr>
                <w:rFonts w:ascii="Tahoma" w:hAnsi="Tahoma" w:cs="Tahoma"/>
                <w:b/>
                <w:lang w:val="en-US"/>
              </w:rPr>
            </w:pPr>
          </w:p>
        </w:tc>
      </w:tr>
    </w:tbl>
    <w:p w:rsidR="0071523F" w:rsidRPr="002A52C0" w:rsidRDefault="0071523F" w:rsidP="0071523F">
      <w:pPr>
        <w:spacing w:after="0"/>
        <w:ind w:right="-482"/>
        <w:jc w:val="right"/>
        <w:rPr>
          <w:rFonts w:ascii="Tahoma" w:hAnsi="Tahoma" w:cs="Tahoma"/>
          <w:lang w:val="en-US"/>
        </w:rPr>
      </w:pPr>
      <w:r w:rsidRPr="002A52C0">
        <w:rPr>
          <w:rFonts w:ascii="Tahoma" w:hAnsi="Tahoma" w:cs="Tahoma"/>
          <w:lang w:val="en-US"/>
        </w:rPr>
        <w:t>Yours faithfully,</w:t>
      </w:r>
    </w:p>
    <w:p w:rsidR="0071523F" w:rsidRPr="002A52C0" w:rsidRDefault="0071523F" w:rsidP="0071523F">
      <w:pPr>
        <w:spacing w:after="0" w:line="240" w:lineRule="auto"/>
        <w:ind w:right="-482"/>
        <w:jc w:val="right"/>
        <w:rPr>
          <w:rFonts w:ascii="Tahoma" w:hAnsi="Tahoma" w:cs="Tahoma"/>
          <w:u w:val="single"/>
          <w:lang w:val="en-US"/>
        </w:rPr>
      </w:pPr>
      <w:r w:rsidRPr="002A52C0">
        <w:rPr>
          <w:rFonts w:ascii="Tahoma" w:hAnsi="Tahoma" w:cs="Tahoma"/>
          <w:u w:val="single"/>
          <w:lang w:val="en-US"/>
        </w:rPr>
        <w:t>OIL INDIA LIMITED</w:t>
      </w:r>
    </w:p>
    <w:p w:rsidR="0071523F" w:rsidRDefault="0071523F" w:rsidP="0071523F">
      <w:pPr>
        <w:spacing w:after="0" w:line="240" w:lineRule="auto"/>
        <w:ind w:right="-482"/>
        <w:jc w:val="right"/>
        <w:rPr>
          <w:rFonts w:ascii="Tahoma" w:hAnsi="Tahoma" w:cs="Tahoma"/>
          <w:lang w:val="en-US"/>
        </w:rPr>
      </w:pPr>
    </w:p>
    <w:p w:rsidR="0071523F" w:rsidRDefault="0071523F" w:rsidP="0071523F">
      <w:pPr>
        <w:spacing w:after="0" w:line="240" w:lineRule="auto"/>
        <w:ind w:right="-482"/>
        <w:jc w:val="right"/>
        <w:rPr>
          <w:rFonts w:ascii="Tahoma" w:hAnsi="Tahoma" w:cs="Tahoma"/>
          <w:lang w:val="en-US"/>
        </w:rPr>
      </w:pPr>
    </w:p>
    <w:p w:rsidR="0071523F" w:rsidRPr="002A52C0" w:rsidRDefault="0071523F" w:rsidP="0071523F">
      <w:pPr>
        <w:spacing w:after="0" w:line="240" w:lineRule="auto"/>
        <w:ind w:right="-482"/>
        <w:jc w:val="right"/>
        <w:rPr>
          <w:rFonts w:ascii="Tahoma" w:hAnsi="Tahoma" w:cs="Tahoma"/>
          <w:lang w:val="en-US"/>
        </w:rPr>
      </w:pPr>
    </w:p>
    <w:p w:rsidR="0071523F" w:rsidRPr="002A52C0" w:rsidRDefault="0071523F" w:rsidP="0071523F">
      <w:pPr>
        <w:spacing w:after="0" w:line="240" w:lineRule="auto"/>
        <w:ind w:right="-482"/>
        <w:jc w:val="right"/>
        <w:rPr>
          <w:rFonts w:ascii="Tahoma" w:hAnsi="Tahoma" w:cs="Tahoma"/>
          <w:b/>
          <w:lang w:val="en-US"/>
        </w:rPr>
      </w:pPr>
      <w:r w:rsidRPr="002A52C0">
        <w:rPr>
          <w:rFonts w:ascii="Tahoma" w:hAnsi="Tahoma" w:cs="Tahoma"/>
          <w:b/>
          <w:lang w:val="en-US"/>
        </w:rPr>
        <w:t xml:space="preserve">(Kishore Kumar </w:t>
      </w:r>
      <w:proofErr w:type="spellStart"/>
      <w:r>
        <w:rPr>
          <w:rFonts w:ascii="Tahoma" w:hAnsi="Tahoma" w:cs="Tahoma"/>
          <w:b/>
          <w:lang w:val="en-US"/>
        </w:rPr>
        <w:t>Baishya</w:t>
      </w:r>
      <w:proofErr w:type="spellEnd"/>
      <w:r w:rsidRPr="002A52C0">
        <w:rPr>
          <w:rFonts w:ascii="Tahoma" w:hAnsi="Tahoma" w:cs="Tahoma"/>
          <w:b/>
          <w:lang w:val="en-US"/>
        </w:rPr>
        <w:t>)</w:t>
      </w:r>
    </w:p>
    <w:p w:rsidR="0071523F" w:rsidRPr="002A52C0" w:rsidRDefault="0071523F" w:rsidP="0071523F">
      <w:pPr>
        <w:spacing w:after="0" w:line="240" w:lineRule="auto"/>
        <w:ind w:right="-482"/>
        <w:jc w:val="right"/>
        <w:rPr>
          <w:rFonts w:ascii="Tahoma" w:hAnsi="Tahoma" w:cs="Tahoma"/>
          <w:lang w:val="en-US"/>
        </w:rPr>
      </w:pPr>
      <w:r w:rsidRPr="002A52C0">
        <w:rPr>
          <w:rFonts w:ascii="Tahoma" w:hAnsi="Tahoma" w:cs="Tahoma"/>
          <w:lang w:val="en-US"/>
        </w:rPr>
        <w:t>Chief General Manager (Planning)</w:t>
      </w:r>
    </w:p>
    <w:p w:rsidR="00CE21FD" w:rsidRDefault="0071523F" w:rsidP="00536EB2">
      <w:pPr>
        <w:spacing w:after="0"/>
        <w:ind w:right="-482"/>
        <w:jc w:val="right"/>
      </w:pPr>
      <w:r w:rsidRPr="002A52C0">
        <w:rPr>
          <w:rFonts w:ascii="Tahoma" w:hAnsi="Tahoma" w:cs="Tahoma"/>
          <w:b/>
          <w:u w:val="single"/>
          <w:lang w:val="en-US"/>
        </w:rPr>
        <w:t>For Chairman &amp; Managing Director</w:t>
      </w:r>
    </w:p>
    <w:sectPr w:rsidR="00CE21FD" w:rsidSect="00BA37C1">
      <w:pgSz w:w="12240" w:h="15840"/>
      <w:pgMar w:top="14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311C60"/>
    <w:rsid w:val="0032770A"/>
    <w:rsid w:val="003E3CEB"/>
    <w:rsid w:val="00434E16"/>
    <w:rsid w:val="004A05A9"/>
    <w:rsid w:val="004D6449"/>
    <w:rsid w:val="00527C2C"/>
    <w:rsid w:val="005356DD"/>
    <w:rsid w:val="00536EB2"/>
    <w:rsid w:val="005B7E00"/>
    <w:rsid w:val="0071523F"/>
    <w:rsid w:val="00733DD4"/>
    <w:rsid w:val="00A61609"/>
    <w:rsid w:val="00B00A85"/>
    <w:rsid w:val="00BA37C1"/>
    <w:rsid w:val="00C13B4F"/>
    <w:rsid w:val="00CE21FD"/>
    <w:rsid w:val="00D0096A"/>
    <w:rsid w:val="00D924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DF3A"/>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339162834">
      <w:bodyDiv w:val="1"/>
      <w:marLeft w:val="0"/>
      <w:marRight w:val="0"/>
      <w:marTop w:val="0"/>
      <w:marBottom w:val="0"/>
      <w:divBdr>
        <w:top w:val="none" w:sz="0" w:space="0" w:color="auto"/>
        <w:left w:val="none" w:sz="0" w:space="0" w:color="auto"/>
        <w:bottom w:val="none" w:sz="0" w:space="0" w:color="auto"/>
        <w:right w:val="none" w:sz="0" w:space="0" w:color="auto"/>
      </w:divBdr>
      <w:divsChild>
        <w:div w:id="44451255">
          <w:marLeft w:val="0"/>
          <w:marRight w:val="0"/>
          <w:marTop w:val="0"/>
          <w:marBottom w:val="0"/>
          <w:divBdr>
            <w:top w:val="none" w:sz="0" w:space="0" w:color="auto"/>
            <w:left w:val="none" w:sz="0" w:space="0" w:color="auto"/>
            <w:bottom w:val="none" w:sz="0" w:space="0" w:color="auto"/>
            <w:right w:val="none" w:sz="0" w:space="0" w:color="auto"/>
          </w:divBdr>
        </w:div>
        <w:div w:id="330573334">
          <w:marLeft w:val="0"/>
          <w:marRight w:val="0"/>
          <w:marTop w:val="0"/>
          <w:marBottom w:val="0"/>
          <w:divBdr>
            <w:top w:val="none" w:sz="0" w:space="0" w:color="auto"/>
            <w:left w:val="none" w:sz="0" w:space="0" w:color="auto"/>
            <w:bottom w:val="none" w:sz="0" w:space="0" w:color="auto"/>
            <w:right w:val="none" w:sz="0" w:space="0" w:color="auto"/>
          </w:divBdr>
        </w:div>
        <w:div w:id="561257933">
          <w:marLeft w:val="0"/>
          <w:marRight w:val="0"/>
          <w:marTop w:val="0"/>
          <w:marBottom w:val="0"/>
          <w:divBdr>
            <w:top w:val="none" w:sz="0" w:space="0" w:color="auto"/>
            <w:left w:val="none" w:sz="0" w:space="0" w:color="auto"/>
            <w:bottom w:val="none" w:sz="0" w:space="0" w:color="auto"/>
            <w:right w:val="none" w:sz="0" w:space="0" w:color="auto"/>
          </w:divBdr>
        </w:div>
        <w:div w:id="1634169209">
          <w:marLeft w:val="0"/>
          <w:marRight w:val="0"/>
          <w:marTop w:val="0"/>
          <w:marBottom w:val="0"/>
          <w:divBdr>
            <w:top w:val="none" w:sz="0" w:space="0" w:color="auto"/>
            <w:left w:val="none" w:sz="0" w:space="0" w:color="auto"/>
            <w:bottom w:val="none" w:sz="0" w:space="0" w:color="auto"/>
            <w:right w:val="none" w:sz="0" w:space="0" w:color="auto"/>
          </w:divBdr>
        </w:div>
        <w:div w:id="1212612925">
          <w:marLeft w:val="0"/>
          <w:marRight w:val="0"/>
          <w:marTop w:val="0"/>
          <w:marBottom w:val="0"/>
          <w:divBdr>
            <w:top w:val="none" w:sz="0" w:space="0" w:color="auto"/>
            <w:left w:val="none" w:sz="0" w:space="0" w:color="auto"/>
            <w:bottom w:val="none" w:sz="0" w:space="0" w:color="auto"/>
            <w:right w:val="none" w:sz="0" w:space="0" w:color="auto"/>
          </w:divBdr>
        </w:div>
      </w:divsChild>
    </w:div>
    <w:div w:id="548150063">
      <w:bodyDiv w:val="1"/>
      <w:marLeft w:val="0"/>
      <w:marRight w:val="0"/>
      <w:marTop w:val="0"/>
      <w:marBottom w:val="0"/>
      <w:divBdr>
        <w:top w:val="none" w:sz="0" w:space="0" w:color="auto"/>
        <w:left w:val="none" w:sz="0" w:space="0" w:color="auto"/>
        <w:bottom w:val="none" w:sz="0" w:space="0" w:color="auto"/>
        <w:right w:val="none" w:sz="0" w:space="0" w:color="auto"/>
      </w:divBdr>
      <w:divsChild>
        <w:div w:id="828405881">
          <w:marLeft w:val="0"/>
          <w:marRight w:val="0"/>
          <w:marTop w:val="0"/>
          <w:marBottom w:val="0"/>
          <w:divBdr>
            <w:top w:val="none" w:sz="0" w:space="0" w:color="auto"/>
            <w:left w:val="none" w:sz="0" w:space="0" w:color="auto"/>
            <w:bottom w:val="none" w:sz="0" w:space="0" w:color="auto"/>
            <w:right w:val="none" w:sz="0" w:space="0" w:color="auto"/>
          </w:divBdr>
        </w:div>
        <w:div w:id="1779064157">
          <w:marLeft w:val="0"/>
          <w:marRight w:val="0"/>
          <w:marTop w:val="0"/>
          <w:marBottom w:val="0"/>
          <w:divBdr>
            <w:top w:val="none" w:sz="0" w:space="0" w:color="auto"/>
            <w:left w:val="none" w:sz="0" w:space="0" w:color="auto"/>
            <w:bottom w:val="none" w:sz="0" w:space="0" w:color="auto"/>
            <w:right w:val="none" w:sz="0" w:space="0" w:color="auto"/>
          </w:divBdr>
        </w:div>
        <w:div w:id="1531602734">
          <w:marLeft w:val="0"/>
          <w:marRight w:val="0"/>
          <w:marTop w:val="0"/>
          <w:marBottom w:val="0"/>
          <w:divBdr>
            <w:top w:val="none" w:sz="0" w:space="0" w:color="auto"/>
            <w:left w:val="none" w:sz="0" w:space="0" w:color="auto"/>
            <w:bottom w:val="none" w:sz="0" w:space="0" w:color="auto"/>
            <w:right w:val="none" w:sz="0" w:space="0" w:color="auto"/>
          </w:divBdr>
        </w:div>
        <w:div w:id="1834880590">
          <w:marLeft w:val="0"/>
          <w:marRight w:val="0"/>
          <w:marTop w:val="0"/>
          <w:marBottom w:val="0"/>
          <w:divBdr>
            <w:top w:val="none" w:sz="0" w:space="0" w:color="auto"/>
            <w:left w:val="none" w:sz="0" w:space="0" w:color="auto"/>
            <w:bottom w:val="none" w:sz="0" w:space="0" w:color="auto"/>
            <w:right w:val="none" w:sz="0" w:space="0" w:color="auto"/>
          </w:divBdr>
        </w:div>
        <w:div w:id="1270162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2026-01-19T12:34:00Z</cp:lastPrinted>
  <dcterms:created xsi:type="dcterms:W3CDTF">2026-01-19T12:38:00Z</dcterms:created>
  <dcterms:modified xsi:type="dcterms:W3CDTF">2026-01-20T07:16:00Z</dcterms:modified>
</cp:coreProperties>
</file>