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C192C9" w14:textId="0850B5A7" w:rsidR="00527C2C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B558E1A" w14:textId="3C394B65" w:rsidR="00DE63F6" w:rsidRDefault="00DE63F6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7D0E3442" w14:textId="77777777" w:rsidR="00DE63F6" w:rsidRDefault="00DE63F6" w:rsidP="003E3CEB">
      <w:pPr>
        <w:spacing w:after="0"/>
        <w:ind w:right="-392"/>
        <w:rPr>
          <w:rFonts w:ascii="Tahoma" w:hAnsi="Tahoma" w:cs="Tahoma"/>
          <w:b/>
          <w:lang w:val="en-US"/>
        </w:rPr>
      </w:pPr>
      <w:bookmarkStart w:id="0" w:name="_GoBack"/>
      <w:bookmarkEnd w:id="0"/>
    </w:p>
    <w:p w14:paraId="5728E363" w14:textId="026D7267" w:rsidR="003E3CEB" w:rsidRDefault="003E3CEB" w:rsidP="003E3CEB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</w:t>
      </w:r>
      <w:r w:rsidR="00EA61D3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>/3/202</w:t>
      </w:r>
      <w:r w:rsidR="00EA61D3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>/</w:t>
      </w:r>
      <w:r w:rsidR="00EA61D3">
        <w:rPr>
          <w:rFonts w:ascii="Tahoma" w:hAnsi="Tahoma" w:cs="Tahoma"/>
          <w:b/>
          <w:lang w:val="en-US"/>
        </w:rPr>
        <w:t>08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</w:t>
      </w:r>
      <w:r w:rsidR="00EA61D3">
        <w:rPr>
          <w:rFonts w:ascii="Tahoma" w:hAnsi="Tahoma" w:cs="Tahoma"/>
          <w:b/>
          <w:lang w:val="en-US"/>
        </w:rPr>
        <w:t xml:space="preserve">  </w:t>
      </w:r>
      <w:r>
        <w:rPr>
          <w:rFonts w:ascii="Tahoma" w:hAnsi="Tahoma" w:cs="Tahoma"/>
          <w:b/>
          <w:lang w:val="en-US"/>
        </w:rPr>
        <w:t xml:space="preserve"> </w:t>
      </w:r>
      <w:r w:rsidR="00EA61D3">
        <w:rPr>
          <w:rFonts w:ascii="Tahoma" w:hAnsi="Tahoma" w:cs="Tahoma"/>
          <w:b/>
          <w:lang w:val="en-US"/>
        </w:rPr>
        <w:t>2</w:t>
      </w:r>
      <w:r w:rsidR="00DE63F6">
        <w:rPr>
          <w:rFonts w:ascii="Tahoma" w:hAnsi="Tahoma" w:cs="Tahoma"/>
          <w:b/>
          <w:lang w:val="en-US"/>
        </w:rPr>
        <w:t>2</w:t>
      </w:r>
      <w:r w:rsidR="00DE63F6" w:rsidRPr="00DE63F6">
        <w:rPr>
          <w:rFonts w:ascii="Tahoma" w:hAnsi="Tahoma" w:cs="Tahoma"/>
          <w:b/>
          <w:vertAlign w:val="superscript"/>
          <w:lang w:val="en-US"/>
        </w:rPr>
        <w:t>nd</w:t>
      </w:r>
      <w:r w:rsidR="00DE63F6">
        <w:rPr>
          <w:rFonts w:ascii="Tahoma" w:hAnsi="Tahoma" w:cs="Tahoma"/>
          <w:b/>
          <w:lang w:val="en-US"/>
        </w:rPr>
        <w:t xml:space="preserve"> </w:t>
      </w:r>
      <w:r w:rsidR="00527C2C">
        <w:rPr>
          <w:rFonts w:ascii="Tahoma" w:hAnsi="Tahoma" w:cs="Tahoma"/>
          <w:b/>
          <w:lang w:val="en-US"/>
        </w:rPr>
        <w:t>January</w:t>
      </w:r>
      <w:r>
        <w:rPr>
          <w:rFonts w:ascii="Tahoma" w:hAnsi="Tahoma" w:cs="Tahoma"/>
          <w:b/>
          <w:lang w:val="en-US"/>
        </w:rPr>
        <w:t>, 202</w:t>
      </w:r>
      <w:r w:rsidR="00527C2C">
        <w:rPr>
          <w:rFonts w:ascii="Tahoma" w:hAnsi="Tahoma" w:cs="Tahoma"/>
          <w:b/>
          <w:lang w:val="en-US"/>
        </w:rPr>
        <w:t>6</w:t>
      </w:r>
    </w:p>
    <w:p w14:paraId="56A839E9" w14:textId="77777777" w:rsidR="003E3CEB" w:rsidRDefault="003E3CEB" w:rsidP="003E3CEB">
      <w:pPr>
        <w:spacing w:after="0"/>
        <w:ind w:right="-28"/>
        <w:rPr>
          <w:rFonts w:ascii="Tahoma" w:hAnsi="Tahoma" w:cs="Tahoma"/>
          <w:lang w:val="en-US"/>
        </w:rPr>
      </w:pPr>
    </w:p>
    <w:p w14:paraId="0EC29489" w14:textId="77777777" w:rsidR="003E3CEB" w:rsidRPr="00527C2C" w:rsidRDefault="003E3CEB" w:rsidP="003E3CEB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14:paraId="59C90D08" w14:textId="77777777" w:rsidR="00B00A85" w:rsidRDefault="00B00A85" w:rsidP="00B00A85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14:paraId="1105CDC4" w14:textId="77777777" w:rsidR="00527C2C" w:rsidRDefault="00B00A85" w:rsidP="00B00A85">
      <w:pPr>
        <w:spacing w:after="0" w:line="240" w:lineRule="auto"/>
        <w:rPr>
          <w:rFonts w:ascii="Albertus MT Lt" w:hAnsi="Albertus MT Lt"/>
          <w:sz w:val="24"/>
          <w:szCs w:val="24"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</w:p>
    <w:p w14:paraId="26B39439" w14:textId="77777777" w:rsidR="00B00A85" w:rsidRDefault="003E3CEB" w:rsidP="00527C2C">
      <w:pPr>
        <w:spacing w:after="0"/>
        <w:jc w:val="right"/>
        <w:rPr>
          <w:rFonts w:ascii="Tahoma" w:hAnsi="Tahoma" w:cs="Tahoma"/>
          <w:b/>
        </w:rPr>
      </w:pP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Kind Attn: </w:t>
      </w:r>
      <w:r w:rsidR="00B00A85">
        <w:rPr>
          <w:rFonts w:ascii="Tahoma" w:hAnsi="Tahoma" w:cs="Tahoma"/>
          <w:b/>
        </w:rPr>
        <w:t xml:space="preserve">Shri K. </w:t>
      </w:r>
      <w:proofErr w:type="spellStart"/>
      <w:r w:rsidR="00B00A85">
        <w:rPr>
          <w:rFonts w:ascii="Tahoma" w:hAnsi="Tahoma" w:cs="Tahoma"/>
          <w:b/>
        </w:rPr>
        <w:t>Reguram</w:t>
      </w:r>
      <w:proofErr w:type="spellEnd"/>
    </w:p>
    <w:p w14:paraId="524A1524" w14:textId="09BBD36F" w:rsidR="003E3CEB" w:rsidRPr="000D3FF9" w:rsidRDefault="00B00A85" w:rsidP="00527C2C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  <w:r w:rsidRPr="000D3FF9">
        <w:rPr>
          <w:rFonts w:ascii="Tahoma" w:hAnsi="Tahoma" w:cs="Tahoma"/>
          <w:bCs/>
          <w:u w:val="single"/>
        </w:rPr>
        <w:t xml:space="preserve">Under </w:t>
      </w:r>
      <w:r w:rsidR="00DE63F6" w:rsidRPr="000D3FF9">
        <w:rPr>
          <w:rFonts w:ascii="Tahoma" w:hAnsi="Tahoma" w:cs="Tahoma"/>
          <w:bCs/>
          <w:u w:val="single"/>
        </w:rPr>
        <w:t>Secretary</w:t>
      </w:r>
      <w:r w:rsidR="00DE63F6">
        <w:rPr>
          <w:rFonts w:ascii="Tahoma" w:hAnsi="Tahoma" w:cs="Tahoma"/>
          <w:bCs/>
          <w:u w:val="single"/>
        </w:rPr>
        <w:t xml:space="preserve"> (</w:t>
      </w:r>
      <w:r w:rsidR="00161D22" w:rsidRPr="000D3FF9">
        <w:rPr>
          <w:rFonts w:ascii="Tahoma" w:hAnsi="Tahoma" w:cs="Tahoma"/>
          <w:bCs/>
          <w:u w:val="single"/>
        </w:rPr>
        <w:t>Exploration Division</w:t>
      </w:r>
      <w:r w:rsidR="000D3FF9">
        <w:rPr>
          <w:rFonts w:ascii="Tahoma" w:hAnsi="Tahoma" w:cs="Tahoma"/>
          <w:bCs/>
          <w:u w:val="single"/>
        </w:rPr>
        <w:t>)</w:t>
      </w:r>
      <w:r w:rsidR="00161D22" w:rsidRPr="000D3FF9">
        <w:rPr>
          <w:rFonts w:ascii="Tahoma" w:hAnsi="Tahoma" w:cs="Tahoma"/>
          <w:bCs/>
          <w:u w:val="single"/>
        </w:rPr>
        <w:t xml:space="preserve"> </w:t>
      </w:r>
      <w:r w:rsidRPr="000D3FF9">
        <w:rPr>
          <w:rFonts w:ascii="Tahoma" w:hAnsi="Tahoma" w:cs="Tahoma"/>
          <w:bCs/>
          <w:u w:val="single"/>
        </w:rPr>
        <w:t xml:space="preserve"> </w:t>
      </w:r>
      <w:r w:rsidR="00527C2C" w:rsidRPr="000D3FF9">
        <w:rPr>
          <w:rFonts w:ascii="Tahoma" w:hAnsi="Tahoma" w:cs="Tahoma"/>
          <w:bCs/>
          <w:u w:val="single"/>
        </w:rPr>
        <w:t xml:space="preserve"> </w:t>
      </w:r>
    </w:p>
    <w:p w14:paraId="7F19D606" w14:textId="77777777" w:rsidR="003E3CEB" w:rsidRDefault="003E3CEB" w:rsidP="00BA37C1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14:paraId="1D349D1E" w14:textId="77777777" w:rsidR="003E3CEB" w:rsidRDefault="003E3CEB" w:rsidP="00161D22">
      <w:pPr>
        <w:tabs>
          <w:tab w:val="left" w:pos="1440"/>
        </w:tabs>
        <w:spacing w:after="0" w:line="24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161D22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Provisionally Admitted </w:t>
      </w:r>
      <w:r w:rsidR="00161D22">
        <w:rPr>
          <w:rFonts w:ascii="Tahoma" w:hAnsi="Tahoma" w:cs="Tahoma"/>
          <w:lang w:val="en-US"/>
        </w:rPr>
        <w:t>Starred/</w:t>
      </w:r>
      <w:r w:rsidR="00527C2C">
        <w:rPr>
          <w:rFonts w:ascii="Tahoma" w:hAnsi="Tahoma" w:cs="Tahoma"/>
          <w:lang w:val="en-US"/>
        </w:rPr>
        <w:t>Uns</w:t>
      </w:r>
      <w:r>
        <w:rPr>
          <w:rFonts w:ascii="Tahoma" w:hAnsi="Tahoma" w:cs="Tahoma"/>
          <w:lang w:val="en-US"/>
        </w:rPr>
        <w:t xml:space="preserve">tarred Question Dy. No. </w:t>
      </w:r>
      <w:r w:rsidR="00161D22">
        <w:rPr>
          <w:rFonts w:ascii="Tahoma" w:hAnsi="Tahoma" w:cs="Tahoma"/>
          <w:b/>
          <w:bCs/>
        </w:rPr>
        <w:t>U831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161D22">
        <w:rPr>
          <w:rFonts w:ascii="Tahoma" w:hAnsi="Tahoma" w:cs="Tahoma"/>
          <w:lang w:val="en-US"/>
        </w:rPr>
        <w:t>02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161D22">
        <w:rPr>
          <w:rFonts w:ascii="Tahoma" w:hAnsi="Tahoma" w:cs="Tahoma"/>
          <w:lang w:val="en-US"/>
        </w:rPr>
        <w:t>2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14:paraId="067C41F9" w14:textId="77777777" w:rsidR="003E3CEB" w:rsidRDefault="003E3CEB" w:rsidP="00161D22">
      <w:pPr>
        <w:tabs>
          <w:tab w:val="left" w:pos="1440"/>
        </w:tabs>
        <w:spacing w:after="0" w:line="240" w:lineRule="auto"/>
        <w:ind w:left="1701" w:right="-572" w:hanging="1701"/>
        <w:rPr>
          <w:rFonts w:ascii="Tahoma" w:hAnsi="Tahoma" w:cs="Tahoma"/>
          <w:b/>
          <w:bCs/>
          <w:sz w:val="21"/>
          <w:szCs w:val="21"/>
          <w:lang w:val="en-US"/>
        </w:rPr>
      </w:pPr>
      <w:r>
        <w:rPr>
          <w:rFonts w:ascii="Tahoma" w:hAnsi="Tahoma" w:cs="Tahoma"/>
          <w:lang w:val="en-US"/>
        </w:rPr>
        <w:t xml:space="preserve">        Regarding </w:t>
      </w:r>
      <w:r w:rsidR="00EA61D3" w:rsidRPr="00EA61D3">
        <w:rPr>
          <w:rFonts w:ascii="Tahoma" w:hAnsi="Tahoma" w:cs="Tahoma"/>
          <w:b/>
          <w:bCs/>
          <w:lang w:val="en-US"/>
        </w:rPr>
        <w:t>“</w:t>
      </w:r>
      <w:r w:rsidR="00EA61D3" w:rsidRPr="00EA61D3">
        <w:rPr>
          <w:rFonts w:ascii="Tahoma" w:hAnsi="Tahoma" w:cs="Tahoma"/>
          <w:b/>
          <w:bCs/>
          <w:sz w:val="21"/>
          <w:szCs w:val="21"/>
          <w:lang w:val="en-US"/>
        </w:rPr>
        <w:t>Provisionally Admitted Question Diary No. U831”</w:t>
      </w:r>
    </w:p>
    <w:p w14:paraId="67FB982A" w14:textId="77777777" w:rsidR="00EA61D3" w:rsidRDefault="00EA61D3" w:rsidP="00161D22">
      <w:pPr>
        <w:tabs>
          <w:tab w:val="left" w:pos="1440"/>
        </w:tabs>
        <w:spacing w:after="0" w:line="240" w:lineRule="auto"/>
        <w:ind w:left="1701" w:right="-572" w:hanging="1701"/>
        <w:rPr>
          <w:rFonts w:ascii="Tahoma" w:hAnsi="Tahoma" w:cs="Tahoma"/>
          <w:b/>
        </w:rPr>
      </w:pPr>
    </w:p>
    <w:p w14:paraId="3A0971A1" w14:textId="77777777" w:rsidR="003E3CEB" w:rsidRDefault="003E3CEB" w:rsidP="00161D22">
      <w:pPr>
        <w:tabs>
          <w:tab w:val="left" w:pos="709"/>
          <w:tab w:val="center" w:pos="4817"/>
        </w:tabs>
        <w:spacing w:after="0" w:line="24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161D22">
        <w:rPr>
          <w:rFonts w:ascii="Tahoma" w:hAnsi="Tahoma" w:cs="Tahoma"/>
          <w:lang w:val="en-US"/>
        </w:rPr>
        <w:t>20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01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14:paraId="1758F652" w14:textId="77777777" w:rsidR="003E3CEB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4AEE708B" w14:textId="77777777"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14:paraId="38606CA6" w14:textId="77777777"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161D22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Question is as follows:</w:t>
      </w:r>
    </w:p>
    <w:p w14:paraId="6634E236" w14:textId="77777777" w:rsidR="00EA61D3" w:rsidRDefault="00EA61D3" w:rsidP="003E3CEB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91"/>
        <w:gridCol w:w="5359"/>
      </w:tblGrid>
      <w:tr w:rsidR="003E3CEB" w14:paraId="05334C8F" w14:textId="77777777" w:rsidTr="00EA61D3">
        <w:trPr>
          <w:trHeight w:val="2230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71D84" w14:textId="77777777" w:rsidR="003E3CEB" w:rsidRDefault="003E3CEB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 w:rsidR="003A1A84"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14:paraId="78941A01" w14:textId="77777777" w:rsidR="00527C2C" w:rsidRPr="00527C2C" w:rsidRDefault="003E3CEB" w:rsidP="00527C2C">
            <w:pPr>
              <w:pStyle w:val="Default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BA37C1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 w:rsidR="00BA37C1" w:rsidRPr="00BA37C1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a) </w:t>
            </w:r>
            <w:r w:rsidR="00161D22" w:rsidRPr="00161D22">
              <w:rPr>
                <w:rFonts w:ascii="Tahoma" w:hAnsi="Tahoma" w:cs="Tahoma"/>
                <w:i/>
                <w:iCs/>
                <w:sz w:val="22"/>
                <w:szCs w:val="22"/>
              </w:rPr>
              <w:t>Whether the government intends to boost stagnant domestic crude production through strategic partnerships between state-owned entities and global energy majors at aging oil fields?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69C63" w14:textId="77777777" w:rsidR="003E3CEB" w:rsidRDefault="003E3CEB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</w:t>
            </w:r>
            <w:r w:rsidR="00161D22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C9A5DE7" w14:textId="2BBFF3C4" w:rsidR="00CE21FD" w:rsidRDefault="00CE21FD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="00EA61D3">
              <w:rPr>
                <w:rFonts w:ascii="Tahoma" w:eastAsia="Times New Roman" w:hAnsi="Tahoma" w:cs="Tahoma"/>
                <w:kern w:val="2"/>
                <w14:ligatures w14:val="standardContextual"/>
              </w:rPr>
              <w:t>,</w:t>
            </w:r>
            <w:r w:rsidR="009A088B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presently OIL does not have any strategic partnership with global energy majors. However, OIL has hired services/signed MoUs with global energy majors for introduction of advanced/new technologies to increase production from ageing fields</w:t>
            </w:r>
            <w:r w:rsidR="0069301F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such as </w:t>
            </w:r>
            <w:proofErr w:type="spellStart"/>
            <w:r w:rsidR="0069301F">
              <w:rPr>
                <w:rFonts w:ascii="Tahoma" w:eastAsia="Times New Roman" w:hAnsi="Tahoma" w:cs="Tahoma"/>
                <w:kern w:val="2"/>
                <w14:ligatures w14:val="standardContextual"/>
              </w:rPr>
              <w:t>hydrofrac</w:t>
            </w:r>
            <w:proofErr w:type="spellEnd"/>
            <w:r w:rsidR="0069301F">
              <w:rPr>
                <w:rFonts w:ascii="Tahoma" w:eastAsia="Times New Roman" w:hAnsi="Tahoma" w:cs="Tahoma"/>
                <w:kern w:val="2"/>
                <w14:ligatures w14:val="standardContextual"/>
              </w:rPr>
              <w:t>, radial drilling, Plunger assisted gas lift, fishbone technology etc.</w:t>
            </w:r>
          </w:p>
          <w:p w14:paraId="59113BE3" w14:textId="77777777" w:rsidR="003E3CEB" w:rsidRDefault="003E3CEB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3CEB" w14:paraId="61C863B0" w14:textId="77777777" w:rsidTr="00EA61D3">
        <w:trPr>
          <w:trHeight w:val="1695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CBC4E" w14:textId="77777777" w:rsidR="00527C2C" w:rsidRPr="00BA37C1" w:rsidRDefault="003E3CEB" w:rsidP="00BA37C1">
            <w:pPr>
              <w:pStyle w:val="Default"/>
              <w:jc w:val="both"/>
              <w:rPr>
                <w:rFonts w:ascii="Tahoma" w:eastAsia="Times New Roman" w:hAnsi="Tahoma" w:cs="Tahoma"/>
                <w:i/>
                <w:iCs/>
                <w:sz w:val="22"/>
                <w:szCs w:val="22"/>
              </w:rPr>
            </w:pPr>
            <w:r w:rsidRPr="00BA37C1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 w:rsidR="00BA37C1" w:rsidRPr="00BA37C1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b) </w:t>
            </w:r>
            <w:r w:rsidR="00485BD8" w:rsidRPr="00485BD8">
              <w:rPr>
                <w:rFonts w:ascii="Tahoma" w:hAnsi="Tahoma" w:cs="Tahoma"/>
                <w:i/>
                <w:iCs/>
                <w:sz w:val="22"/>
                <w:szCs w:val="22"/>
              </w:rPr>
              <w:t>If so, the details of the government regulatory framework established under the Petroleum and Natural Gas Rules 2025 to facilitate easier licensing and attract new exploration investment? and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0B236" w14:textId="77777777" w:rsidR="003E3CEB" w:rsidRDefault="003E3CEB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</w:t>
            </w:r>
            <w:r w:rsidR="00161D22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5DC978D" w14:textId="77777777" w:rsidR="009A088B" w:rsidRPr="009A088B" w:rsidRDefault="003E3CEB" w:rsidP="009A088B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9A088B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  <w:r w:rsidR="009A088B" w:rsidRPr="009A088B">
              <w:rPr>
                <w:rFonts w:ascii="Tahoma" w:eastAsia="Times New Roman" w:hAnsi="Tahoma" w:cs="Tahoma"/>
                <w:kern w:val="2"/>
                <w14:ligatures w14:val="standardContextual"/>
              </w:rPr>
              <w:t>The Petroleum and Natural Gas Rules, 2025 replace the earlier Petroleum Concession Rules, 1949 and P&amp;NG Rules, 1959 to create a simplified, transparent and investor-friendly regulatory regime for petroleum leasing and operations.</w:t>
            </w:r>
          </w:p>
          <w:p w14:paraId="0AAEE427" w14:textId="77777777" w:rsidR="009A088B" w:rsidRPr="009A088B" w:rsidRDefault="009A088B" w:rsidP="009A088B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9A088B">
              <w:rPr>
                <w:rFonts w:ascii="Tahoma" w:eastAsia="Times New Roman" w:hAnsi="Tahoma" w:cs="Tahoma"/>
                <w:kern w:val="2"/>
                <w14:ligatures w14:val="standardContextual"/>
              </w:rPr>
              <w:t>The Rules provide time-bound processing of applications for petroleum leases and special petroleum leases, thereby improving ease of doing business and certainty for investors.</w:t>
            </w:r>
          </w:p>
          <w:p w14:paraId="72735D2B" w14:textId="77777777" w:rsidR="009A088B" w:rsidRPr="009A088B" w:rsidRDefault="009A088B" w:rsidP="009A088B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9A088B">
              <w:rPr>
                <w:rFonts w:ascii="Tahoma" w:eastAsia="Times New Roman" w:hAnsi="Tahoma" w:cs="Tahoma"/>
                <w:kern w:val="2"/>
                <w14:ligatures w14:val="standardContextual"/>
              </w:rPr>
              <w:t>Clear provisions have been laid down for lease tenure, extension, partial relinquishment and transition of existing mining leases into petroleum leases, enabling portfolio flexibility and faster recycling of acreages.</w:t>
            </w:r>
          </w:p>
          <w:p w14:paraId="4ECA32E1" w14:textId="77777777" w:rsidR="009A088B" w:rsidRPr="009A088B" w:rsidRDefault="009A088B" w:rsidP="009A088B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9A088B">
              <w:rPr>
                <w:rFonts w:ascii="Tahoma" w:eastAsia="Times New Roman" w:hAnsi="Tahoma" w:cs="Tahoma"/>
                <w:kern w:val="2"/>
                <w14:ligatures w14:val="standardContextual"/>
              </w:rPr>
              <w:t>The Rules strengthen data management by mandating data submission while protecting proprietary data and allowing controlled data sharing for promotion of acreages and investment facilitation.</w:t>
            </w:r>
          </w:p>
          <w:p w14:paraId="3E0ED01C" w14:textId="77777777" w:rsidR="009A088B" w:rsidRPr="009A088B" w:rsidRDefault="009A088B" w:rsidP="009A088B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9A088B">
              <w:rPr>
                <w:rFonts w:ascii="Tahoma" w:eastAsia="Times New Roman" w:hAnsi="Tahoma" w:cs="Tahoma"/>
                <w:kern w:val="2"/>
                <w14:ligatures w14:val="standardContextual"/>
              </w:rPr>
              <w:lastRenderedPageBreak/>
              <w:t>Infrastructure sharing provisions enable optimal utilisation of excess capacity and reduce entry barriers and capital costs for new investors.</w:t>
            </w:r>
          </w:p>
          <w:p w14:paraId="59528B00" w14:textId="77777777" w:rsidR="009A088B" w:rsidRPr="009A088B" w:rsidRDefault="009A088B" w:rsidP="009A088B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9A088B">
              <w:rPr>
                <w:rFonts w:ascii="Tahoma" w:eastAsia="Times New Roman" w:hAnsi="Tahoma" w:cs="Tahoma"/>
                <w:kern w:val="2"/>
                <w14:ligatures w14:val="standardContextual"/>
              </w:rPr>
              <w:t>A structured dispute resolution mechanism, including arbitration, enhances contract certainty and investor confidence.</w:t>
            </w:r>
          </w:p>
          <w:p w14:paraId="42E18C19" w14:textId="75703936" w:rsidR="003E3CEB" w:rsidRPr="009A088B" w:rsidRDefault="009A088B" w:rsidP="009A088B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9A088B">
              <w:rPr>
                <w:rFonts w:ascii="Tahoma" w:eastAsia="Times New Roman" w:hAnsi="Tahoma" w:cs="Tahoma"/>
                <w:kern w:val="2"/>
                <w14:ligatures w14:val="standardContextual"/>
              </w:rPr>
              <w:t>Integrated provisions on environmental protection, greenhouse gas monitoring, site restoration and comprehensive energy projects support sustainable development and alignment with energy transition goals while maintaining regulatory clarity.</w:t>
            </w:r>
          </w:p>
        </w:tc>
      </w:tr>
      <w:tr w:rsidR="003E3CEB" w14:paraId="72556701" w14:textId="77777777" w:rsidTr="00311C60">
        <w:trPr>
          <w:trHeight w:val="1230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53126" w14:textId="77777777" w:rsidR="00485BD8" w:rsidRDefault="003E3CEB" w:rsidP="00485BD8">
            <w:pPr>
              <w:pStyle w:val="xmsonormal"/>
              <w:jc w:val="both"/>
              <w:rPr>
                <w:lang w:val="en-IN"/>
              </w:rPr>
            </w:pPr>
            <w:r w:rsidRPr="00BA37C1">
              <w:rPr>
                <w:rFonts w:ascii="Tahoma" w:hAnsi="Tahoma" w:cs="Tahoma"/>
                <w:i/>
                <w:iCs/>
                <w:sz w:val="22"/>
                <w:szCs w:val="22"/>
              </w:rPr>
              <w:lastRenderedPageBreak/>
              <w:t>Q.(c</w:t>
            </w:r>
            <w:r w:rsidR="00BA37C1" w:rsidRPr="00BA37C1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) </w:t>
            </w:r>
            <w:r w:rsidR="00485BD8" w:rsidRPr="00485BD8">
              <w:rPr>
                <w:rFonts w:ascii="Tahoma" w:hAnsi="Tahoma" w:cs="Tahoma"/>
                <w:i/>
                <w:iCs/>
                <w:sz w:val="22"/>
                <w:szCs w:val="22"/>
                <w:lang w:val="en-IN"/>
              </w:rPr>
              <w:t>The impact of government infrastructure expansion regarding pipelines and city gas distribution networks on the overall consumption of natural gas as a cleaner fuel alternative?</w:t>
            </w:r>
          </w:p>
          <w:p w14:paraId="5F5B7351" w14:textId="77777777" w:rsidR="003E3CEB" w:rsidRPr="00BA37C1" w:rsidRDefault="003E3CEB" w:rsidP="00BA37C1">
            <w:pPr>
              <w:pStyle w:val="Default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3D593" w14:textId="77777777" w:rsidR="003E3CEB" w:rsidRDefault="003E3CEB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</w:t>
            </w:r>
            <w:r w:rsidR="00161D22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08AF0E9" w14:textId="77777777" w:rsidR="009A088B" w:rsidRPr="009A088B" w:rsidRDefault="003E3CEB" w:rsidP="009A088B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  <w:r w:rsidR="009A088B" w:rsidRPr="009A088B">
              <w:rPr>
                <w:rFonts w:ascii="Tahoma" w:eastAsia="Times New Roman" w:hAnsi="Tahoma" w:cs="Tahoma"/>
                <w:kern w:val="2"/>
                <w14:ligatures w14:val="standardContextual"/>
              </w:rPr>
              <w:t>it has a presence in select Geographical Areas (GAs) across the states of Haryana, Maharashtra, Nagaland, Assam, Tripura, and Arunachal Pradesh through JVCs.</w:t>
            </w:r>
          </w:p>
          <w:p w14:paraId="4D4913BA" w14:textId="77777777" w:rsidR="009A088B" w:rsidRPr="009A088B" w:rsidRDefault="009A088B" w:rsidP="009A088B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9A088B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OIL is also part of key gas pipeline grid through JVC- IGGL which is laying the North-East Gas Grid (NEGG). </w:t>
            </w:r>
            <w:proofErr w:type="spellStart"/>
            <w:r w:rsidRPr="009A088B">
              <w:rPr>
                <w:rFonts w:ascii="Tahoma" w:eastAsia="Times New Roman" w:hAnsi="Tahoma" w:cs="Tahoma"/>
                <w:kern w:val="2"/>
                <w14:ligatures w14:val="standardContextual"/>
              </w:rPr>
              <w:t>Ghy-Numaligarh</w:t>
            </w:r>
            <w:proofErr w:type="spellEnd"/>
            <w:r w:rsidRPr="009A088B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section of the pipeline has been recently commissioned. Once completed the NEGG would serve to provide gas to new CGD entities in the NE states.</w:t>
            </w:r>
          </w:p>
          <w:p w14:paraId="0786B4CB" w14:textId="77777777" w:rsidR="009A088B" w:rsidRPr="009A088B" w:rsidRDefault="009A088B" w:rsidP="009A088B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9A088B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Under work programs of OIL’s CGD joint ventures, more than 1.4 million PNG connections, 500 CNG stations, and 8,677 inch-kilometres of pipeline have been planned across various networks. Of this, 70,736 PNG connections, 77 CNG stations, and over 4,980 inch-kilometres of pipeline have already been developed, with further expansion planned. </w:t>
            </w:r>
          </w:p>
          <w:p w14:paraId="5B053880" w14:textId="55D28AA4" w:rsidR="003E3CEB" w:rsidRDefault="003E3CEB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515D8FC4" w14:textId="77777777" w:rsidR="00EA61D3" w:rsidRPr="00D44C53" w:rsidRDefault="00EA61D3" w:rsidP="00EA61D3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14:paraId="0D613C88" w14:textId="77777777" w:rsidR="00EA61D3" w:rsidRPr="00D44C53" w:rsidRDefault="00EA61D3" w:rsidP="00EA61D3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14:paraId="665BD737" w14:textId="77777777" w:rsidR="00EA61D3" w:rsidRPr="00D44C53" w:rsidRDefault="00EA61D3" w:rsidP="00EA61D3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6C5C4074" w14:textId="77777777" w:rsidR="00EA61D3" w:rsidRPr="00D44C53" w:rsidRDefault="00EA61D3" w:rsidP="00EA61D3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2A219C6D" w14:textId="77777777" w:rsidR="00EA61D3" w:rsidRPr="00D44C53" w:rsidRDefault="00EA61D3" w:rsidP="00EA61D3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667AC5DB" w14:textId="77777777" w:rsidR="00EA61D3" w:rsidRPr="00D44C53" w:rsidRDefault="00EA61D3" w:rsidP="00EA61D3">
      <w:pPr>
        <w:spacing w:after="0" w:line="240" w:lineRule="auto"/>
        <w:ind w:right="-482"/>
        <w:jc w:val="right"/>
        <w:rPr>
          <w:rFonts w:ascii="Tahoma" w:hAnsi="Tahoma" w:cs="Tahoma"/>
          <w:b/>
          <w:color w:val="000000" w:themeColor="text1"/>
          <w:lang w:val="en-US"/>
        </w:rPr>
      </w:pPr>
    </w:p>
    <w:p w14:paraId="6C6F7D08" w14:textId="77777777" w:rsidR="00DE63F6" w:rsidRDefault="00DE63F6" w:rsidP="00DE63F6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2A52C0">
        <w:rPr>
          <w:rFonts w:ascii="Tahoma" w:hAnsi="Tahoma" w:cs="Tahoma"/>
          <w:b/>
          <w:lang w:val="en-US"/>
        </w:rPr>
        <w:t>(</w:t>
      </w:r>
      <w:proofErr w:type="spellStart"/>
      <w:r>
        <w:rPr>
          <w:rFonts w:ascii="Tahoma" w:hAnsi="Tahoma" w:cs="Tahoma"/>
          <w:b/>
          <w:lang w:val="en-US"/>
        </w:rPr>
        <w:t>Ashim</w:t>
      </w:r>
      <w:proofErr w:type="spellEnd"/>
      <w:r>
        <w:rPr>
          <w:rFonts w:ascii="Tahoma" w:hAnsi="Tahoma" w:cs="Tahoma"/>
          <w:b/>
          <w:lang w:val="en-US"/>
        </w:rPr>
        <w:t xml:space="preserve"> Kumar </w:t>
      </w:r>
      <w:proofErr w:type="spellStart"/>
      <w:r>
        <w:rPr>
          <w:rFonts w:ascii="Tahoma" w:hAnsi="Tahoma" w:cs="Tahoma"/>
          <w:b/>
          <w:lang w:val="en-US"/>
        </w:rPr>
        <w:t>Bharali</w:t>
      </w:r>
      <w:proofErr w:type="spellEnd"/>
      <w:r w:rsidRPr="002A52C0">
        <w:rPr>
          <w:rFonts w:ascii="Tahoma" w:hAnsi="Tahoma" w:cs="Tahoma"/>
          <w:b/>
          <w:lang w:val="en-US"/>
        </w:rPr>
        <w:t>)</w:t>
      </w:r>
    </w:p>
    <w:p w14:paraId="0C1C919F" w14:textId="77777777" w:rsidR="00DE63F6" w:rsidRPr="002A52C0" w:rsidRDefault="00DE63F6" w:rsidP="00DE63F6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2A52C0">
        <w:rPr>
          <w:rFonts w:ascii="Tahoma" w:hAnsi="Tahoma" w:cs="Tahoma"/>
          <w:lang w:val="en-US"/>
        </w:rPr>
        <w:t>General Manager (Planning)</w:t>
      </w:r>
    </w:p>
    <w:p w14:paraId="3F0B4206" w14:textId="77777777" w:rsidR="00DE63F6" w:rsidRPr="002A52C0" w:rsidRDefault="00DE63F6" w:rsidP="00DE63F6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For </w:t>
      </w:r>
      <w:r w:rsidRPr="002A52C0">
        <w:rPr>
          <w:rFonts w:ascii="Tahoma" w:hAnsi="Tahoma" w:cs="Tahoma"/>
          <w:lang w:val="en-US"/>
        </w:rPr>
        <w:t>Chief General Manager (Planning)</w:t>
      </w:r>
    </w:p>
    <w:p w14:paraId="2DF0C20A" w14:textId="77777777" w:rsidR="00DE63F6" w:rsidRDefault="00DE63F6" w:rsidP="00DE63F6">
      <w:pPr>
        <w:spacing w:after="0" w:line="240" w:lineRule="auto"/>
        <w:ind w:right="-482"/>
        <w:jc w:val="right"/>
      </w:pPr>
      <w:r w:rsidRPr="002A52C0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3978CA64" w14:textId="6D262BE9" w:rsidR="00CE21FD" w:rsidRDefault="00CE21FD" w:rsidP="00DE63F6">
      <w:pPr>
        <w:spacing w:after="0" w:line="240" w:lineRule="auto"/>
        <w:ind w:right="-482"/>
        <w:jc w:val="right"/>
      </w:pPr>
    </w:p>
    <w:sectPr w:rsidR="00CE21FD" w:rsidSect="00BA37C1"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bertus MT L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327AB5"/>
    <w:multiLevelType w:val="hybridMultilevel"/>
    <w:tmpl w:val="B0E8232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D3FF9"/>
    <w:rsid w:val="00161D22"/>
    <w:rsid w:val="0026533A"/>
    <w:rsid w:val="00311C60"/>
    <w:rsid w:val="003A1A84"/>
    <w:rsid w:val="003E3CEB"/>
    <w:rsid w:val="00434E16"/>
    <w:rsid w:val="00485BD8"/>
    <w:rsid w:val="004A05A9"/>
    <w:rsid w:val="00527C2C"/>
    <w:rsid w:val="00570BE7"/>
    <w:rsid w:val="005F650F"/>
    <w:rsid w:val="0069301F"/>
    <w:rsid w:val="009A088B"/>
    <w:rsid w:val="00A33DA8"/>
    <w:rsid w:val="00A61609"/>
    <w:rsid w:val="00B00A85"/>
    <w:rsid w:val="00BA37C1"/>
    <w:rsid w:val="00CE21FD"/>
    <w:rsid w:val="00D0096A"/>
    <w:rsid w:val="00DE63F6"/>
    <w:rsid w:val="00EA6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933BD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xmsonormal">
    <w:name w:val="x_msonormal"/>
    <w:basedOn w:val="Normal"/>
    <w:rsid w:val="00161D22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27108ac344d5bb0b021807c750e87f4f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83f73f26a860097a6dffed0e552786f5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28A553-A56A-4ED5-826E-4EBB145A7E32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2.xml><?xml version="1.0" encoding="utf-8"?>
<ds:datastoreItem xmlns:ds="http://schemas.openxmlformats.org/officeDocument/2006/customXml" ds:itemID="{6907D492-C139-4E54-BCFA-2782361B33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D5DF27-F08B-4E7B-83B5-EE082CD715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2026-01-22T11:18:00Z</cp:lastPrinted>
  <dcterms:created xsi:type="dcterms:W3CDTF">2026-01-22T11:27:00Z</dcterms:created>
  <dcterms:modified xsi:type="dcterms:W3CDTF">2026-01-22T11:27:00Z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