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975387">
      <w:pPr>
        <w:spacing w:after="0"/>
        <w:ind w:right="-392"/>
        <w:jc w:val="center"/>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4E7AEE">
        <w:rPr>
          <w:rFonts w:ascii="Tahoma" w:hAnsi="Tahoma" w:cs="Tahoma"/>
          <w:b/>
          <w:lang w:val="en-US"/>
        </w:rPr>
        <w:t>21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0125E3">
        <w:rPr>
          <w:rFonts w:ascii="Tahoma" w:hAnsi="Tahoma" w:cs="Tahoma"/>
          <w:b/>
          <w:lang w:val="en-US"/>
        </w:rPr>
        <w:t>2</w:t>
      </w:r>
      <w:r w:rsidR="000125E3" w:rsidRPr="000125E3">
        <w:rPr>
          <w:rFonts w:ascii="Tahoma" w:hAnsi="Tahoma" w:cs="Tahoma"/>
          <w:b/>
          <w:vertAlign w:val="superscript"/>
          <w:lang w:val="en-US"/>
        </w:rPr>
        <w:t>nd</w:t>
      </w:r>
      <w:r w:rsidR="000125E3">
        <w:rPr>
          <w:rFonts w:ascii="Tahoma" w:hAnsi="Tahoma" w:cs="Tahoma"/>
          <w:b/>
          <w:lang w:val="en-US"/>
        </w:rPr>
        <w:t xml:space="preserve"> February</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98028D" w:rsidRDefault="00B00A85" w:rsidP="00D11C70">
      <w:pPr>
        <w:spacing w:after="0"/>
        <w:ind w:right="-421"/>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F62715">
        <w:rPr>
          <w:rFonts w:ascii="Tahoma" w:hAnsi="Tahoma" w:cs="Tahoma"/>
          <w:b/>
          <w:lang w:val="en-US"/>
        </w:rPr>
        <w:t xml:space="preserve">      </w:t>
      </w:r>
      <w:r w:rsidR="0098028D">
        <w:rPr>
          <w:rFonts w:ascii="Tahoma" w:hAnsi="Tahoma" w:cs="Tahoma"/>
          <w:b/>
          <w:lang w:val="en-US"/>
        </w:rPr>
        <w:t xml:space="preserve">Kind Attn: </w:t>
      </w:r>
      <w:r w:rsidR="00030179" w:rsidRPr="00F62715">
        <w:rPr>
          <w:rFonts w:ascii="Tahoma" w:hAnsi="Tahoma" w:cs="Tahoma"/>
          <w:bCs/>
          <w:u w:val="single"/>
        </w:rPr>
        <w:t>Section Officer</w:t>
      </w:r>
      <w:r w:rsidR="00F62715">
        <w:rPr>
          <w:rFonts w:ascii="Tahoma" w:hAnsi="Tahoma" w:cs="Tahoma"/>
          <w:bCs/>
          <w:u w:val="single"/>
        </w:rPr>
        <w:t xml:space="preserve"> </w:t>
      </w:r>
      <w:r w:rsidR="00F62715" w:rsidRPr="00F62715">
        <w:rPr>
          <w:rFonts w:ascii="Tahoma" w:hAnsi="Tahoma" w:cs="Tahoma"/>
          <w:bCs/>
          <w:u w:val="single"/>
        </w:rPr>
        <w:t>(GP Division)</w:t>
      </w:r>
      <w:r w:rsidR="00F62715" w:rsidRPr="00B30758">
        <w:rPr>
          <w:rFonts w:ascii="Tahoma" w:hAnsi="Tahoma" w:cs="Tahoma"/>
          <w:bCs/>
          <w:u w:val="single"/>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4E7AEE" w:rsidRPr="004E7AEE">
        <w:rPr>
          <w:rFonts w:ascii="Tahoma" w:hAnsi="Tahoma" w:cs="Tahoma"/>
          <w:b/>
          <w:bCs/>
          <w:lang w:val="en-US"/>
        </w:rPr>
        <w:t>S</w:t>
      </w:r>
      <w:r w:rsidR="004E7AEE">
        <w:rPr>
          <w:rFonts w:ascii="Tahoma" w:hAnsi="Tahoma" w:cs="Tahoma"/>
          <w:b/>
          <w:bCs/>
        </w:rPr>
        <w:t>1455</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4E7AEE">
        <w:rPr>
          <w:rFonts w:ascii="Tahoma" w:hAnsi="Tahoma" w:cs="Tahoma"/>
          <w:lang w:val="en-US"/>
        </w:rPr>
        <w:t>9</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4E7AEE" w:rsidRPr="004E7AEE">
        <w:rPr>
          <w:rFonts w:ascii="Tahoma" w:eastAsia="Times New Roman" w:hAnsi="Tahoma" w:cs="Tahoma"/>
          <w:b/>
          <w:bCs/>
          <w:lang w:val="en-US" w:bidi="hi-IN"/>
        </w:rPr>
        <w:t xml:space="preserve">Expansion of Compressed Biogas Hubs under SATAT for Rural Energy </w:t>
      </w:r>
      <w:r w:rsidR="00C40F0B">
        <w:rPr>
          <w:rFonts w:ascii="Tahoma" w:eastAsia="Times New Roman" w:hAnsi="Tahoma" w:cs="Tahoma"/>
          <w:b/>
          <w:bCs/>
          <w:lang w:val="en-US" w:bidi="hi-IN"/>
        </w:rPr>
        <w:t xml:space="preserve">  </w:t>
      </w:r>
      <w:r w:rsidR="004E7AEE" w:rsidRPr="004E7AEE">
        <w:rPr>
          <w:rFonts w:ascii="Tahoma" w:eastAsia="Times New Roman" w:hAnsi="Tahoma" w:cs="Tahoma"/>
          <w:b/>
          <w:bCs/>
          <w:lang w:val="en-US" w:bidi="hi-IN"/>
        </w:rPr>
        <w:t>Sustainability and Waste Management</w:t>
      </w:r>
      <w:r w:rsidRPr="004E7AEE">
        <w:rPr>
          <w:rFonts w:ascii="Tahoma" w:hAnsi="Tahoma" w:cs="Tahoma"/>
          <w:b/>
          <w:bCs/>
        </w:rPr>
        <w:t>”</w:t>
      </w:r>
    </w:p>
    <w:p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4E7AEE">
        <w:rPr>
          <w:rFonts w:ascii="Tahoma" w:hAnsi="Tahoma" w:cs="Tahoma"/>
          <w:lang w:val="en-US"/>
        </w:rPr>
        <w:t>7</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87061C" w:rsidRPr="004E7AEE" w:rsidRDefault="0087061C" w:rsidP="003E3CEB">
      <w:pPr>
        <w:spacing w:after="0"/>
        <w:ind w:right="-613"/>
        <w:rPr>
          <w:rFonts w:ascii="Tahoma" w:hAnsi="Tahoma" w:cs="Tahoma"/>
          <w:sz w:val="6"/>
          <w:szCs w:val="6"/>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p w:rsidR="00D11C70" w:rsidRDefault="00D11C70"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4815"/>
        <w:gridCol w:w="4935"/>
      </w:tblGrid>
      <w:tr w:rsidR="003E3CEB" w:rsidTr="00DA343A">
        <w:trPr>
          <w:trHeight w:val="2465"/>
        </w:trPr>
        <w:tc>
          <w:tcPr>
            <w:tcW w:w="4815" w:type="dxa"/>
            <w:tcBorders>
              <w:top w:val="single" w:sz="4" w:space="0" w:color="auto"/>
              <w:left w:val="single" w:sz="4" w:space="0" w:color="auto"/>
              <w:bottom w:val="single" w:sz="4" w:space="0" w:color="auto"/>
              <w:right w:val="single" w:sz="4" w:space="0" w:color="auto"/>
            </w:tcBorders>
          </w:tcPr>
          <w:p w:rsidR="00E54322" w:rsidRPr="004E7AEE" w:rsidRDefault="003E3CEB"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4E7AEE">
              <w:rPr>
                <w:rFonts w:ascii="Tahoma" w:eastAsia="Times New Roman" w:hAnsi="Tahoma" w:cs="Tahoma"/>
                <w:i/>
                <w:iCs/>
                <w:lang w:val="en-US" w:bidi="hi-IN"/>
              </w:rPr>
              <w:t>T</w:t>
            </w:r>
            <w:r w:rsidR="004E7AEE" w:rsidRPr="004E7AEE">
              <w:rPr>
                <w:rFonts w:ascii="Tahoma" w:eastAsia="Times New Roman" w:hAnsi="Tahoma" w:cs="Tahoma"/>
                <w:i/>
                <w:iCs/>
                <w:lang w:val="en-US" w:bidi="hi-IN"/>
              </w:rPr>
              <w:t>he approach taken nationally to establish Compressed Biogas (CBG) hubs under the Sustainable Alternative Towards Affordable Transportation (SATAT) initiative, including the number of operational plants, the nature of partnerships with rural entrepreneurs, and the impact on waste-to-energy conversion, clean fuel supply chains, and rural incomes;</w:t>
            </w:r>
          </w:p>
        </w:tc>
        <w:tc>
          <w:tcPr>
            <w:tcW w:w="4935"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D11C70" w:rsidP="00B30758">
            <w:pPr>
              <w:spacing w:after="0" w:line="240" w:lineRule="auto"/>
              <w:jc w:val="both"/>
              <w:rPr>
                <w:rFonts w:ascii="Tahoma" w:eastAsia="Times New Roman" w:hAnsi="Tahoma" w:cs="Tahoma"/>
                <w:b/>
                <w:bCs/>
                <w:kern w:val="2"/>
                <w14:ligatures w14:val="standardContextual"/>
              </w:rPr>
            </w:pPr>
            <w:r w:rsidRPr="00D11C70">
              <w:rPr>
                <w:rFonts w:ascii="Tahoma" w:eastAsia="Times New Roman" w:hAnsi="Tahoma" w:cs="Tahoma"/>
                <w:kern w:val="2"/>
                <w14:ligatures w14:val="standardContextual"/>
              </w:rPr>
              <w:t>As far as Oil India Limited is concerned, there are no operational Compressed Bio Gas (CBG) Plants, however OIL’s CBG plants at Tinsukia (Assam) and Bhubaneswar (Odisha) are under construction.</w:t>
            </w:r>
            <w:r w:rsidR="003E3CEB">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DA343A">
        <w:trPr>
          <w:trHeight w:val="863"/>
        </w:trPr>
        <w:tc>
          <w:tcPr>
            <w:tcW w:w="4815" w:type="dxa"/>
            <w:tcBorders>
              <w:top w:val="single" w:sz="4" w:space="0" w:color="auto"/>
              <w:left w:val="single" w:sz="4" w:space="0" w:color="auto"/>
              <w:bottom w:val="single" w:sz="4" w:space="0" w:color="auto"/>
              <w:right w:val="single" w:sz="4" w:space="0" w:color="auto"/>
            </w:tcBorders>
          </w:tcPr>
          <w:p w:rsidR="00527C2C"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4E7AEE">
              <w:rPr>
                <w:rFonts w:ascii="Tahoma" w:hAnsi="Tahoma" w:cs="Tahoma"/>
                <w:i/>
                <w:iCs/>
                <w:sz w:val="22"/>
                <w:szCs w:val="22"/>
              </w:rPr>
              <w:t>W</w:t>
            </w:r>
            <w:r w:rsidR="004E7AEE" w:rsidRPr="004E7AEE">
              <w:rPr>
                <w:rFonts w:ascii="Tahoma" w:hAnsi="Tahoma" w:cs="Tahoma"/>
                <w:i/>
                <w:iCs/>
                <w:sz w:val="22"/>
                <w:szCs w:val="22"/>
              </w:rPr>
              <w:t>hether Uttar Pradesh has developed CBG clusters connected to agricultural markets or rural industries, and if so, the details thereof, such as the number and location of commissioned plants, types of feedstock used, and the observed effects on local waste management, energy access, and farmer income generation;</w:t>
            </w:r>
          </w:p>
          <w:p w:rsidR="00D11C70" w:rsidRPr="000D7067" w:rsidRDefault="00D11C70" w:rsidP="00030179">
            <w:pPr>
              <w:pStyle w:val="NormalWeb"/>
              <w:jc w:val="both"/>
              <w:rPr>
                <w:i/>
                <w:iCs/>
              </w:rPr>
            </w:pPr>
          </w:p>
        </w:tc>
        <w:tc>
          <w:tcPr>
            <w:tcW w:w="4935"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3E3CEB" w:rsidRDefault="003E3CEB" w:rsidP="00B30758">
            <w:pPr>
              <w:spacing w:after="0" w:line="240" w:lineRule="auto"/>
              <w:jc w:val="both"/>
              <w:rPr>
                <w:rFonts w:ascii="Tahoma" w:hAnsi="Tahoma" w:cs="Tahoma"/>
                <w:lang w:val="en-US"/>
              </w:rPr>
            </w:pPr>
          </w:p>
        </w:tc>
      </w:tr>
      <w:tr w:rsidR="00786AE2" w:rsidTr="00DA343A">
        <w:trPr>
          <w:trHeight w:val="881"/>
        </w:trPr>
        <w:tc>
          <w:tcPr>
            <w:tcW w:w="4815" w:type="dxa"/>
            <w:tcBorders>
              <w:top w:val="single" w:sz="4" w:space="0" w:color="auto"/>
              <w:left w:val="single" w:sz="4" w:space="0" w:color="auto"/>
              <w:bottom w:val="single" w:sz="4" w:space="0" w:color="auto"/>
              <w:right w:val="single" w:sz="4" w:space="0" w:color="auto"/>
            </w:tcBorders>
          </w:tcPr>
          <w:p w:rsidR="00786AE2" w:rsidRPr="008113A4"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4E7AEE" w:rsidRPr="004E7AEE">
              <w:rPr>
                <w:rFonts w:ascii="Tahoma" w:hAnsi="Tahoma" w:cs="Tahoma"/>
                <w:i/>
                <w:iCs/>
                <w:sz w:val="22"/>
                <w:szCs w:val="22"/>
              </w:rPr>
              <w:t xml:space="preserve">The steps implemented in </w:t>
            </w:r>
            <w:proofErr w:type="spellStart"/>
            <w:r w:rsidR="004E7AEE" w:rsidRPr="004E7AEE">
              <w:rPr>
                <w:rFonts w:ascii="Tahoma" w:hAnsi="Tahoma" w:cs="Tahoma"/>
                <w:i/>
                <w:iCs/>
                <w:sz w:val="22"/>
                <w:szCs w:val="22"/>
              </w:rPr>
              <w:t>Etawah</w:t>
            </w:r>
            <w:proofErr w:type="spellEnd"/>
            <w:r w:rsidR="004E7AEE" w:rsidRPr="004E7AEE">
              <w:rPr>
                <w:rFonts w:ascii="Tahoma" w:hAnsi="Tahoma" w:cs="Tahoma"/>
                <w:i/>
                <w:iCs/>
                <w:sz w:val="22"/>
                <w:szCs w:val="22"/>
              </w:rPr>
              <w:t xml:space="preserve"> and </w:t>
            </w:r>
            <w:proofErr w:type="spellStart"/>
            <w:r w:rsidR="004E7AEE" w:rsidRPr="004E7AEE">
              <w:rPr>
                <w:rFonts w:ascii="Tahoma" w:hAnsi="Tahoma" w:cs="Tahoma"/>
                <w:i/>
                <w:iCs/>
                <w:sz w:val="22"/>
                <w:szCs w:val="22"/>
              </w:rPr>
              <w:t>Auraiya</w:t>
            </w:r>
            <w:proofErr w:type="spellEnd"/>
            <w:r w:rsidR="004E7AEE" w:rsidRPr="004E7AEE">
              <w:rPr>
                <w:rFonts w:ascii="Tahoma" w:hAnsi="Tahoma" w:cs="Tahoma"/>
                <w:i/>
                <w:iCs/>
                <w:sz w:val="22"/>
                <w:szCs w:val="22"/>
              </w:rPr>
              <w:t xml:space="preserve"> to promote CBG adoption.</w:t>
            </w:r>
          </w:p>
        </w:tc>
        <w:tc>
          <w:tcPr>
            <w:tcW w:w="4935"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bookmarkStart w:id="0" w:name="_GoBack"/>
            <w:bookmarkEnd w:id="0"/>
          </w:p>
        </w:tc>
      </w:tr>
    </w:tbl>
    <w:p w:rsidR="0098028D" w:rsidRPr="00C40F0B" w:rsidRDefault="0098028D" w:rsidP="0098028D">
      <w:pPr>
        <w:spacing w:after="0"/>
        <w:ind w:right="-482"/>
        <w:jc w:val="right"/>
        <w:rPr>
          <w:rFonts w:ascii="Tahoma" w:hAnsi="Tahoma" w:cs="Tahoma"/>
          <w:color w:val="000000" w:themeColor="text1"/>
          <w:sz w:val="14"/>
          <w:szCs w:val="14"/>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Default="0098028D" w:rsidP="0098028D">
      <w:pPr>
        <w:spacing w:after="0" w:line="240" w:lineRule="auto"/>
        <w:ind w:right="-482"/>
        <w:jc w:val="right"/>
        <w:rPr>
          <w:rFonts w:ascii="Tahoma" w:hAnsi="Tahoma" w:cs="Tahoma"/>
          <w:color w:val="000000" w:themeColor="text1"/>
          <w:lang w:val="en-US"/>
        </w:rPr>
      </w:pPr>
    </w:p>
    <w:p w:rsidR="00F62715" w:rsidRDefault="00F62715" w:rsidP="0098028D">
      <w:pPr>
        <w:spacing w:after="0" w:line="240" w:lineRule="auto"/>
        <w:ind w:right="-482"/>
        <w:jc w:val="right"/>
        <w:rPr>
          <w:rFonts w:ascii="Tahoma" w:hAnsi="Tahoma" w:cs="Tahoma"/>
          <w:color w:val="000000" w:themeColor="text1"/>
          <w:lang w:val="en-US"/>
        </w:rPr>
      </w:pPr>
    </w:p>
    <w:p w:rsidR="00D11C70" w:rsidRPr="00D44C53" w:rsidRDefault="00D11C70"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 xml:space="preserve">Kishore Kumar </w:t>
      </w:r>
      <w:proofErr w:type="spellStart"/>
      <w:r w:rsidR="00C40F0B" w:rsidRPr="00A61609">
        <w:rPr>
          <w:rFonts w:ascii="Tahoma" w:hAnsi="Tahoma" w:cs="Tahoma"/>
          <w:b/>
          <w:lang w:val="en-US"/>
        </w:rPr>
        <w:t>Baishya</w:t>
      </w:r>
      <w:proofErr w:type="spellEnd"/>
      <w:r w:rsidRPr="00D44C53">
        <w:rPr>
          <w:rFonts w:ascii="Tahoma" w:hAnsi="Tahoma" w:cs="Tahoma"/>
          <w:b/>
          <w:color w:val="000000" w:themeColor="text1"/>
          <w:lang w:val="en-US"/>
        </w:rPr>
        <w:t>)</w:t>
      </w:r>
    </w:p>
    <w:p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rsidR="00B30758" w:rsidRDefault="0098028D" w:rsidP="00F62715">
      <w:pPr>
        <w:spacing w:after="0"/>
        <w:ind w:right="-482"/>
        <w:jc w:val="right"/>
      </w:pPr>
      <w:r w:rsidRPr="00D44C53">
        <w:rPr>
          <w:rFonts w:ascii="Tahoma" w:hAnsi="Tahoma" w:cs="Tahoma"/>
          <w:b/>
          <w:color w:val="000000" w:themeColor="text1"/>
          <w:u w:val="single"/>
          <w:lang w:val="en-US"/>
        </w:rPr>
        <w:t>For Chairman &amp; Managing Director</w:t>
      </w: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78BD" w:rsidRDefault="001C78BD" w:rsidP="007D431F">
      <w:pPr>
        <w:spacing w:after="0" w:line="240" w:lineRule="auto"/>
      </w:pPr>
      <w:r>
        <w:separator/>
      </w:r>
    </w:p>
  </w:endnote>
  <w:endnote w:type="continuationSeparator" w:id="0">
    <w:p w:rsidR="001C78BD" w:rsidRDefault="001C78B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78BD" w:rsidRDefault="001C78BD" w:rsidP="007D431F">
      <w:pPr>
        <w:spacing w:after="0" w:line="240" w:lineRule="auto"/>
      </w:pPr>
      <w:r>
        <w:separator/>
      </w:r>
    </w:p>
  </w:footnote>
  <w:footnote w:type="continuationSeparator" w:id="0">
    <w:p w:rsidR="001C78BD" w:rsidRDefault="001C78B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5E3"/>
    <w:rsid w:val="00030179"/>
    <w:rsid w:val="000D7067"/>
    <w:rsid w:val="001C78BD"/>
    <w:rsid w:val="001E67B6"/>
    <w:rsid w:val="001F48AA"/>
    <w:rsid w:val="002000D1"/>
    <w:rsid w:val="00311C60"/>
    <w:rsid w:val="0033654B"/>
    <w:rsid w:val="00351734"/>
    <w:rsid w:val="003E3CEB"/>
    <w:rsid w:val="00434E16"/>
    <w:rsid w:val="004505F3"/>
    <w:rsid w:val="004824A0"/>
    <w:rsid w:val="004A05A9"/>
    <w:rsid w:val="004E7AEE"/>
    <w:rsid w:val="004F3FE8"/>
    <w:rsid w:val="00527C2C"/>
    <w:rsid w:val="00644279"/>
    <w:rsid w:val="006745EB"/>
    <w:rsid w:val="00752DB9"/>
    <w:rsid w:val="00775F52"/>
    <w:rsid w:val="00786AE2"/>
    <w:rsid w:val="007D431F"/>
    <w:rsid w:val="008113A4"/>
    <w:rsid w:val="0087061C"/>
    <w:rsid w:val="008E46F8"/>
    <w:rsid w:val="00975387"/>
    <w:rsid w:val="0098028D"/>
    <w:rsid w:val="009E497F"/>
    <w:rsid w:val="00A61609"/>
    <w:rsid w:val="00A831A4"/>
    <w:rsid w:val="00AD01B1"/>
    <w:rsid w:val="00B00A85"/>
    <w:rsid w:val="00B30758"/>
    <w:rsid w:val="00B925AC"/>
    <w:rsid w:val="00BA37C1"/>
    <w:rsid w:val="00BB181A"/>
    <w:rsid w:val="00C04201"/>
    <w:rsid w:val="00C40F0B"/>
    <w:rsid w:val="00C92B4F"/>
    <w:rsid w:val="00CE21FD"/>
    <w:rsid w:val="00D0096A"/>
    <w:rsid w:val="00D11C70"/>
    <w:rsid w:val="00DA343A"/>
    <w:rsid w:val="00E54322"/>
    <w:rsid w:val="00F62715"/>
    <w:rsid w:val="00F649F3"/>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6BB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2026-02-02T12:48:00Z</cp:lastPrinted>
  <dcterms:created xsi:type="dcterms:W3CDTF">2026-02-02T12:51:00Z</dcterms:created>
  <dcterms:modified xsi:type="dcterms:W3CDTF">2026-02-02T12:51:00Z</dcterms:modified>
</cp:coreProperties>
</file>