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75E5C" w:rsidRPr="00D44C53" w:rsidRDefault="00175E5C" w:rsidP="00175E5C">
      <w:pPr>
        <w:spacing w:after="0"/>
        <w:ind w:right="-482"/>
        <w:rPr>
          <w:rFonts w:ascii="Tahoma" w:hAnsi="Tahoma" w:cs="Tahoma"/>
          <w:b/>
          <w:color w:val="000000" w:themeColor="text1"/>
          <w:u w:val="single"/>
          <w:lang w:val="en-US"/>
        </w:rPr>
      </w:pPr>
      <w:bookmarkStart w:id="0" w:name="_GoBack"/>
      <w:bookmarkEnd w:id="0"/>
      <w:r w:rsidRPr="00D44C53">
        <w:rPr>
          <w:rFonts w:ascii="Tahoma" w:hAnsi="Tahoma" w:cs="Tahoma"/>
          <w:b/>
          <w:color w:val="000000" w:themeColor="text1"/>
          <w:u w:val="single"/>
          <w:lang w:val="en-US"/>
        </w:rPr>
        <w:t>Annexure-I</w:t>
      </w:r>
      <w:r>
        <w:rPr>
          <w:rFonts w:ascii="Tahoma" w:hAnsi="Tahoma" w:cs="Tahoma"/>
          <w:b/>
          <w:color w:val="000000" w:themeColor="text1"/>
          <w:u w:val="single"/>
          <w:lang w:val="en-US"/>
        </w:rPr>
        <w:t xml:space="preserve"> </w:t>
      </w:r>
      <w:r w:rsidRPr="00B0310B">
        <w:rPr>
          <w:rFonts w:ascii="Tahoma" w:hAnsi="Tahoma" w:cs="Tahoma"/>
          <w:bCs/>
          <w:color w:val="000000" w:themeColor="text1"/>
          <w:u w:val="single"/>
          <w:lang w:val="en-US"/>
        </w:rPr>
        <w:t>to OIL/PLN G/54/2/1/2026/23   dated 28</w:t>
      </w:r>
      <w:r w:rsidRPr="00B0310B">
        <w:rPr>
          <w:rFonts w:ascii="Tahoma" w:hAnsi="Tahoma" w:cs="Tahoma"/>
          <w:bCs/>
          <w:color w:val="000000" w:themeColor="text1"/>
          <w:u w:val="single"/>
          <w:vertAlign w:val="superscript"/>
          <w:lang w:val="en-US"/>
        </w:rPr>
        <w:t>th</w:t>
      </w:r>
      <w:r w:rsidRPr="00B0310B">
        <w:rPr>
          <w:rFonts w:ascii="Tahoma" w:hAnsi="Tahoma" w:cs="Tahoma"/>
          <w:bCs/>
          <w:color w:val="000000" w:themeColor="text1"/>
          <w:u w:val="single"/>
          <w:lang w:val="en-US"/>
        </w:rPr>
        <w:t xml:space="preserve"> January, 2026(p-</w:t>
      </w:r>
      <w:r w:rsidR="00B0310B" w:rsidRPr="00B0310B">
        <w:rPr>
          <w:rFonts w:ascii="Tahoma" w:hAnsi="Tahoma" w:cs="Tahoma"/>
          <w:bCs/>
          <w:color w:val="000000" w:themeColor="text1"/>
          <w:u w:val="single"/>
          <w:lang w:val="en-US"/>
        </w:rPr>
        <w:t>1</w:t>
      </w:r>
      <w:r w:rsidRPr="00B0310B">
        <w:rPr>
          <w:rFonts w:ascii="Tahoma" w:hAnsi="Tahoma" w:cs="Tahoma"/>
          <w:bCs/>
          <w:color w:val="000000" w:themeColor="text1"/>
          <w:u w:val="single"/>
          <w:lang w:val="en-US"/>
        </w:rPr>
        <w:t xml:space="preserve"> of </w:t>
      </w:r>
      <w:r w:rsidR="00B0310B" w:rsidRPr="00B0310B">
        <w:rPr>
          <w:rFonts w:ascii="Tahoma" w:hAnsi="Tahoma" w:cs="Tahoma"/>
          <w:bCs/>
          <w:color w:val="000000" w:themeColor="text1"/>
          <w:u w:val="single"/>
          <w:lang w:val="en-US"/>
        </w:rPr>
        <w:t>2</w:t>
      </w:r>
      <w:r w:rsidRPr="00B0310B">
        <w:rPr>
          <w:rFonts w:ascii="Tahoma" w:hAnsi="Tahoma" w:cs="Tahoma"/>
          <w:bCs/>
          <w:color w:val="000000" w:themeColor="text1"/>
          <w:u w:val="single"/>
          <w:lang w:val="en-US"/>
        </w:rPr>
        <w:t>)</w:t>
      </w:r>
    </w:p>
    <w:p w:rsidR="00175E5C" w:rsidRPr="00D44C53" w:rsidRDefault="00175E5C" w:rsidP="00175E5C">
      <w:pPr>
        <w:spacing w:after="0"/>
        <w:ind w:right="-482"/>
        <w:jc w:val="right"/>
        <w:rPr>
          <w:rFonts w:ascii="Tahoma" w:hAnsi="Tahoma" w:cs="Tahoma"/>
          <w:b/>
          <w:color w:val="000000" w:themeColor="text1"/>
          <w:u w:val="single"/>
          <w:lang w:val="en-US"/>
        </w:rPr>
      </w:pP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 xml:space="preserve">OIL has been aggressively taking up the exploration and production activities along with substantial investment in alternate energy sectors in line with the </w:t>
      </w:r>
      <w:proofErr w:type="spellStart"/>
      <w:r w:rsidRPr="00D44C53">
        <w:rPr>
          <w:rFonts w:ascii="Tahoma" w:eastAsia="Aptos" w:hAnsi="Tahoma" w:cs="Tahoma"/>
          <w:color w:val="000000" w:themeColor="text1"/>
        </w:rPr>
        <w:t>GoI</w:t>
      </w:r>
      <w:proofErr w:type="spellEnd"/>
      <w:r w:rsidRPr="00D44C53">
        <w:rPr>
          <w:rFonts w:ascii="Tahoma" w:eastAsia="Aptos" w:hAnsi="Tahoma" w:cs="Tahoma"/>
          <w:color w:val="000000" w:themeColor="text1"/>
        </w:rPr>
        <w:t xml:space="preserve"> initiatives to reduce India’s dependence </w:t>
      </w:r>
      <w:proofErr w:type="gramStart"/>
      <w:r w:rsidRPr="00D44C53">
        <w:rPr>
          <w:rFonts w:ascii="Tahoma" w:eastAsia="Aptos" w:hAnsi="Tahoma" w:cs="Tahoma"/>
          <w:color w:val="000000" w:themeColor="text1"/>
        </w:rPr>
        <w:t xml:space="preserve">on </w:t>
      </w:r>
      <w:r>
        <w:rPr>
          <w:rFonts w:ascii="Tahoma" w:eastAsia="Aptos" w:hAnsi="Tahoma" w:cs="Tahoma"/>
          <w:color w:val="000000" w:themeColor="text1"/>
        </w:rPr>
        <w:t xml:space="preserve"> </w:t>
      </w:r>
      <w:r w:rsidRPr="00D44C53">
        <w:rPr>
          <w:rFonts w:ascii="Tahoma" w:eastAsia="Aptos" w:hAnsi="Tahoma" w:cs="Tahoma"/>
          <w:color w:val="000000" w:themeColor="text1"/>
        </w:rPr>
        <w:t>imports</w:t>
      </w:r>
      <w:proofErr w:type="gramEnd"/>
      <w:r w:rsidRPr="00D44C53">
        <w:rPr>
          <w:rFonts w:ascii="Tahoma" w:eastAsia="Aptos" w:hAnsi="Tahoma" w:cs="Tahoma"/>
          <w:color w:val="000000" w:themeColor="text1"/>
        </w:rPr>
        <w:t>.</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OIL has achieved a quantum jump in its acreages after the implementation of HELP and presently holds 92,888 sq. km acreages across various regimes divided into 62 blocks across the nation including offshore blocks.</w:t>
      </w:r>
    </w:p>
    <w:p w:rsidR="00175E5C" w:rsidRPr="00757AEA" w:rsidRDefault="00175E5C" w:rsidP="00175E5C">
      <w:pPr>
        <w:ind w:right="-421"/>
        <w:jc w:val="both"/>
        <w:rPr>
          <w:rFonts w:ascii="Tahoma" w:eastAsia="Aptos" w:hAnsi="Tahoma" w:cs="Tahoma"/>
        </w:rPr>
      </w:pPr>
      <w:r w:rsidRPr="00D44C53">
        <w:rPr>
          <w:rFonts w:ascii="Tahoma" w:eastAsia="Aptos" w:hAnsi="Tahoma" w:cs="Tahoma"/>
          <w:color w:val="000000" w:themeColor="text1"/>
        </w:rPr>
        <w:t xml:space="preserve">OIL is currently carrying out domestic E&amp;P activities in a total of 62 nos. of operated acreages. These include 25 nomination Petroleum Mining Leases (21 in Assam, 2 in Arunachal Pradesh and 2 in Rajasthan), 1 Nomination Petroleum Exploration License (PEL) in Arunachal Pradesh, 1 NELP Block in Assam, 31 OALP Blocks (12 in Assam &amp; AP, 1 in Nagaland, 1 in Meghalaya, 3 in Tripura, 3 in Rajasthan, 1 in Gujarat, 4 in Mahanadi &amp; 2 in Mahanadi Ultradeep Offshore, 2 in Andaman shallow offshore, 1 in Kerala Konkan shallow offshore, 2 in KG Ultradeep Offshore) and 3 Discovered Small field (DSF) Blocks (1 each in Tripura, Rajasthan and in KG Shallow Offshore). The total operating acreages cover an area of 92,888 sq.km. Apart from this, there is a non-operating acreage to the tune of 14,776 sq.km spread across 7 blocks. </w:t>
      </w:r>
      <w:r w:rsidRPr="00757AEA">
        <w:rPr>
          <w:rFonts w:ascii="Tahoma" w:eastAsia="Aptos" w:hAnsi="Tahoma" w:cs="Tahoma"/>
        </w:rPr>
        <w:t>Till date, OIL has completed drilling of 17 exploratory wells and 5 development wells in DSF Blocks. OIL has also established hydrocarbon presence in 03 wells in OALP Blocks. The OALP blocks are under initial exploration phase and DSF Blocks are under pre-development phase.</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To drive future growth and enhance production, OIL’s key endeavours can be broadly summarized as follows:</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Enhancing Production Targets</w:t>
      </w:r>
      <w:r w:rsidRPr="00D44C53">
        <w:rPr>
          <w:rFonts w:ascii="Tahoma" w:eastAsia="Aptos" w:hAnsi="Tahoma" w:cs="Tahoma"/>
          <w:color w:val="000000" w:themeColor="text1"/>
        </w:rPr>
        <w:t>: One of OIL’s major visions for the coming years is to increase production from the current level of 3 MMT to over 4 MMT. To achieve this, OIL has planned extensive field development activities in its nominated blocks, 32 active Open Acreage Licensing Policy (OALP) blocks covering 92,888 sq.km, and three Discovered Small Fields (DSF) spanning 208 sq. km. These efforts aim to intensify exploration and development programs across the country.</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Accelerated Exploration and Redevelopment</w:t>
      </w:r>
      <w:r w:rsidRPr="00D44C53">
        <w:rPr>
          <w:rFonts w:ascii="Tahoma" w:eastAsia="Aptos" w:hAnsi="Tahoma" w:cs="Tahoma"/>
          <w:color w:val="000000" w:themeColor="text1"/>
        </w:rPr>
        <w:t>: OIL is fast-tracking exploration and redevelopment activities, including fields in Arunachal Pradesh. Recently, the company successfully acquired 51,555 sq. km of exploration acreage, including 10,965 sq. km in collaboration with ONGC. Additionally, OIL achieved a significant milestone by drilling 57 wells in FY 2024-25 and taking steps to increase the wells drilled in FY25-26.</w:t>
      </w:r>
    </w:p>
    <w:p w:rsidR="00175E5C"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Focused Development Areas</w:t>
      </w:r>
      <w:r w:rsidRPr="00D44C53">
        <w:rPr>
          <w:rFonts w:ascii="Tahoma" w:eastAsia="Aptos" w:hAnsi="Tahoma" w:cs="Tahoma"/>
          <w:color w:val="000000" w:themeColor="text1"/>
        </w:rPr>
        <w:t>: The company has identified several key areas for fast-track development, which are expected to substantially enhance production levels in the near future.</w:t>
      </w:r>
    </w:p>
    <w:p w:rsidR="004718D5" w:rsidRDefault="004718D5" w:rsidP="00B0310B">
      <w:pPr>
        <w:spacing w:after="0"/>
        <w:ind w:right="-482"/>
        <w:rPr>
          <w:rFonts w:ascii="Tahoma" w:hAnsi="Tahoma" w:cs="Tahoma"/>
          <w:b/>
          <w:color w:val="000000" w:themeColor="text1"/>
          <w:u w:val="single"/>
          <w:lang w:val="en-US"/>
        </w:rPr>
      </w:pPr>
    </w:p>
    <w:p w:rsidR="004718D5" w:rsidRDefault="004718D5" w:rsidP="00B0310B">
      <w:pPr>
        <w:spacing w:after="0"/>
        <w:ind w:right="-482"/>
        <w:rPr>
          <w:rFonts w:ascii="Tahoma" w:hAnsi="Tahoma" w:cs="Tahoma"/>
          <w:b/>
          <w:color w:val="000000" w:themeColor="text1"/>
          <w:u w:val="single"/>
          <w:lang w:val="en-US"/>
        </w:rPr>
      </w:pPr>
    </w:p>
    <w:p w:rsidR="00B0310B" w:rsidRPr="00D44C53" w:rsidRDefault="00B0310B" w:rsidP="00B0310B">
      <w:pPr>
        <w:spacing w:after="0"/>
        <w:ind w:right="-482"/>
        <w:rPr>
          <w:rFonts w:ascii="Tahoma" w:hAnsi="Tahoma" w:cs="Tahoma"/>
          <w:b/>
          <w:color w:val="000000" w:themeColor="text1"/>
          <w:u w:val="single"/>
          <w:lang w:val="en-US"/>
        </w:rPr>
      </w:pPr>
      <w:r w:rsidRPr="00D44C53">
        <w:rPr>
          <w:rFonts w:ascii="Tahoma" w:hAnsi="Tahoma" w:cs="Tahoma"/>
          <w:b/>
          <w:color w:val="000000" w:themeColor="text1"/>
          <w:u w:val="single"/>
          <w:lang w:val="en-US"/>
        </w:rPr>
        <w:lastRenderedPageBreak/>
        <w:t>Annexure-I</w:t>
      </w:r>
      <w:r>
        <w:rPr>
          <w:rFonts w:ascii="Tahoma" w:hAnsi="Tahoma" w:cs="Tahoma"/>
          <w:b/>
          <w:color w:val="000000" w:themeColor="text1"/>
          <w:u w:val="single"/>
          <w:lang w:val="en-US"/>
        </w:rPr>
        <w:t xml:space="preserve"> </w:t>
      </w:r>
      <w:r w:rsidRPr="00B0310B">
        <w:rPr>
          <w:rFonts w:ascii="Tahoma" w:hAnsi="Tahoma" w:cs="Tahoma"/>
          <w:bCs/>
          <w:color w:val="000000" w:themeColor="text1"/>
          <w:u w:val="single"/>
          <w:lang w:val="en-US"/>
        </w:rPr>
        <w:t>to OIL/PLN G/54/2/1/2026/23   dated 28</w:t>
      </w:r>
      <w:r w:rsidRPr="00B0310B">
        <w:rPr>
          <w:rFonts w:ascii="Tahoma" w:hAnsi="Tahoma" w:cs="Tahoma"/>
          <w:bCs/>
          <w:color w:val="000000" w:themeColor="text1"/>
          <w:u w:val="single"/>
          <w:vertAlign w:val="superscript"/>
          <w:lang w:val="en-US"/>
        </w:rPr>
        <w:t>th</w:t>
      </w:r>
      <w:r w:rsidRPr="00B0310B">
        <w:rPr>
          <w:rFonts w:ascii="Tahoma" w:hAnsi="Tahoma" w:cs="Tahoma"/>
          <w:bCs/>
          <w:color w:val="000000" w:themeColor="text1"/>
          <w:u w:val="single"/>
          <w:lang w:val="en-US"/>
        </w:rPr>
        <w:t xml:space="preserve"> January, 2026(p-2 of 2)</w:t>
      </w:r>
    </w:p>
    <w:p w:rsidR="00B0310B" w:rsidRPr="00D44C53" w:rsidRDefault="00B0310B" w:rsidP="00175E5C">
      <w:pPr>
        <w:ind w:right="-421"/>
        <w:jc w:val="both"/>
        <w:rPr>
          <w:rFonts w:ascii="Tahoma" w:eastAsia="Aptos" w:hAnsi="Tahoma" w:cs="Tahoma"/>
          <w:color w:val="000000" w:themeColor="text1"/>
        </w:rPr>
      </w:pP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Advanced Recovery Techniques</w:t>
      </w:r>
      <w:r w:rsidRPr="00D44C53">
        <w:rPr>
          <w:rFonts w:ascii="Tahoma" w:eastAsia="Aptos" w:hAnsi="Tahoma" w:cs="Tahoma"/>
          <w:color w:val="000000" w:themeColor="text1"/>
        </w:rPr>
        <w:t>: To maximize recovery from its mature fields in the Upper Assam Basin, OIL continues to implement water injection techniques and other IOR (Improved Oil Recovery) and EOR (Enhanced Oil Recovery) technologies.</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Adopting Innovative Technologies</w:t>
      </w:r>
      <w:r w:rsidRPr="00D44C53">
        <w:rPr>
          <w:rFonts w:ascii="Tahoma" w:eastAsia="Aptos" w:hAnsi="Tahoma" w:cs="Tahoma"/>
          <w:color w:val="000000" w:themeColor="text1"/>
        </w:rPr>
        <w:t>: OIL is actively deploying fit-for-purpose technologies to improve production efficiency and optimize operations.</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Collaborative Efforts</w:t>
      </w:r>
      <w:r w:rsidRPr="00D44C53">
        <w:rPr>
          <w:rFonts w:ascii="Tahoma" w:eastAsia="Aptos" w:hAnsi="Tahoma" w:cs="Tahoma"/>
          <w:color w:val="000000" w:themeColor="text1"/>
        </w:rPr>
        <w:t>: OIL is collaborating with national and international institutions and industry leaders to leverage expertise and resources for enhanced exploration and production activities.</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In addition to these initiatives, OIL is implementing a comprehensive strategy comprising short-, mid-, and long-term measures for enhancement of crude oil production as detailed below:</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Short-term Measures</w:t>
      </w:r>
      <w:r w:rsidRPr="00D44C53">
        <w:rPr>
          <w:rFonts w:ascii="Tahoma" w:eastAsia="Aptos" w:hAnsi="Tahoma" w:cs="Tahoma"/>
          <w:color w:val="000000" w:themeColor="text1"/>
        </w:rPr>
        <w:t>: These include well intervention activities and the immediate induction of new technologies to address operational challenges.</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Mid-term Measures</w:t>
      </w:r>
      <w:r w:rsidRPr="00D44C53">
        <w:rPr>
          <w:rFonts w:ascii="Tahoma" w:eastAsia="Aptos" w:hAnsi="Tahoma" w:cs="Tahoma"/>
          <w:color w:val="000000" w:themeColor="text1"/>
        </w:rPr>
        <w:t>: Creation of surface facilities to remove bottlenecks and facilitate smoother production processes.</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w:t>
      </w:r>
      <w:r w:rsidRPr="00D44C53">
        <w:rPr>
          <w:rFonts w:ascii="Tahoma" w:eastAsia="Aptos" w:hAnsi="Tahoma" w:cs="Tahoma"/>
          <w:color w:val="000000" w:themeColor="text1"/>
        </w:rPr>
        <w:tab/>
      </w:r>
      <w:r w:rsidRPr="00D44C53">
        <w:rPr>
          <w:rFonts w:ascii="Tahoma" w:eastAsia="Aptos" w:hAnsi="Tahoma" w:cs="Tahoma"/>
          <w:b/>
          <w:bCs/>
          <w:color w:val="000000" w:themeColor="text1"/>
        </w:rPr>
        <w:t>Long-term Measures</w:t>
      </w:r>
      <w:r w:rsidRPr="00D44C53">
        <w:rPr>
          <w:rFonts w:ascii="Tahoma" w:eastAsia="Aptos" w:hAnsi="Tahoma" w:cs="Tahoma"/>
          <w:color w:val="000000" w:themeColor="text1"/>
        </w:rPr>
        <w:t>: Maximizing recovery from mature fields through advanced IOR/EOR techniques.</w:t>
      </w:r>
    </w:p>
    <w:p w:rsidR="00175E5C" w:rsidRDefault="00175E5C" w:rsidP="00175E5C"/>
    <w:p w:rsidR="00175E5C" w:rsidRDefault="00175E5C" w:rsidP="00175E5C">
      <w:r>
        <w:br w:type="page"/>
      </w:r>
    </w:p>
    <w:p w:rsidR="00175E5C" w:rsidRPr="00D44C53" w:rsidRDefault="00175E5C" w:rsidP="00175E5C">
      <w:pPr>
        <w:spacing w:after="0"/>
        <w:ind w:right="-482"/>
        <w:rPr>
          <w:rFonts w:ascii="Tahoma" w:hAnsi="Tahoma" w:cs="Tahoma"/>
          <w:b/>
          <w:color w:val="000000" w:themeColor="text1"/>
          <w:u w:val="single"/>
          <w:lang w:val="en-US"/>
        </w:rPr>
      </w:pPr>
      <w:r w:rsidRPr="00D44C53">
        <w:rPr>
          <w:rFonts w:ascii="Tahoma" w:hAnsi="Tahoma" w:cs="Tahoma"/>
          <w:b/>
          <w:color w:val="000000" w:themeColor="text1"/>
          <w:u w:val="single"/>
          <w:lang w:val="en-US"/>
        </w:rPr>
        <w:lastRenderedPageBreak/>
        <w:t>Annexure-</w:t>
      </w:r>
      <w:r>
        <w:rPr>
          <w:rFonts w:ascii="Tahoma" w:hAnsi="Tahoma" w:cs="Tahoma"/>
          <w:b/>
          <w:color w:val="000000" w:themeColor="text1"/>
          <w:u w:val="single"/>
          <w:lang w:val="en-US"/>
        </w:rPr>
        <w:t xml:space="preserve">II </w:t>
      </w:r>
      <w:r w:rsidRPr="00B0310B">
        <w:rPr>
          <w:rFonts w:ascii="Tahoma" w:hAnsi="Tahoma" w:cs="Tahoma"/>
          <w:bCs/>
          <w:color w:val="000000" w:themeColor="text1"/>
          <w:u w:val="single"/>
          <w:lang w:val="en-US"/>
        </w:rPr>
        <w:t>to OIL/PLN G/54/2/1/2026/23   dated 28</w:t>
      </w:r>
      <w:r w:rsidRPr="00B0310B">
        <w:rPr>
          <w:rFonts w:ascii="Tahoma" w:hAnsi="Tahoma" w:cs="Tahoma"/>
          <w:bCs/>
          <w:color w:val="000000" w:themeColor="text1"/>
          <w:u w:val="single"/>
          <w:vertAlign w:val="superscript"/>
          <w:lang w:val="en-US"/>
        </w:rPr>
        <w:t>th</w:t>
      </w:r>
      <w:r w:rsidRPr="00B0310B">
        <w:rPr>
          <w:rFonts w:ascii="Tahoma" w:hAnsi="Tahoma" w:cs="Tahoma"/>
          <w:bCs/>
          <w:color w:val="000000" w:themeColor="text1"/>
          <w:u w:val="single"/>
          <w:lang w:val="en-US"/>
        </w:rPr>
        <w:t xml:space="preserve"> January, 2026(p-</w:t>
      </w:r>
      <w:r w:rsidR="00B0310B">
        <w:rPr>
          <w:rFonts w:ascii="Tahoma" w:hAnsi="Tahoma" w:cs="Tahoma"/>
          <w:bCs/>
          <w:color w:val="000000" w:themeColor="text1"/>
          <w:u w:val="single"/>
          <w:lang w:val="en-US"/>
        </w:rPr>
        <w:t xml:space="preserve">1 </w:t>
      </w:r>
      <w:r w:rsidRPr="00B0310B">
        <w:rPr>
          <w:rFonts w:ascii="Tahoma" w:hAnsi="Tahoma" w:cs="Tahoma"/>
          <w:bCs/>
          <w:color w:val="000000" w:themeColor="text1"/>
          <w:u w:val="single"/>
          <w:lang w:val="en-US"/>
        </w:rPr>
        <w:t xml:space="preserve">of </w:t>
      </w:r>
      <w:r w:rsidR="00B0310B">
        <w:rPr>
          <w:rFonts w:ascii="Tahoma" w:hAnsi="Tahoma" w:cs="Tahoma"/>
          <w:bCs/>
          <w:color w:val="000000" w:themeColor="text1"/>
          <w:u w:val="single"/>
          <w:lang w:val="en-US"/>
        </w:rPr>
        <w:t>2</w:t>
      </w:r>
      <w:r w:rsidRPr="00B0310B">
        <w:rPr>
          <w:rFonts w:ascii="Tahoma" w:hAnsi="Tahoma" w:cs="Tahoma"/>
          <w:bCs/>
          <w:color w:val="000000" w:themeColor="text1"/>
          <w:u w:val="single"/>
          <w:lang w:val="en-US"/>
        </w:rPr>
        <w:t>)</w:t>
      </w:r>
    </w:p>
    <w:p w:rsidR="00175E5C" w:rsidRPr="00D44C53" w:rsidRDefault="00175E5C" w:rsidP="00175E5C">
      <w:pPr>
        <w:spacing w:after="0"/>
        <w:ind w:right="-482"/>
        <w:jc w:val="right"/>
        <w:rPr>
          <w:rFonts w:ascii="Tahoma" w:hAnsi="Tahoma" w:cs="Tahoma"/>
          <w:b/>
          <w:color w:val="000000" w:themeColor="text1"/>
          <w:u w:val="single"/>
          <w:lang w:val="en-US"/>
        </w:rPr>
      </w:pPr>
    </w:p>
    <w:p w:rsidR="00175E5C" w:rsidRDefault="00175E5C" w:rsidP="00175E5C">
      <w:pPr>
        <w:rPr>
          <w:rFonts w:ascii="Tahoma" w:eastAsia="Aptos" w:hAnsi="Tahoma" w:cs="Tahoma"/>
          <w:color w:val="000000" w:themeColor="text1"/>
        </w:rPr>
      </w:pPr>
      <w:r w:rsidRPr="00D44C53">
        <w:rPr>
          <w:rFonts w:ascii="Tahoma" w:eastAsia="Aptos" w:hAnsi="Tahoma" w:cs="Tahoma"/>
          <w:color w:val="000000" w:themeColor="text1"/>
        </w:rPr>
        <w:t xml:space="preserve">Government has taken various initiatives and actions </w:t>
      </w:r>
      <w:r>
        <w:rPr>
          <w:rFonts w:ascii="Tahoma" w:eastAsia="Aptos" w:hAnsi="Tahoma" w:cs="Tahoma"/>
          <w:color w:val="000000" w:themeColor="text1"/>
        </w:rPr>
        <w:t>to increase and attract private investment as follows:</w:t>
      </w:r>
    </w:p>
    <w:p w:rsidR="00175E5C" w:rsidRPr="00D44C53" w:rsidRDefault="00175E5C" w:rsidP="00175E5C">
      <w:pPr>
        <w:numPr>
          <w:ilvl w:val="0"/>
          <w:numId w:val="1"/>
        </w:numPr>
        <w:spacing w:after="160" w:line="278" w:lineRule="auto"/>
        <w:ind w:right="-421"/>
        <w:contextualSpacing/>
        <w:jc w:val="both"/>
        <w:rPr>
          <w:rFonts w:ascii="Tahoma" w:eastAsia="Aptos" w:hAnsi="Tahoma" w:cs="Tahoma"/>
          <w:color w:val="000000" w:themeColor="text1"/>
        </w:rPr>
      </w:pPr>
      <w:r w:rsidRPr="00D44C53">
        <w:rPr>
          <w:rFonts w:ascii="Tahoma" w:eastAsia="Aptos" w:hAnsi="Tahoma" w:cs="Tahoma"/>
          <w:color w:val="000000" w:themeColor="text1"/>
        </w:rPr>
        <w:t>Hydrocarbon Exploration Licensing policy (HELP) &amp; Discovery Small Fields (DSF)</w:t>
      </w:r>
    </w:p>
    <w:p w:rsidR="00175E5C" w:rsidRDefault="00175E5C" w:rsidP="00175E5C">
      <w:pPr>
        <w:numPr>
          <w:ilvl w:val="0"/>
          <w:numId w:val="1"/>
        </w:numPr>
        <w:spacing w:after="160" w:line="278" w:lineRule="auto"/>
        <w:ind w:right="-421"/>
        <w:contextualSpacing/>
        <w:jc w:val="both"/>
        <w:rPr>
          <w:rFonts w:ascii="Tahoma" w:eastAsia="Aptos" w:hAnsi="Tahoma" w:cs="Tahoma"/>
          <w:color w:val="000000" w:themeColor="text1"/>
        </w:rPr>
      </w:pPr>
      <w:r w:rsidRPr="005D4F4B">
        <w:rPr>
          <w:rFonts w:ascii="Tahoma" w:eastAsia="Aptos" w:hAnsi="Tahoma" w:cs="Tahoma"/>
          <w:color w:val="000000" w:themeColor="text1"/>
        </w:rPr>
        <w:t>The Oilfields (Regulations and Development) Amendment Act 2025 &amp;</w:t>
      </w:r>
      <w:r>
        <w:rPr>
          <w:rFonts w:ascii="Tahoma" w:eastAsia="Aptos" w:hAnsi="Tahoma" w:cs="Tahoma"/>
          <w:color w:val="000000" w:themeColor="text1"/>
        </w:rPr>
        <w:t xml:space="preserve"> </w:t>
      </w:r>
      <w:r w:rsidRPr="005D4F4B">
        <w:rPr>
          <w:rFonts w:ascii="Tahoma" w:eastAsia="Aptos" w:hAnsi="Tahoma" w:cs="Tahoma"/>
          <w:color w:val="000000" w:themeColor="text1"/>
        </w:rPr>
        <w:t>Petroleum &amp; Natural Gas Rules 2025</w:t>
      </w:r>
    </w:p>
    <w:p w:rsidR="00175E5C" w:rsidRPr="00757AEA" w:rsidRDefault="00175E5C" w:rsidP="00175E5C">
      <w:pPr>
        <w:numPr>
          <w:ilvl w:val="0"/>
          <w:numId w:val="1"/>
        </w:numPr>
        <w:spacing w:after="160" w:line="278" w:lineRule="auto"/>
        <w:ind w:right="-421"/>
        <w:contextualSpacing/>
        <w:jc w:val="both"/>
        <w:rPr>
          <w:rFonts w:ascii="Tahoma" w:eastAsia="Aptos" w:hAnsi="Tahoma" w:cs="Tahoma"/>
          <w:color w:val="000000" w:themeColor="text1"/>
        </w:rPr>
      </w:pPr>
      <w:r w:rsidRPr="00757AEA">
        <w:rPr>
          <w:rFonts w:ascii="Tahoma" w:eastAsia="Aptos" w:hAnsi="Tahoma" w:cs="Tahoma"/>
          <w:color w:val="000000" w:themeColor="text1"/>
        </w:rPr>
        <w:t>Opening of No-Go Areas for E&amp;P Activities</w:t>
      </w:r>
    </w:p>
    <w:p w:rsidR="00175E5C" w:rsidRDefault="00175E5C" w:rsidP="00175E5C">
      <w:pPr>
        <w:rPr>
          <w:rFonts w:ascii="Tahoma" w:eastAsia="Aptos" w:hAnsi="Tahoma" w:cs="Tahoma"/>
          <w:color w:val="000000" w:themeColor="text1"/>
        </w:rPr>
      </w:pPr>
    </w:p>
    <w:p w:rsidR="00175E5C" w:rsidRDefault="00175E5C" w:rsidP="00175E5C">
      <w:pPr>
        <w:ind w:right="-421"/>
        <w:jc w:val="both"/>
        <w:rPr>
          <w:rFonts w:ascii="Tahoma" w:eastAsia="Aptos" w:hAnsi="Tahoma" w:cs="Tahoma"/>
          <w:color w:val="000000" w:themeColor="text1"/>
        </w:rPr>
      </w:pPr>
      <w:r w:rsidRPr="00D44C53">
        <w:rPr>
          <w:rFonts w:ascii="Tahoma" w:eastAsia="Aptos" w:hAnsi="Tahoma" w:cs="Tahoma"/>
          <w:b/>
          <w:bCs/>
          <w:color w:val="000000" w:themeColor="text1"/>
        </w:rPr>
        <w:t>(</w:t>
      </w:r>
      <w:proofErr w:type="spellStart"/>
      <w:r w:rsidRPr="00D44C53">
        <w:rPr>
          <w:rFonts w:ascii="Tahoma" w:eastAsia="Aptos" w:hAnsi="Tahoma" w:cs="Tahoma"/>
          <w:b/>
          <w:bCs/>
          <w:color w:val="000000" w:themeColor="text1"/>
        </w:rPr>
        <w:t>i</w:t>
      </w:r>
      <w:proofErr w:type="spellEnd"/>
      <w:r w:rsidRPr="00D44C53">
        <w:rPr>
          <w:rFonts w:ascii="Tahoma" w:eastAsia="Aptos" w:hAnsi="Tahoma" w:cs="Tahoma"/>
          <w:b/>
          <w:bCs/>
          <w:color w:val="000000" w:themeColor="text1"/>
        </w:rPr>
        <w:t>) Hydrocarbon Exploration Licensing policy (HELP) &amp; Discovery Small Fields (DSF):</w:t>
      </w:r>
      <w:r w:rsidRPr="00D44C53">
        <w:rPr>
          <w:rFonts w:ascii="Tahoma" w:eastAsia="Aptos" w:hAnsi="Tahoma" w:cs="Tahoma"/>
          <w:color w:val="000000" w:themeColor="text1"/>
        </w:rPr>
        <w:t xml:space="preserve"> The Hydrocarbon Exploration Licensing policy (HELP) was launched by </w:t>
      </w:r>
      <w:proofErr w:type="spellStart"/>
      <w:r w:rsidRPr="00D44C53">
        <w:rPr>
          <w:rFonts w:ascii="Tahoma" w:eastAsia="Aptos" w:hAnsi="Tahoma" w:cs="Tahoma"/>
          <w:color w:val="000000" w:themeColor="text1"/>
        </w:rPr>
        <w:t>GoI</w:t>
      </w:r>
      <w:proofErr w:type="spellEnd"/>
      <w:r w:rsidRPr="00D44C53">
        <w:rPr>
          <w:rFonts w:ascii="Tahoma" w:eastAsia="Aptos" w:hAnsi="Tahoma" w:cs="Tahoma"/>
          <w:color w:val="000000" w:themeColor="text1"/>
        </w:rPr>
        <w:t xml:space="preserve"> in March 2016 to domestically fast track exploration activities through Open Acreage Licensing policy. Similarly, Govt. of India introduced the Discovery Small Fields (DSF) with the objective to bring the unmonetized discovery of the country into production.</w:t>
      </w:r>
      <w:r>
        <w:rPr>
          <w:rFonts w:ascii="Tahoma" w:eastAsia="Aptos" w:hAnsi="Tahoma" w:cs="Tahoma"/>
          <w:color w:val="000000" w:themeColor="text1"/>
        </w:rPr>
        <w:t xml:space="preserve"> HELP and DSF promote investor friendly terms such as:</w:t>
      </w:r>
    </w:p>
    <w:p w:rsidR="00175E5C" w:rsidRDefault="00175E5C" w:rsidP="00175E5C">
      <w:pPr>
        <w:ind w:right="-421"/>
        <w:jc w:val="both"/>
        <w:rPr>
          <w:rFonts w:ascii="Tahoma" w:eastAsia="Aptos" w:hAnsi="Tahoma" w:cs="Tahoma"/>
          <w:color w:val="000000" w:themeColor="text1"/>
        </w:rPr>
      </w:pPr>
      <w:r>
        <w:rPr>
          <w:rFonts w:ascii="Tahoma" w:eastAsia="Aptos" w:hAnsi="Tahoma" w:cs="Tahoma"/>
          <w:color w:val="000000" w:themeColor="text1"/>
        </w:rPr>
        <w:tab/>
      </w:r>
      <w:proofErr w:type="spellStart"/>
      <w:r>
        <w:rPr>
          <w:rFonts w:ascii="Tahoma" w:eastAsia="Aptos" w:hAnsi="Tahoma" w:cs="Tahoma"/>
          <w:color w:val="000000" w:themeColor="text1"/>
        </w:rPr>
        <w:t>i</w:t>
      </w:r>
      <w:proofErr w:type="spellEnd"/>
      <w:r>
        <w:rPr>
          <w:rFonts w:ascii="Tahoma" w:eastAsia="Aptos" w:hAnsi="Tahoma" w:cs="Tahoma"/>
          <w:color w:val="000000" w:themeColor="text1"/>
        </w:rPr>
        <w:t>) Revenue Sharing Contract</w:t>
      </w:r>
    </w:p>
    <w:p w:rsidR="00175E5C" w:rsidRDefault="00175E5C" w:rsidP="00175E5C">
      <w:pPr>
        <w:ind w:right="-421"/>
        <w:jc w:val="both"/>
        <w:rPr>
          <w:rFonts w:ascii="Tahoma" w:eastAsia="Aptos" w:hAnsi="Tahoma" w:cs="Tahoma"/>
          <w:color w:val="000000" w:themeColor="text1"/>
        </w:rPr>
      </w:pPr>
      <w:r>
        <w:rPr>
          <w:rFonts w:ascii="Tahoma" w:eastAsia="Aptos" w:hAnsi="Tahoma" w:cs="Tahoma"/>
          <w:color w:val="000000" w:themeColor="text1"/>
        </w:rPr>
        <w:tab/>
        <w:t>ii) Pricing &amp; Marketing Freedom</w:t>
      </w:r>
    </w:p>
    <w:p w:rsidR="00175E5C" w:rsidRDefault="00175E5C" w:rsidP="00175E5C">
      <w:pPr>
        <w:ind w:right="-421"/>
        <w:jc w:val="both"/>
        <w:rPr>
          <w:rFonts w:ascii="Tahoma" w:eastAsia="Aptos" w:hAnsi="Tahoma" w:cs="Tahoma"/>
          <w:color w:val="000000" w:themeColor="text1"/>
        </w:rPr>
      </w:pPr>
      <w:r>
        <w:rPr>
          <w:rFonts w:ascii="Tahoma" w:eastAsia="Aptos" w:hAnsi="Tahoma" w:cs="Tahoma"/>
          <w:color w:val="000000" w:themeColor="text1"/>
        </w:rPr>
        <w:tab/>
        <w:t>iii) Low Royalty Rates</w:t>
      </w:r>
    </w:p>
    <w:p w:rsidR="00175E5C" w:rsidRDefault="00175E5C" w:rsidP="00175E5C">
      <w:pPr>
        <w:ind w:right="-421"/>
        <w:jc w:val="both"/>
        <w:rPr>
          <w:rFonts w:ascii="Tahoma" w:eastAsia="Aptos" w:hAnsi="Tahoma" w:cs="Tahoma"/>
          <w:color w:val="000000" w:themeColor="text1"/>
        </w:rPr>
      </w:pPr>
      <w:r w:rsidRPr="00D44C53">
        <w:rPr>
          <w:rFonts w:ascii="Tahoma" w:eastAsia="Aptos" w:hAnsi="Tahoma" w:cs="Tahoma"/>
          <w:b/>
          <w:bCs/>
          <w:color w:val="000000" w:themeColor="text1"/>
        </w:rPr>
        <w:t>(ii) The Oilfields (Regulation and Development) Amendment Act</w:t>
      </w:r>
      <w:r w:rsidRPr="00D44C53">
        <w:rPr>
          <w:rFonts w:ascii="Tahoma" w:eastAsia="Aptos" w:hAnsi="Tahoma" w:cs="Tahoma"/>
          <w:color w:val="000000" w:themeColor="text1"/>
        </w:rPr>
        <w:t>: This is a significant update to laws governing petroleum and natural gas exploration/production, aimed at boosting investment, introducing stable "petroleum leases”, expanding the definition of hydrocarbons (like shale gas, coal bed methane), and streamlining dispute resolution for better energy security.</w:t>
      </w:r>
      <w:r>
        <w:rPr>
          <w:rFonts w:ascii="Tahoma" w:eastAsia="Aptos" w:hAnsi="Tahoma" w:cs="Tahoma"/>
          <w:color w:val="000000" w:themeColor="text1"/>
        </w:rPr>
        <w:t xml:space="preserve"> </w:t>
      </w:r>
      <w:r w:rsidRPr="00D44C53">
        <w:rPr>
          <w:rFonts w:ascii="Tahoma" w:eastAsia="Aptos" w:hAnsi="Tahoma" w:cs="Tahoma"/>
          <w:b/>
          <w:bCs/>
          <w:color w:val="000000" w:themeColor="text1"/>
        </w:rPr>
        <w:t>Petroleum and Natural Gas (PNG) Rules 2025:</w:t>
      </w:r>
      <w:r w:rsidRPr="00D44C53">
        <w:rPr>
          <w:rFonts w:ascii="Tahoma" w:eastAsia="Aptos" w:hAnsi="Tahoma" w:cs="Tahoma"/>
          <w:color w:val="000000" w:themeColor="text1"/>
        </w:rPr>
        <w:t xml:space="preserve"> The PNG Rules 2025 were introduced to replace the</w:t>
      </w:r>
      <w:r>
        <w:rPr>
          <w:rFonts w:ascii="Tahoma" w:eastAsia="Aptos" w:hAnsi="Tahoma" w:cs="Tahoma"/>
          <w:color w:val="000000" w:themeColor="text1"/>
        </w:rPr>
        <w:t xml:space="preserve"> earlier</w:t>
      </w:r>
      <w:r w:rsidRPr="00D44C53">
        <w:rPr>
          <w:rFonts w:ascii="Tahoma" w:eastAsia="Aptos" w:hAnsi="Tahoma" w:cs="Tahoma"/>
          <w:color w:val="000000" w:themeColor="text1"/>
        </w:rPr>
        <w:t xml:space="preserve"> Petroleum Concession rules and Petroleum and Natural Gas rules, 1959 under the Oilfields (Regulation and Development) Amendment Act 2025. They aim to streamline regulations, reducing bureaucratic bottlenecks to attract foreign and private investment</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b/>
          <w:bCs/>
          <w:color w:val="000000" w:themeColor="text1"/>
        </w:rPr>
        <w:t>(</w:t>
      </w:r>
      <w:r>
        <w:rPr>
          <w:rFonts w:ascii="Tahoma" w:eastAsia="Aptos" w:hAnsi="Tahoma" w:cs="Tahoma"/>
          <w:b/>
          <w:bCs/>
          <w:color w:val="000000" w:themeColor="text1"/>
        </w:rPr>
        <w:t>iii</w:t>
      </w:r>
      <w:r w:rsidRPr="00D44C53">
        <w:rPr>
          <w:rFonts w:ascii="Tahoma" w:eastAsia="Aptos" w:hAnsi="Tahoma" w:cs="Tahoma"/>
          <w:b/>
          <w:bCs/>
          <w:color w:val="000000" w:themeColor="text1"/>
        </w:rPr>
        <w:t xml:space="preserve">) </w:t>
      </w:r>
      <w:bookmarkStart w:id="1" w:name="_Hlk220511581"/>
      <w:r w:rsidRPr="00D44C53">
        <w:rPr>
          <w:rFonts w:ascii="Tahoma" w:eastAsia="Aptos" w:hAnsi="Tahoma" w:cs="Tahoma"/>
          <w:b/>
          <w:bCs/>
          <w:color w:val="000000" w:themeColor="text1"/>
        </w:rPr>
        <w:t>Opening of No-Go Areas for E&amp;P Activities</w:t>
      </w:r>
      <w:bookmarkEnd w:id="1"/>
      <w:r w:rsidRPr="00D44C53">
        <w:rPr>
          <w:rFonts w:ascii="Tahoma" w:eastAsia="Aptos" w:hAnsi="Tahoma" w:cs="Tahoma"/>
          <w:b/>
          <w:bCs/>
          <w:color w:val="000000" w:themeColor="text1"/>
        </w:rPr>
        <w:t>:</w:t>
      </w:r>
      <w:r w:rsidRPr="00D44C53">
        <w:rPr>
          <w:rFonts w:ascii="Tahoma" w:eastAsia="Aptos" w:hAnsi="Tahoma" w:cs="Tahoma"/>
          <w:color w:val="000000" w:themeColor="text1"/>
        </w:rPr>
        <w:t xml:space="preserve"> Recently, </w:t>
      </w:r>
      <w:proofErr w:type="spellStart"/>
      <w:r w:rsidRPr="00D44C53">
        <w:rPr>
          <w:rFonts w:ascii="Tahoma" w:eastAsia="Aptos" w:hAnsi="Tahoma" w:cs="Tahoma"/>
          <w:color w:val="000000" w:themeColor="text1"/>
        </w:rPr>
        <w:t>GoI</w:t>
      </w:r>
      <w:proofErr w:type="spellEnd"/>
      <w:r w:rsidRPr="00D44C53">
        <w:rPr>
          <w:rFonts w:ascii="Tahoma" w:eastAsia="Aptos" w:hAnsi="Tahoma" w:cs="Tahoma"/>
          <w:color w:val="000000" w:themeColor="text1"/>
        </w:rPr>
        <w:t xml:space="preserve"> has significantly reduced the earlier "No-Go" areas by around 98% and this also includes 99% of area earlier prohibited for security reasons in India's Exclusive Economic Zone (EEZ). The total exempted area from No-Go restriction is around 1 million Sq. Km.</w:t>
      </w:r>
    </w:p>
    <w:p w:rsidR="00B0310B" w:rsidRDefault="00B0310B" w:rsidP="00175E5C">
      <w:pPr>
        <w:ind w:right="-421"/>
        <w:jc w:val="both"/>
        <w:rPr>
          <w:rFonts w:ascii="Tahoma" w:eastAsia="Aptos" w:hAnsi="Tahoma" w:cs="Tahoma"/>
          <w:color w:val="000000" w:themeColor="text1"/>
        </w:rPr>
      </w:pPr>
    </w:p>
    <w:p w:rsidR="004718D5" w:rsidRDefault="004718D5" w:rsidP="00175E5C">
      <w:pPr>
        <w:ind w:right="-421"/>
        <w:jc w:val="both"/>
        <w:rPr>
          <w:rFonts w:ascii="Tahoma" w:hAnsi="Tahoma" w:cs="Tahoma"/>
          <w:b/>
          <w:color w:val="000000" w:themeColor="text1"/>
          <w:u w:val="single"/>
          <w:lang w:val="en-US"/>
        </w:rPr>
      </w:pPr>
    </w:p>
    <w:p w:rsidR="004718D5" w:rsidRDefault="004718D5" w:rsidP="00175E5C">
      <w:pPr>
        <w:ind w:right="-421"/>
        <w:jc w:val="both"/>
        <w:rPr>
          <w:rFonts w:ascii="Tahoma" w:hAnsi="Tahoma" w:cs="Tahoma"/>
          <w:b/>
          <w:color w:val="000000" w:themeColor="text1"/>
          <w:u w:val="single"/>
          <w:lang w:val="en-US"/>
        </w:rPr>
      </w:pPr>
    </w:p>
    <w:p w:rsidR="00B0310B" w:rsidRDefault="00B0310B" w:rsidP="00175E5C">
      <w:pPr>
        <w:ind w:right="-421"/>
        <w:jc w:val="both"/>
        <w:rPr>
          <w:rFonts w:ascii="Tahoma" w:eastAsia="Aptos" w:hAnsi="Tahoma" w:cs="Tahoma"/>
          <w:color w:val="000000" w:themeColor="text1"/>
        </w:rPr>
      </w:pPr>
      <w:r w:rsidRPr="00D44C53">
        <w:rPr>
          <w:rFonts w:ascii="Tahoma" w:hAnsi="Tahoma" w:cs="Tahoma"/>
          <w:b/>
          <w:color w:val="000000" w:themeColor="text1"/>
          <w:u w:val="single"/>
          <w:lang w:val="en-US"/>
        </w:rPr>
        <w:lastRenderedPageBreak/>
        <w:t>Annexure-</w:t>
      </w:r>
      <w:r>
        <w:rPr>
          <w:rFonts w:ascii="Tahoma" w:hAnsi="Tahoma" w:cs="Tahoma"/>
          <w:b/>
          <w:color w:val="000000" w:themeColor="text1"/>
          <w:u w:val="single"/>
          <w:lang w:val="en-US"/>
        </w:rPr>
        <w:t xml:space="preserve">II </w:t>
      </w:r>
      <w:r w:rsidRPr="00B0310B">
        <w:rPr>
          <w:rFonts w:ascii="Tahoma" w:hAnsi="Tahoma" w:cs="Tahoma"/>
          <w:bCs/>
          <w:color w:val="000000" w:themeColor="text1"/>
          <w:u w:val="single"/>
          <w:lang w:val="en-US"/>
        </w:rPr>
        <w:t>to OIL/PLN G/54/2/1/2026/23   dated 28</w:t>
      </w:r>
      <w:r w:rsidRPr="00B0310B">
        <w:rPr>
          <w:rFonts w:ascii="Tahoma" w:hAnsi="Tahoma" w:cs="Tahoma"/>
          <w:bCs/>
          <w:color w:val="000000" w:themeColor="text1"/>
          <w:u w:val="single"/>
          <w:vertAlign w:val="superscript"/>
          <w:lang w:val="en-US"/>
        </w:rPr>
        <w:t>th</w:t>
      </w:r>
      <w:r w:rsidRPr="00B0310B">
        <w:rPr>
          <w:rFonts w:ascii="Tahoma" w:hAnsi="Tahoma" w:cs="Tahoma"/>
          <w:bCs/>
          <w:color w:val="000000" w:themeColor="text1"/>
          <w:u w:val="single"/>
          <w:lang w:val="en-US"/>
        </w:rPr>
        <w:t xml:space="preserve"> January, 2026(p-</w:t>
      </w:r>
      <w:r>
        <w:rPr>
          <w:rFonts w:ascii="Tahoma" w:hAnsi="Tahoma" w:cs="Tahoma"/>
          <w:bCs/>
          <w:color w:val="000000" w:themeColor="text1"/>
          <w:u w:val="single"/>
          <w:lang w:val="en-US"/>
        </w:rPr>
        <w:t xml:space="preserve">2 </w:t>
      </w:r>
      <w:r w:rsidRPr="00B0310B">
        <w:rPr>
          <w:rFonts w:ascii="Tahoma" w:hAnsi="Tahoma" w:cs="Tahoma"/>
          <w:bCs/>
          <w:color w:val="000000" w:themeColor="text1"/>
          <w:u w:val="single"/>
          <w:lang w:val="en-US"/>
        </w:rPr>
        <w:t xml:space="preserve">of </w:t>
      </w:r>
      <w:r>
        <w:rPr>
          <w:rFonts w:ascii="Tahoma" w:hAnsi="Tahoma" w:cs="Tahoma"/>
          <w:bCs/>
          <w:color w:val="000000" w:themeColor="text1"/>
          <w:u w:val="single"/>
          <w:lang w:val="en-US"/>
        </w:rPr>
        <w:t>2</w:t>
      </w:r>
      <w:r w:rsidRPr="00B0310B">
        <w:rPr>
          <w:rFonts w:ascii="Tahoma" w:hAnsi="Tahoma" w:cs="Tahoma"/>
          <w:bCs/>
          <w:color w:val="000000" w:themeColor="text1"/>
          <w:u w:val="single"/>
          <w:lang w:val="en-US"/>
        </w:rPr>
        <w:t>)</w:t>
      </w:r>
    </w:p>
    <w:p w:rsidR="00175E5C" w:rsidRPr="00D44C53" w:rsidRDefault="00175E5C" w:rsidP="00175E5C">
      <w:pPr>
        <w:ind w:right="-421"/>
        <w:jc w:val="both"/>
        <w:rPr>
          <w:rFonts w:ascii="Tahoma" w:eastAsia="Aptos" w:hAnsi="Tahoma" w:cs="Tahoma"/>
          <w:color w:val="000000" w:themeColor="text1"/>
        </w:rPr>
      </w:pPr>
      <w:r w:rsidRPr="00D44C53">
        <w:rPr>
          <w:rFonts w:ascii="Tahoma" w:eastAsia="Aptos" w:hAnsi="Tahoma" w:cs="Tahoma"/>
          <w:color w:val="000000" w:themeColor="text1"/>
        </w:rPr>
        <w:t xml:space="preserve">The opening up of over 1 million Sq. Km of area will allow the E&amp;P operators to stretch their exploration campaign to a much larger area which includes a significant area under EEZ. Exploration activities in the newly opened up frontiers of deep &amp; </w:t>
      </w:r>
      <w:proofErr w:type="spellStart"/>
      <w:r w:rsidRPr="00D44C53">
        <w:rPr>
          <w:rFonts w:ascii="Tahoma" w:eastAsia="Aptos" w:hAnsi="Tahoma" w:cs="Tahoma"/>
          <w:color w:val="000000" w:themeColor="text1"/>
        </w:rPr>
        <w:t>ultra deep</w:t>
      </w:r>
      <w:proofErr w:type="spellEnd"/>
      <w:r w:rsidRPr="00D44C53">
        <w:rPr>
          <w:rFonts w:ascii="Tahoma" w:eastAsia="Aptos" w:hAnsi="Tahoma" w:cs="Tahoma"/>
          <w:color w:val="000000" w:themeColor="text1"/>
        </w:rPr>
        <w:t xml:space="preserve"> offshore of the country is being highly encouraged by the Government thereby creating opportunities </w:t>
      </w:r>
      <w:r>
        <w:rPr>
          <w:rFonts w:ascii="Tahoma" w:eastAsia="Aptos" w:hAnsi="Tahoma" w:cs="Tahoma"/>
          <w:color w:val="000000" w:themeColor="text1"/>
        </w:rPr>
        <w:t>for enhanced investment</w:t>
      </w:r>
      <w:r w:rsidRPr="00D44C53">
        <w:rPr>
          <w:rFonts w:ascii="Tahoma" w:eastAsia="Aptos" w:hAnsi="Tahoma" w:cs="Tahoma"/>
          <w:color w:val="000000" w:themeColor="text1"/>
        </w:rPr>
        <w:t xml:space="preserve">. The government expects significant increase of </w:t>
      </w:r>
      <w:r>
        <w:rPr>
          <w:rFonts w:ascii="Tahoma" w:eastAsia="Aptos" w:hAnsi="Tahoma" w:cs="Tahoma"/>
          <w:color w:val="000000" w:themeColor="text1"/>
        </w:rPr>
        <w:t>investment</w:t>
      </w:r>
      <w:r w:rsidRPr="00D44C53">
        <w:rPr>
          <w:rFonts w:ascii="Tahoma" w:eastAsia="Aptos" w:hAnsi="Tahoma" w:cs="Tahoma"/>
          <w:color w:val="000000" w:themeColor="text1"/>
        </w:rPr>
        <w:t xml:space="preserve"> by the </w:t>
      </w:r>
      <w:r>
        <w:rPr>
          <w:rFonts w:ascii="Tahoma" w:eastAsia="Aptos" w:hAnsi="Tahoma" w:cs="Tahoma"/>
          <w:color w:val="000000" w:themeColor="text1"/>
        </w:rPr>
        <w:t xml:space="preserve">E&amp;P companies both private and public and as well as from foreign parties </w:t>
      </w:r>
      <w:r w:rsidRPr="00D44C53">
        <w:rPr>
          <w:rFonts w:ascii="Tahoma" w:eastAsia="Aptos" w:hAnsi="Tahoma" w:cs="Tahoma"/>
          <w:color w:val="000000" w:themeColor="text1"/>
        </w:rPr>
        <w:t>in the forthcoming years on account of opening of No-Go areas and other policy initiatives like OALP, DSF</w:t>
      </w:r>
      <w:r>
        <w:rPr>
          <w:rFonts w:ascii="Tahoma" w:eastAsia="Aptos" w:hAnsi="Tahoma" w:cs="Tahoma"/>
          <w:color w:val="000000" w:themeColor="text1"/>
        </w:rPr>
        <w:t>, PNG Rules 2025</w:t>
      </w:r>
      <w:r w:rsidRPr="00D44C53">
        <w:rPr>
          <w:rFonts w:ascii="Tahoma" w:eastAsia="Aptos" w:hAnsi="Tahoma" w:cs="Tahoma"/>
          <w:color w:val="000000" w:themeColor="text1"/>
        </w:rPr>
        <w:t xml:space="preserve"> etc.</w:t>
      </w:r>
    </w:p>
    <w:p w:rsidR="00175E5C" w:rsidRPr="005D4F4B" w:rsidRDefault="00175E5C" w:rsidP="00175E5C">
      <w:pPr>
        <w:rPr>
          <w:rFonts w:ascii="Tahoma" w:eastAsia="Aptos" w:hAnsi="Tahoma" w:cs="Tahoma"/>
          <w:color w:val="000000" w:themeColor="text1"/>
        </w:rPr>
      </w:pPr>
    </w:p>
    <w:p w:rsidR="00175E5C" w:rsidRDefault="00175E5C" w:rsidP="0098028D">
      <w:pPr>
        <w:spacing w:after="0"/>
        <w:ind w:right="-482"/>
        <w:jc w:val="right"/>
        <w:rPr>
          <w:rFonts w:ascii="Tahoma" w:hAnsi="Tahoma" w:cs="Tahoma"/>
          <w:b/>
          <w:u w:val="single"/>
          <w:lang w:val="en-US"/>
        </w:rPr>
      </w:pPr>
    </w:p>
    <w:p w:rsidR="0098028D" w:rsidRDefault="0098028D" w:rsidP="0098028D">
      <w:pPr>
        <w:spacing w:after="0"/>
        <w:ind w:right="-482"/>
        <w:jc w:val="right"/>
        <w:rPr>
          <w:rFonts w:ascii="Tahoma" w:hAnsi="Tahoma" w:cs="Tahoma"/>
          <w:b/>
          <w:u w:val="single"/>
          <w:lang w:val="en-US"/>
        </w:rPr>
      </w:pPr>
    </w:p>
    <w:p w:rsidR="004E7AEE" w:rsidRPr="004E7AEE" w:rsidRDefault="004E7AEE" w:rsidP="004E7AEE">
      <w:pPr>
        <w:spacing w:before="100" w:beforeAutospacing="1" w:after="100" w:afterAutospacing="1" w:line="240" w:lineRule="auto"/>
        <w:rPr>
          <w:rFonts w:ascii="Times New Roman" w:eastAsia="Times New Roman" w:hAnsi="Times New Roman" w:cs="Times New Roman"/>
          <w:sz w:val="24"/>
          <w:szCs w:val="24"/>
          <w:lang w:val="en-US" w:bidi="hi-IN"/>
        </w:rPr>
      </w:pPr>
    </w:p>
    <w:p w:rsidR="000D7067" w:rsidRDefault="000D7067" w:rsidP="000D7067">
      <w:pPr>
        <w:pStyle w:val="NormalWeb"/>
      </w:pPr>
    </w:p>
    <w:p w:rsidR="000D7067" w:rsidRDefault="000D7067" w:rsidP="000D7067">
      <w:pPr>
        <w:pStyle w:val="NormalWeb"/>
      </w:pPr>
      <w:r>
        <w:t xml:space="preserve"> </w:t>
      </w:r>
    </w:p>
    <w:p w:rsidR="008113A4" w:rsidRDefault="008113A4" w:rsidP="00A61609">
      <w:pPr>
        <w:spacing w:after="0"/>
        <w:ind w:left="5040" w:right="-482" w:firstLine="720"/>
        <w:jc w:val="center"/>
        <w:rPr>
          <w:rFonts w:ascii="Tahoma" w:hAnsi="Tahoma" w:cs="Tahoma"/>
          <w:lang w:val="en-US"/>
        </w:rPr>
      </w:pPr>
    </w:p>
    <w:p w:rsidR="00030179" w:rsidRDefault="00030179" w:rsidP="00030179">
      <w:pPr>
        <w:pStyle w:val="NormalWeb"/>
      </w:pPr>
    </w:p>
    <w:p w:rsidR="00030179" w:rsidRDefault="00030179" w:rsidP="00A61609">
      <w:pPr>
        <w:spacing w:after="0"/>
        <w:ind w:left="5040" w:right="-482" w:firstLine="720"/>
        <w:jc w:val="center"/>
        <w:rPr>
          <w:rFonts w:ascii="Tahoma" w:hAnsi="Tahoma" w:cs="Tahoma"/>
          <w:lang w:val="en-US"/>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4"/>
          <w:szCs w:val="24"/>
          <w:lang w:val="en-US" w:bidi="hi-IN"/>
        </w:rPr>
      </w:pPr>
    </w:p>
    <w:p w:rsidR="00786AE2" w:rsidRPr="00786AE2" w:rsidRDefault="00786AE2" w:rsidP="00786AE2">
      <w:pPr>
        <w:autoSpaceDE w:val="0"/>
        <w:autoSpaceDN w:val="0"/>
        <w:adjustRightInd w:val="0"/>
        <w:spacing w:after="0" w:line="240" w:lineRule="auto"/>
        <w:rPr>
          <w:rFonts w:ascii="Times New Roman" w:hAnsi="Times New Roman" w:cs="Times New Roman"/>
          <w:color w:val="000000"/>
          <w:sz w:val="21"/>
          <w:szCs w:val="21"/>
          <w:lang w:val="en-US" w:bidi="hi-IN"/>
        </w:rPr>
      </w:pPr>
      <w:r w:rsidRPr="00786AE2">
        <w:rPr>
          <w:rFonts w:ascii="Times New Roman" w:hAnsi="Times New Roman" w:cs="Times New Roman"/>
          <w:color w:val="000000"/>
          <w:sz w:val="24"/>
          <w:szCs w:val="24"/>
          <w:lang w:val="en-US" w:bidi="hi-IN"/>
        </w:rPr>
        <w:t xml:space="preserve"> </w:t>
      </w:r>
    </w:p>
    <w:p w:rsidR="00752DB9" w:rsidRPr="00786AE2" w:rsidRDefault="00752DB9" w:rsidP="00752DB9">
      <w:pPr>
        <w:pStyle w:val="xmsonormal"/>
        <w:jc w:val="both"/>
        <w:rPr>
          <w:lang w:val="en-IN"/>
        </w:rPr>
      </w:pPr>
      <w:r w:rsidRPr="00786AE2">
        <w:rPr>
          <w:rFonts w:ascii="Verdana" w:hAnsi="Verdana"/>
          <w:lang w:val="en-IN"/>
        </w:rPr>
        <w:t> </w:t>
      </w:r>
    </w:p>
    <w:p w:rsidR="00B30758" w:rsidRDefault="00B30758" w:rsidP="00B30758">
      <w:pPr>
        <w:pStyle w:val="xmsonormal"/>
        <w:spacing w:after="240"/>
        <w:rPr>
          <w:lang w:val="en-IN"/>
        </w:rPr>
      </w:pPr>
    </w:p>
    <w:p w:rsidR="00B30758" w:rsidRDefault="00B30758" w:rsidP="00CE21FD">
      <w:pPr>
        <w:pStyle w:val="Default"/>
      </w:pPr>
    </w:p>
    <w:sectPr w:rsidR="00B30758" w:rsidSect="00B0310B">
      <w:headerReference w:type="default" r:id="rId8"/>
      <w:footerReference w:type="default" r:id="rId9"/>
      <w:pgSz w:w="12240" w:h="15840"/>
      <w:pgMar w:top="142" w:right="1440" w:bottom="36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065C" w:rsidRDefault="00D3065C" w:rsidP="007D431F">
      <w:pPr>
        <w:spacing w:after="0" w:line="240" w:lineRule="auto"/>
      </w:pPr>
      <w:r>
        <w:separator/>
      </w:r>
    </w:p>
  </w:endnote>
  <w:endnote w:type="continuationSeparator" w:id="0">
    <w:p w:rsidR="00D3065C" w:rsidRDefault="00D3065C"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Times New Roman">
    <w:panose1 w:val="02020603050405020304"/>
    <w:charset w:val="00"/>
    <w:family w:val="roman"/>
    <w:pitch w:val="variable"/>
    <w:sig w:usb0="E0002AFF" w:usb1="C0007843" w:usb2="00000009" w:usb3="00000000" w:csb0="000001FF" w:csb1="00000000"/>
  </w:font>
  <w:font w:name="Aptos">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555154"/>
      <w:docPartObj>
        <w:docPartGallery w:val="Page Numbers (Bottom of Page)"/>
        <w:docPartUnique/>
      </w:docPartObj>
    </w:sdtPr>
    <w:sdtEndPr>
      <w:rPr>
        <w:noProof/>
      </w:rPr>
    </w:sdtEndPr>
    <w:sdtContent>
      <w:p w:rsidR="00AC5AA1" w:rsidRDefault="00AC5AA1">
        <w:pPr>
          <w:pStyle w:val="Footer"/>
        </w:pPr>
        <w:r>
          <w:fldChar w:fldCharType="begin"/>
        </w:r>
        <w:r>
          <w:instrText xml:space="preserve"> PAGE   \* MERGEFORMAT </w:instrText>
        </w:r>
        <w:r>
          <w:fldChar w:fldCharType="separate"/>
        </w:r>
        <w:r>
          <w:rPr>
            <w:noProof/>
          </w:rPr>
          <w:t>2</w:t>
        </w:r>
        <w:r>
          <w:rPr>
            <w:noProof/>
          </w:rPr>
          <w:fldChar w:fldCharType="end"/>
        </w:r>
      </w:p>
    </w:sdtContent>
  </w:sdt>
  <w:p w:rsidR="00175E5C" w:rsidRDefault="00175E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065C" w:rsidRDefault="00D3065C" w:rsidP="007D431F">
      <w:pPr>
        <w:spacing w:after="0" w:line="240" w:lineRule="auto"/>
      </w:pPr>
      <w:r>
        <w:separator/>
      </w:r>
    </w:p>
  </w:footnote>
  <w:footnote w:type="continuationSeparator" w:id="0">
    <w:p w:rsidR="00D3065C" w:rsidRDefault="00D3065C"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244DE" w:rsidRDefault="003244DE" w:rsidP="003244DE">
    <w:pPr>
      <w:spacing w:after="0"/>
      <w:ind w:right="-392"/>
      <w:jc w:val="center"/>
      <w:rPr>
        <w:rFonts w:ascii="Tahoma" w:hAnsi="Tahoma" w:cs="Tahoma"/>
        <w:b/>
        <w:lang w:val="en-US"/>
      </w:rPr>
    </w:pPr>
  </w:p>
  <w:p w:rsidR="003244DE" w:rsidRDefault="003244DE" w:rsidP="003244DE">
    <w:pPr>
      <w:spacing w:after="0"/>
      <w:ind w:right="-392"/>
      <w:jc w:val="center"/>
      <w:rPr>
        <w:rFonts w:ascii="Tahoma" w:hAnsi="Tahoma" w:cs="Tahoma"/>
        <w:b/>
        <w:lang w:val="en-US"/>
      </w:rPr>
    </w:pPr>
  </w:p>
  <w:p w:rsidR="003244DE" w:rsidRDefault="003244DE" w:rsidP="003244DE">
    <w:pPr>
      <w:spacing w:after="0"/>
      <w:ind w:right="-392"/>
      <w:jc w:val="center"/>
      <w:rPr>
        <w:rFonts w:ascii="Tahoma" w:hAnsi="Tahoma" w:cs="Tahoma"/>
        <w:b/>
        <w:lang w:val="en-US"/>
      </w:rPr>
    </w:pPr>
  </w:p>
  <w:p w:rsidR="003244DE" w:rsidRDefault="003244DE" w:rsidP="003244DE">
    <w:pPr>
      <w:spacing w:after="0"/>
      <w:ind w:right="-392"/>
      <w:jc w:val="center"/>
      <w:rPr>
        <w:rFonts w:ascii="Tahoma" w:hAnsi="Tahoma" w:cs="Tahoma"/>
        <w:b/>
        <w:lang w:val="en-US"/>
      </w:rPr>
    </w:pPr>
  </w:p>
  <w:p w:rsidR="003244DE" w:rsidRDefault="003244DE" w:rsidP="003244DE">
    <w:pPr>
      <w:spacing w:after="0"/>
      <w:ind w:right="-392"/>
      <w:jc w:val="center"/>
      <w:rPr>
        <w:rFonts w:ascii="Tahoma" w:hAnsi="Tahoma" w:cs="Tahoma"/>
        <w:b/>
        <w:lang w:val="en-US"/>
      </w:rPr>
    </w:pPr>
  </w:p>
  <w:p w:rsidR="003244DE" w:rsidRDefault="003244DE" w:rsidP="003244DE">
    <w:pPr>
      <w:spacing w:after="0"/>
      <w:ind w:right="-392"/>
      <w:jc w:val="center"/>
      <w:rPr>
        <w:rFonts w:ascii="Tahoma" w:hAnsi="Tahoma" w:cs="Tahoma"/>
        <w:b/>
        <w:lang w:val="en-US"/>
      </w:rPr>
    </w:pPr>
  </w:p>
  <w:p w:rsidR="006D5626" w:rsidRDefault="006D5626">
    <w:pPr>
      <w:pStyle w:val="Header"/>
    </w:pPr>
  </w:p>
  <w:p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822A4B"/>
    <w:multiLevelType w:val="hybridMultilevel"/>
    <w:tmpl w:val="A808CA20"/>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30179"/>
    <w:rsid w:val="000D7067"/>
    <w:rsid w:val="001219B6"/>
    <w:rsid w:val="00175E5C"/>
    <w:rsid w:val="00186D1B"/>
    <w:rsid w:val="001E67B6"/>
    <w:rsid w:val="001F48AA"/>
    <w:rsid w:val="002000D1"/>
    <w:rsid w:val="00311C60"/>
    <w:rsid w:val="003244DE"/>
    <w:rsid w:val="0033654B"/>
    <w:rsid w:val="00351734"/>
    <w:rsid w:val="003E3CEB"/>
    <w:rsid w:val="00434E16"/>
    <w:rsid w:val="004505F3"/>
    <w:rsid w:val="004718D5"/>
    <w:rsid w:val="004824A0"/>
    <w:rsid w:val="004A05A9"/>
    <w:rsid w:val="004E7AEE"/>
    <w:rsid w:val="004F3FE8"/>
    <w:rsid w:val="00527C2C"/>
    <w:rsid w:val="00644279"/>
    <w:rsid w:val="006745EB"/>
    <w:rsid w:val="006D5626"/>
    <w:rsid w:val="00752DB9"/>
    <w:rsid w:val="00786AE2"/>
    <w:rsid w:val="007D431F"/>
    <w:rsid w:val="008113A4"/>
    <w:rsid w:val="0087061C"/>
    <w:rsid w:val="008E46F8"/>
    <w:rsid w:val="00936B96"/>
    <w:rsid w:val="00975387"/>
    <w:rsid w:val="0098028D"/>
    <w:rsid w:val="009E497F"/>
    <w:rsid w:val="00A170A6"/>
    <w:rsid w:val="00A4387F"/>
    <w:rsid w:val="00A61609"/>
    <w:rsid w:val="00A831A4"/>
    <w:rsid w:val="00AC5AA1"/>
    <w:rsid w:val="00AD01B1"/>
    <w:rsid w:val="00AE3147"/>
    <w:rsid w:val="00B00A85"/>
    <w:rsid w:val="00B0310B"/>
    <w:rsid w:val="00B30758"/>
    <w:rsid w:val="00B925AC"/>
    <w:rsid w:val="00BA37C1"/>
    <w:rsid w:val="00BB181A"/>
    <w:rsid w:val="00BE0D47"/>
    <w:rsid w:val="00C04201"/>
    <w:rsid w:val="00C40F0B"/>
    <w:rsid w:val="00C92B4F"/>
    <w:rsid w:val="00CE21FD"/>
    <w:rsid w:val="00D0096A"/>
    <w:rsid w:val="00D3065C"/>
    <w:rsid w:val="00DF6F58"/>
    <w:rsid w:val="00E54322"/>
    <w:rsid w:val="00EC1DB8"/>
    <w:rsid w:val="00EE2190"/>
    <w:rsid w:val="00F649F3"/>
    <w:rsid w:val="00F6518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BalloonText">
    <w:name w:val="Balloon Text"/>
    <w:basedOn w:val="Normal"/>
    <w:link w:val="BalloonTextChar"/>
    <w:uiPriority w:val="99"/>
    <w:semiHidden/>
    <w:unhideWhenUsed/>
    <w:rsid w:val="001219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19B6"/>
    <w:rPr>
      <w:rFonts w:ascii="Segoe UI" w:hAnsi="Segoe UI" w:cs="Segoe UI"/>
      <w:sz w:val="18"/>
      <w:szCs w:val="18"/>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723945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B4FCE6-7B4B-4DBB-BED8-5ECA866DB1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1010</Words>
  <Characters>5761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2</cp:revision>
  <cp:lastPrinted>2026-01-28T12:50:00Z</cp:lastPrinted>
  <dcterms:created xsi:type="dcterms:W3CDTF">2026-02-19T05:57:00Z</dcterms:created>
  <dcterms:modified xsi:type="dcterms:W3CDTF">2026-02-19T05:57:00Z</dcterms:modified>
</cp:coreProperties>
</file>