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DA3ED5" w14:textId="4EFCEC01" w:rsidR="00873285" w:rsidRDefault="00873285" w:rsidP="00903A70">
      <w:pPr>
        <w:spacing w:after="160" w:line="278" w:lineRule="auto"/>
        <w:ind w:right="-421"/>
        <w:jc w:val="center"/>
        <w:rPr>
          <w:rFonts w:ascii="Tahoma" w:eastAsia="Aptos" w:hAnsi="Tahoma" w:cs="Tahoma"/>
          <w:b/>
          <w:bCs/>
          <w:color w:val="000000" w:themeColor="text1"/>
          <w:kern w:val="2"/>
          <w:u w:val="single"/>
          <w:lang w:bidi="hi-IN"/>
          <w14:ligatures w14:val="standardContextual"/>
        </w:rPr>
      </w:pPr>
      <w:r w:rsidRPr="00873285">
        <w:rPr>
          <w:rFonts w:ascii="Tahoma" w:eastAsia="Aptos" w:hAnsi="Tahoma" w:cs="Tahoma"/>
          <w:b/>
          <w:bCs/>
          <w:color w:val="000000" w:themeColor="text1"/>
          <w:kern w:val="2"/>
          <w:u w:val="single"/>
          <w:lang w:bidi="hi-IN"/>
          <w14:ligatures w14:val="standardContextual"/>
        </w:rPr>
        <w:t>Annexure-I</w:t>
      </w:r>
    </w:p>
    <w:p w14:paraId="57F6D36E" w14:textId="331A0079" w:rsidR="00903A70" w:rsidRDefault="00903A70" w:rsidP="00903A70">
      <w:pPr>
        <w:spacing w:after="160" w:line="278" w:lineRule="auto"/>
        <w:ind w:right="-421"/>
        <w:jc w:val="center"/>
        <w:rPr>
          <w:rFonts w:ascii="Tahoma" w:eastAsia="Aptos" w:hAnsi="Tahoma" w:cs="Tahoma"/>
          <w:b/>
          <w:bCs/>
          <w:color w:val="000000" w:themeColor="text1"/>
          <w:kern w:val="2"/>
          <w:u w:val="single"/>
          <w:lang w:bidi="hi-IN"/>
          <w14:ligatures w14:val="standardContextual"/>
        </w:rPr>
      </w:pPr>
    </w:p>
    <w:p w14:paraId="2E8D5CDB" w14:textId="60420A17" w:rsidR="00873285" w:rsidRPr="00D44C53" w:rsidRDefault="00873285" w:rsidP="00873285">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OIL has been aggressively taking up the exploration and production activities in line with the </w:t>
      </w:r>
      <w:proofErr w:type="spellStart"/>
      <w:r w:rsidRPr="00D44C53">
        <w:rPr>
          <w:rFonts w:ascii="Tahoma" w:eastAsia="Aptos" w:hAnsi="Tahoma" w:cs="Tahoma"/>
          <w:color w:val="000000" w:themeColor="text1"/>
          <w:kern w:val="2"/>
          <w:lang w:bidi="hi-IN"/>
          <w14:ligatures w14:val="standardContextual"/>
        </w:rPr>
        <w:t>GoI</w:t>
      </w:r>
      <w:proofErr w:type="spellEnd"/>
      <w:r w:rsidRPr="00D44C53">
        <w:rPr>
          <w:rFonts w:ascii="Tahoma" w:eastAsia="Aptos" w:hAnsi="Tahoma" w:cs="Tahoma"/>
          <w:color w:val="000000" w:themeColor="text1"/>
          <w:kern w:val="2"/>
          <w:lang w:bidi="hi-IN"/>
          <w14:ligatures w14:val="standardContextual"/>
        </w:rPr>
        <w:t xml:space="preserve"> initiatives to reduce India’s dependence on imports</w:t>
      </w:r>
      <w:r w:rsidR="004C5B32">
        <w:rPr>
          <w:rFonts w:ascii="Tahoma" w:eastAsia="Aptos" w:hAnsi="Tahoma" w:cs="Tahoma"/>
          <w:color w:val="000000" w:themeColor="text1"/>
          <w:kern w:val="2"/>
          <w:lang w:bidi="hi-IN"/>
          <w14:ligatures w14:val="standardContextual"/>
        </w:rPr>
        <w:t xml:space="preserve"> </w:t>
      </w:r>
      <w:proofErr w:type="spellStart"/>
      <w:r w:rsidR="004C5B32">
        <w:rPr>
          <w:rFonts w:ascii="Tahoma" w:eastAsia="Aptos" w:hAnsi="Tahoma" w:cs="Tahoma"/>
          <w:color w:val="000000" w:themeColor="text1"/>
          <w:kern w:val="2"/>
          <w:lang w:bidi="hi-IN"/>
          <w14:ligatures w14:val="standardContextual"/>
        </w:rPr>
        <w:t>if</w:t>
      </w:r>
      <w:proofErr w:type="spellEnd"/>
      <w:r w:rsidR="004C5B32">
        <w:rPr>
          <w:rFonts w:ascii="Tahoma" w:eastAsia="Aptos" w:hAnsi="Tahoma" w:cs="Tahoma"/>
          <w:color w:val="000000" w:themeColor="text1"/>
          <w:kern w:val="2"/>
          <w:lang w:bidi="hi-IN"/>
          <w14:ligatures w14:val="standardContextual"/>
        </w:rPr>
        <w:t xml:space="preserve"> crude oil and na</w:t>
      </w:r>
      <w:r w:rsidR="00B77F0E">
        <w:rPr>
          <w:rFonts w:ascii="Tahoma" w:eastAsia="Aptos" w:hAnsi="Tahoma" w:cs="Tahoma"/>
          <w:color w:val="000000" w:themeColor="text1"/>
          <w:kern w:val="2"/>
          <w:lang w:bidi="hi-IN"/>
          <w14:ligatures w14:val="standardContextual"/>
        </w:rPr>
        <w:t>tural gas</w:t>
      </w:r>
      <w:r w:rsidRPr="00D44C53">
        <w:rPr>
          <w:rFonts w:ascii="Tahoma" w:eastAsia="Aptos" w:hAnsi="Tahoma" w:cs="Tahoma"/>
          <w:color w:val="000000" w:themeColor="text1"/>
          <w:kern w:val="2"/>
          <w:lang w:bidi="hi-IN"/>
          <w14:ligatures w14:val="standardContextual"/>
        </w:rPr>
        <w:t>.</w:t>
      </w:r>
    </w:p>
    <w:p w14:paraId="00300D10" w14:textId="77777777" w:rsidR="00873285" w:rsidRPr="00D44C53" w:rsidRDefault="00873285" w:rsidP="00873285">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OIL has achieved a quantum jump in its acreages after the implementation of HELP and presently holds 92,888 sq. km acreages across various regimes divided into 62 blocks across the nation including offshore blocks.</w:t>
      </w:r>
    </w:p>
    <w:p w14:paraId="4E71C793" w14:textId="77777777" w:rsidR="00873285" w:rsidRPr="00D44C53" w:rsidRDefault="00873285" w:rsidP="00873285">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OIL is currently carrying out domestic E&amp;P activities in a total of 62 nos. of operated acreages. These include 25 nomination Petroleum Mining Leases (21 in Assam, 2 in Arunachal Pradesh and 2 in Rajasthan), 1 Nomination Petroleum Exploration License (PEL) in Arunachal Pradesh, 1 NELP Block in Assam, 31 OALP Blocks (12 in Assam &amp; AP, 1 in Nagaland, 1 in Meghalaya, 3 in Tripura, 3 in Rajasthan, 1 in Gujarat, 4 in Mahanadi &amp; 2 in Mahanadi Ultradeep Offshore, 2 in Andaman shallow offshore, 1 in Kerala Konkan shallow offshore, 2 in KG Ultradeep Offshore) and 3 Discovered Small field (DSF) Blocks (1 each in Tripura, Rajasthan and in KG Shallow Offshore). The total operating acreages cover an area of 92,888 sq.km. Apart from this, there is a non-operating acreage to the tune of 14,776 sq.km spread across 7 blocks. As of 31th Oct 2025, OIL drilled 17 wells in OALP blocks including 2 offshore wells and established the presence of hydrocarbon in three blocks.</w:t>
      </w:r>
    </w:p>
    <w:p w14:paraId="7E02250C" w14:textId="77777777" w:rsidR="00873285" w:rsidRPr="00D44C53" w:rsidRDefault="00873285" w:rsidP="00873285">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To drive future growth and enhance production, OIL’s key endeavours can be broadly summarized as follows:</w:t>
      </w:r>
    </w:p>
    <w:p w14:paraId="335432FF" w14:textId="77777777" w:rsidR="00873285" w:rsidRPr="00D44C53" w:rsidRDefault="00873285" w:rsidP="00873285">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w:t>
      </w:r>
      <w:r w:rsidRPr="00D44C53">
        <w:rPr>
          <w:rFonts w:ascii="Tahoma" w:eastAsia="Aptos" w:hAnsi="Tahoma" w:cs="Tahoma"/>
          <w:color w:val="000000" w:themeColor="text1"/>
          <w:kern w:val="2"/>
          <w:lang w:bidi="hi-IN"/>
          <w14:ligatures w14:val="standardContextual"/>
        </w:rPr>
        <w:tab/>
      </w:r>
      <w:r w:rsidRPr="00D44C53">
        <w:rPr>
          <w:rFonts w:ascii="Tahoma" w:eastAsia="Aptos" w:hAnsi="Tahoma" w:cs="Tahoma"/>
          <w:b/>
          <w:bCs/>
          <w:color w:val="000000" w:themeColor="text1"/>
          <w:kern w:val="2"/>
          <w:lang w:bidi="hi-IN"/>
          <w14:ligatures w14:val="standardContextual"/>
        </w:rPr>
        <w:t>Enhancing Production Targets</w:t>
      </w:r>
      <w:r w:rsidRPr="00D44C53">
        <w:rPr>
          <w:rFonts w:ascii="Tahoma" w:eastAsia="Aptos" w:hAnsi="Tahoma" w:cs="Tahoma"/>
          <w:color w:val="000000" w:themeColor="text1"/>
          <w:kern w:val="2"/>
          <w:lang w:bidi="hi-IN"/>
          <w14:ligatures w14:val="standardContextual"/>
        </w:rPr>
        <w:t>: One of OIL’s major visions for the coming years is to increase production from the current level of 3 MMT to over 4 MMT. To achieve this, OIL has planned extensive field development activities in its nominated blocks, 32 active Open Acreage Licensing Policy (OALP) blocks covering 92,888 sq.km, and three Discovered Small Fields (DSF) spanning 208 sq. km. These efforts aim to intensify exploration and development programs across the country.</w:t>
      </w:r>
    </w:p>
    <w:p w14:paraId="4035415F" w14:textId="77777777" w:rsidR="00873285" w:rsidRPr="00D44C53" w:rsidRDefault="00873285" w:rsidP="00873285">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w:t>
      </w:r>
      <w:r w:rsidRPr="00D44C53">
        <w:rPr>
          <w:rFonts w:ascii="Tahoma" w:eastAsia="Aptos" w:hAnsi="Tahoma" w:cs="Tahoma"/>
          <w:color w:val="000000" w:themeColor="text1"/>
          <w:kern w:val="2"/>
          <w:lang w:bidi="hi-IN"/>
          <w14:ligatures w14:val="standardContextual"/>
        </w:rPr>
        <w:tab/>
      </w:r>
      <w:r w:rsidRPr="00D44C53">
        <w:rPr>
          <w:rFonts w:ascii="Tahoma" w:eastAsia="Aptos" w:hAnsi="Tahoma" w:cs="Tahoma"/>
          <w:b/>
          <w:bCs/>
          <w:color w:val="000000" w:themeColor="text1"/>
          <w:kern w:val="2"/>
          <w:lang w:bidi="hi-IN"/>
          <w14:ligatures w14:val="standardContextual"/>
        </w:rPr>
        <w:t>Accelerated Exploration and Redevelopment</w:t>
      </w:r>
      <w:r w:rsidRPr="00D44C53">
        <w:rPr>
          <w:rFonts w:ascii="Tahoma" w:eastAsia="Aptos" w:hAnsi="Tahoma" w:cs="Tahoma"/>
          <w:color w:val="000000" w:themeColor="text1"/>
          <w:kern w:val="2"/>
          <w:lang w:bidi="hi-IN"/>
          <w14:ligatures w14:val="standardContextual"/>
        </w:rPr>
        <w:t>: OIL is fast-tracking exploration and redevelopment activities, including fields in Arunachal Pradesh. Recently, the company successfully acquired 51,555 sq. km of exploration acreage, including 10,965 sq. km in collaboration with ONGC. Additionally, OIL achieved a significant milestone by drilling 57 wells in FY 2024-25 and taking steps to increase the wells drilled in FY25-26.</w:t>
      </w:r>
    </w:p>
    <w:p w14:paraId="5619A018" w14:textId="77777777" w:rsidR="00873285" w:rsidRPr="00D44C53" w:rsidRDefault="00873285" w:rsidP="00873285">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w:t>
      </w:r>
      <w:r w:rsidRPr="00D44C53">
        <w:rPr>
          <w:rFonts w:ascii="Tahoma" w:eastAsia="Aptos" w:hAnsi="Tahoma" w:cs="Tahoma"/>
          <w:color w:val="000000" w:themeColor="text1"/>
          <w:kern w:val="2"/>
          <w:lang w:bidi="hi-IN"/>
          <w14:ligatures w14:val="standardContextual"/>
        </w:rPr>
        <w:tab/>
      </w:r>
      <w:r w:rsidRPr="00D44C53">
        <w:rPr>
          <w:rFonts w:ascii="Tahoma" w:eastAsia="Aptos" w:hAnsi="Tahoma" w:cs="Tahoma"/>
          <w:b/>
          <w:bCs/>
          <w:color w:val="000000" w:themeColor="text1"/>
          <w:kern w:val="2"/>
          <w:lang w:bidi="hi-IN"/>
          <w14:ligatures w14:val="standardContextual"/>
        </w:rPr>
        <w:t>Focused Development Areas</w:t>
      </w:r>
      <w:r w:rsidRPr="00D44C53">
        <w:rPr>
          <w:rFonts w:ascii="Tahoma" w:eastAsia="Aptos" w:hAnsi="Tahoma" w:cs="Tahoma"/>
          <w:color w:val="000000" w:themeColor="text1"/>
          <w:kern w:val="2"/>
          <w:lang w:bidi="hi-IN"/>
          <w14:ligatures w14:val="standardContextual"/>
        </w:rPr>
        <w:t>: The company has identified several key areas for fast-track development, which are expected to substantially enhance production levels in the near future.</w:t>
      </w:r>
    </w:p>
    <w:p w14:paraId="301F969B" w14:textId="77777777" w:rsidR="00873285" w:rsidRPr="00D44C53" w:rsidRDefault="00873285" w:rsidP="00873285">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w:t>
      </w:r>
      <w:r w:rsidRPr="00D44C53">
        <w:rPr>
          <w:rFonts w:ascii="Tahoma" w:eastAsia="Aptos" w:hAnsi="Tahoma" w:cs="Tahoma"/>
          <w:color w:val="000000" w:themeColor="text1"/>
          <w:kern w:val="2"/>
          <w:lang w:bidi="hi-IN"/>
          <w14:ligatures w14:val="standardContextual"/>
        </w:rPr>
        <w:tab/>
      </w:r>
      <w:r w:rsidRPr="00D44C53">
        <w:rPr>
          <w:rFonts w:ascii="Tahoma" w:eastAsia="Aptos" w:hAnsi="Tahoma" w:cs="Tahoma"/>
          <w:b/>
          <w:bCs/>
          <w:color w:val="000000" w:themeColor="text1"/>
          <w:kern w:val="2"/>
          <w:lang w:bidi="hi-IN"/>
          <w14:ligatures w14:val="standardContextual"/>
        </w:rPr>
        <w:t>Advanced Recovery Techniques</w:t>
      </w:r>
      <w:r w:rsidRPr="00D44C53">
        <w:rPr>
          <w:rFonts w:ascii="Tahoma" w:eastAsia="Aptos" w:hAnsi="Tahoma" w:cs="Tahoma"/>
          <w:color w:val="000000" w:themeColor="text1"/>
          <w:kern w:val="2"/>
          <w:lang w:bidi="hi-IN"/>
          <w14:ligatures w14:val="standardContextual"/>
        </w:rPr>
        <w:t>: To maximize recovery from its mature fields in the Upper Assam Basin, OIL continues to implement water injection techniques and other IOR (Improved Oil Recovery) and EOR (Enhanced Oil Recovery) technologies.</w:t>
      </w:r>
    </w:p>
    <w:p w14:paraId="46E182A3" w14:textId="77777777" w:rsidR="00873285" w:rsidRPr="00D44C53" w:rsidRDefault="00873285" w:rsidP="00873285">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w:t>
      </w:r>
      <w:r w:rsidRPr="00D44C53">
        <w:rPr>
          <w:rFonts w:ascii="Tahoma" w:eastAsia="Aptos" w:hAnsi="Tahoma" w:cs="Tahoma"/>
          <w:color w:val="000000" w:themeColor="text1"/>
          <w:kern w:val="2"/>
          <w:lang w:bidi="hi-IN"/>
          <w14:ligatures w14:val="standardContextual"/>
        </w:rPr>
        <w:tab/>
      </w:r>
      <w:r w:rsidRPr="00D44C53">
        <w:rPr>
          <w:rFonts w:ascii="Tahoma" w:eastAsia="Aptos" w:hAnsi="Tahoma" w:cs="Tahoma"/>
          <w:b/>
          <w:bCs/>
          <w:color w:val="000000" w:themeColor="text1"/>
          <w:kern w:val="2"/>
          <w:lang w:bidi="hi-IN"/>
          <w14:ligatures w14:val="standardContextual"/>
        </w:rPr>
        <w:t>Adopting Innovative Technologies</w:t>
      </w:r>
      <w:r w:rsidRPr="00D44C53">
        <w:rPr>
          <w:rFonts w:ascii="Tahoma" w:eastAsia="Aptos" w:hAnsi="Tahoma" w:cs="Tahoma"/>
          <w:color w:val="000000" w:themeColor="text1"/>
          <w:kern w:val="2"/>
          <w:lang w:bidi="hi-IN"/>
          <w14:ligatures w14:val="standardContextual"/>
        </w:rPr>
        <w:t>: OIL is actively deploying fit-for-purpose technologies to improve production efficiency and optimize operations.</w:t>
      </w:r>
    </w:p>
    <w:p w14:paraId="545D883F" w14:textId="77777777" w:rsidR="00873285" w:rsidRPr="00D44C53" w:rsidRDefault="00873285" w:rsidP="00873285">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lastRenderedPageBreak/>
        <w:t>•</w:t>
      </w:r>
      <w:r w:rsidRPr="00D44C53">
        <w:rPr>
          <w:rFonts w:ascii="Tahoma" w:eastAsia="Aptos" w:hAnsi="Tahoma" w:cs="Tahoma"/>
          <w:color w:val="000000" w:themeColor="text1"/>
          <w:kern w:val="2"/>
          <w:lang w:bidi="hi-IN"/>
          <w14:ligatures w14:val="standardContextual"/>
        </w:rPr>
        <w:tab/>
      </w:r>
      <w:r w:rsidRPr="00D44C53">
        <w:rPr>
          <w:rFonts w:ascii="Tahoma" w:eastAsia="Aptos" w:hAnsi="Tahoma" w:cs="Tahoma"/>
          <w:b/>
          <w:bCs/>
          <w:color w:val="000000" w:themeColor="text1"/>
          <w:kern w:val="2"/>
          <w:lang w:bidi="hi-IN"/>
          <w14:ligatures w14:val="standardContextual"/>
        </w:rPr>
        <w:t>Collaborative Efforts</w:t>
      </w:r>
      <w:r w:rsidRPr="00D44C53">
        <w:rPr>
          <w:rFonts w:ascii="Tahoma" w:eastAsia="Aptos" w:hAnsi="Tahoma" w:cs="Tahoma"/>
          <w:color w:val="000000" w:themeColor="text1"/>
          <w:kern w:val="2"/>
          <w:lang w:bidi="hi-IN"/>
          <w14:ligatures w14:val="standardContextual"/>
        </w:rPr>
        <w:t>: OIL is collaborating with national and international institutions and industry leaders to leverage expertise and resources for enhanced exploration and production activities.</w:t>
      </w:r>
    </w:p>
    <w:p w14:paraId="2340BB58" w14:textId="77777777" w:rsidR="00873285" w:rsidRPr="00D44C53" w:rsidRDefault="00873285" w:rsidP="00873285">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In addition to these initiatives, OIL is implementing a comprehensive strategy comprising short-, mid-, and long-term measures for enhancement of crude oil production as detailed below:</w:t>
      </w:r>
    </w:p>
    <w:p w14:paraId="055FEC60" w14:textId="77777777" w:rsidR="00873285" w:rsidRPr="00D44C53" w:rsidRDefault="00873285" w:rsidP="00873285">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w:t>
      </w:r>
      <w:r w:rsidRPr="00D44C53">
        <w:rPr>
          <w:rFonts w:ascii="Tahoma" w:eastAsia="Aptos" w:hAnsi="Tahoma" w:cs="Tahoma"/>
          <w:color w:val="000000" w:themeColor="text1"/>
          <w:kern w:val="2"/>
          <w:lang w:bidi="hi-IN"/>
          <w14:ligatures w14:val="standardContextual"/>
        </w:rPr>
        <w:tab/>
      </w:r>
      <w:r w:rsidRPr="00D44C53">
        <w:rPr>
          <w:rFonts w:ascii="Tahoma" w:eastAsia="Aptos" w:hAnsi="Tahoma" w:cs="Tahoma"/>
          <w:b/>
          <w:bCs/>
          <w:color w:val="000000" w:themeColor="text1"/>
          <w:kern w:val="2"/>
          <w:lang w:bidi="hi-IN"/>
          <w14:ligatures w14:val="standardContextual"/>
        </w:rPr>
        <w:t>Short-term Measures</w:t>
      </w:r>
      <w:r w:rsidRPr="00D44C53">
        <w:rPr>
          <w:rFonts w:ascii="Tahoma" w:eastAsia="Aptos" w:hAnsi="Tahoma" w:cs="Tahoma"/>
          <w:color w:val="000000" w:themeColor="text1"/>
          <w:kern w:val="2"/>
          <w:lang w:bidi="hi-IN"/>
          <w14:ligatures w14:val="standardContextual"/>
        </w:rPr>
        <w:t>: These include well intervention activities and the immediate induction of new technologies to address operational challenges.</w:t>
      </w:r>
    </w:p>
    <w:p w14:paraId="4BFBC457" w14:textId="77777777" w:rsidR="00873285" w:rsidRPr="00D44C53" w:rsidRDefault="00873285" w:rsidP="00873285">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w:t>
      </w:r>
      <w:r w:rsidRPr="00D44C53">
        <w:rPr>
          <w:rFonts w:ascii="Tahoma" w:eastAsia="Aptos" w:hAnsi="Tahoma" w:cs="Tahoma"/>
          <w:color w:val="000000" w:themeColor="text1"/>
          <w:kern w:val="2"/>
          <w:lang w:bidi="hi-IN"/>
          <w14:ligatures w14:val="standardContextual"/>
        </w:rPr>
        <w:tab/>
      </w:r>
      <w:r w:rsidRPr="00D44C53">
        <w:rPr>
          <w:rFonts w:ascii="Tahoma" w:eastAsia="Aptos" w:hAnsi="Tahoma" w:cs="Tahoma"/>
          <w:b/>
          <w:bCs/>
          <w:color w:val="000000" w:themeColor="text1"/>
          <w:kern w:val="2"/>
          <w:lang w:bidi="hi-IN"/>
          <w14:ligatures w14:val="standardContextual"/>
        </w:rPr>
        <w:t>Mid-term Measures</w:t>
      </w:r>
      <w:r w:rsidRPr="00D44C53">
        <w:rPr>
          <w:rFonts w:ascii="Tahoma" w:eastAsia="Aptos" w:hAnsi="Tahoma" w:cs="Tahoma"/>
          <w:color w:val="000000" w:themeColor="text1"/>
          <w:kern w:val="2"/>
          <w:lang w:bidi="hi-IN"/>
          <w14:ligatures w14:val="standardContextual"/>
        </w:rPr>
        <w:t>: Creation of surface facilities to remove bottlenecks and facilitate smoother production processes.</w:t>
      </w:r>
    </w:p>
    <w:p w14:paraId="14A8108E" w14:textId="77777777" w:rsidR="00873285" w:rsidRPr="00D44C53" w:rsidRDefault="00873285" w:rsidP="00873285">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w:t>
      </w:r>
      <w:r w:rsidRPr="00D44C53">
        <w:rPr>
          <w:rFonts w:ascii="Tahoma" w:eastAsia="Aptos" w:hAnsi="Tahoma" w:cs="Tahoma"/>
          <w:color w:val="000000" w:themeColor="text1"/>
          <w:kern w:val="2"/>
          <w:lang w:bidi="hi-IN"/>
          <w14:ligatures w14:val="standardContextual"/>
        </w:rPr>
        <w:tab/>
      </w:r>
      <w:r w:rsidRPr="00D44C53">
        <w:rPr>
          <w:rFonts w:ascii="Tahoma" w:eastAsia="Aptos" w:hAnsi="Tahoma" w:cs="Tahoma"/>
          <w:b/>
          <w:bCs/>
          <w:color w:val="000000" w:themeColor="text1"/>
          <w:kern w:val="2"/>
          <w:lang w:bidi="hi-IN"/>
          <w14:ligatures w14:val="standardContextual"/>
        </w:rPr>
        <w:t>Long-term Measures</w:t>
      </w:r>
      <w:r w:rsidRPr="00D44C53">
        <w:rPr>
          <w:rFonts w:ascii="Tahoma" w:eastAsia="Aptos" w:hAnsi="Tahoma" w:cs="Tahoma"/>
          <w:color w:val="000000" w:themeColor="text1"/>
          <w:kern w:val="2"/>
          <w:lang w:bidi="hi-IN"/>
          <w14:ligatures w14:val="standardContextual"/>
        </w:rPr>
        <w:t>: Maximizing recovery from mature fields through advanced IOR/EOR techniques.</w:t>
      </w:r>
    </w:p>
    <w:p w14:paraId="371EAEBD" w14:textId="77777777" w:rsidR="00070C51" w:rsidRDefault="00070C51">
      <w:bookmarkStart w:id="0" w:name="_GoBack"/>
      <w:bookmarkEnd w:id="0"/>
    </w:p>
    <w:sectPr w:rsidR="00070C51" w:rsidSect="00873285">
      <w:headerReference w:type="default" r:id="rId7"/>
      <w:footerReference w:type="default" r:id="rId8"/>
      <w:pgSz w:w="12240" w:h="15840"/>
      <w:pgMar w:top="568" w:right="1440" w:bottom="993"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367A2E" w14:textId="77777777" w:rsidR="00D8200A" w:rsidRDefault="00D8200A" w:rsidP="00873285">
      <w:pPr>
        <w:spacing w:after="0" w:line="240" w:lineRule="auto"/>
      </w:pPr>
      <w:r>
        <w:separator/>
      </w:r>
    </w:p>
  </w:endnote>
  <w:endnote w:type="continuationSeparator" w:id="0">
    <w:p w14:paraId="7544F5C2" w14:textId="77777777" w:rsidR="00D8200A" w:rsidRDefault="00D8200A" w:rsidP="008732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32921839"/>
      <w:docPartObj>
        <w:docPartGallery w:val="Page Numbers (Bottom of Page)"/>
        <w:docPartUnique/>
      </w:docPartObj>
    </w:sdtPr>
    <w:sdtEndPr>
      <w:rPr>
        <w:noProof/>
      </w:rPr>
    </w:sdtEndPr>
    <w:sdtContent>
      <w:p w14:paraId="09D6F59C" w14:textId="087713DF" w:rsidR="000250AF" w:rsidRDefault="000250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342CE3" w14:textId="77777777" w:rsidR="000250AF" w:rsidRDefault="000250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8BB339" w14:textId="77777777" w:rsidR="00D8200A" w:rsidRDefault="00D8200A" w:rsidP="00873285">
      <w:pPr>
        <w:spacing w:after="0" w:line="240" w:lineRule="auto"/>
      </w:pPr>
      <w:r>
        <w:separator/>
      </w:r>
    </w:p>
  </w:footnote>
  <w:footnote w:type="continuationSeparator" w:id="0">
    <w:p w14:paraId="67F792A4" w14:textId="77777777" w:rsidR="00D8200A" w:rsidRDefault="00D8200A" w:rsidP="008732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8E2CB6" w14:textId="77777777" w:rsidR="000250AF" w:rsidRDefault="000250AF" w:rsidP="000250AF">
    <w:pPr>
      <w:spacing w:after="0"/>
      <w:ind w:right="-392"/>
      <w:rPr>
        <w:rFonts w:ascii="Tahoma" w:hAnsi="Tahoma" w:cs="Tahoma"/>
        <w:b/>
        <w:lang w:val="en-US"/>
      </w:rPr>
    </w:pPr>
  </w:p>
  <w:p w14:paraId="68F3A76C" w14:textId="7C753D54" w:rsidR="000250AF" w:rsidRPr="00535368" w:rsidRDefault="000250AF" w:rsidP="000250AF">
    <w:pPr>
      <w:spacing w:after="0"/>
      <w:ind w:right="-392"/>
      <w:rPr>
        <w:rFonts w:ascii="Tahoma" w:hAnsi="Tahoma" w:cs="Tahoma"/>
        <w:b/>
        <w:lang w:val="en-US"/>
      </w:rPr>
    </w:pPr>
    <w:r w:rsidRPr="00535368">
      <w:rPr>
        <w:rFonts w:ascii="Tahoma" w:hAnsi="Tahoma" w:cs="Tahoma"/>
        <w:b/>
        <w:lang w:val="en-US"/>
      </w:rPr>
      <w:t>OIL/PLNG/54/2/1/2026/</w:t>
    </w:r>
    <w:r>
      <w:rPr>
        <w:rFonts w:ascii="Tahoma" w:hAnsi="Tahoma" w:cs="Tahoma"/>
        <w:b/>
        <w:lang w:val="en-US"/>
      </w:rPr>
      <w:t>40</w:t>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t xml:space="preserve">             </w:t>
    </w:r>
    <w:r>
      <w:rPr>
        <w:rFonts w:ascii="Tahoma" w:hAnsi="Tahoma" w:cs="Tahoma"/>
        <w:b/>
        <w:lang w:val="en-US"/>
      </w:rPr>
      <w:t xml:space="preserve">     </w:t>
    </w:r>
    <w:r>
      <w:rPr>
        <w:rFonts w:ascii="Tahoma" w:hAnsi="Tahoma" w:cs="Tahoma"/>
        <w:b/>
        <w:lang w:val="en-US"/>
      </w:rPr>
      <w:t xml:space="preserve"> 2</w:t>
    </w:r>
    <w:r w:rsidRPr="000250AF">
      <w:rPr>
        <w:rFonts w:ascii="Tahoma" w:hAnsi="Tahoma" w:cs="Tahoma"/>
        <w:b/>
        <w:vertAlign w:val="superscript"/>
        <w:lang w:val="en-US"/>
      </w:rPr>
      <w:t>nd</w:t>
    </w:r>
    <w:r>
      <w:rPr>
        <w:rFonts w:ascii="Tahoma" w:hAnsi="Tahoma" w:cs="Tahoma"/>
        <w:b/>
        <w:lang w:val="en-US"/>
      </w:rPr>
      <w:t xml:space="preserve"> March</w:t>
    </w:r>
    <w:r w:rsidRPr="00535368">
      <w:rPr>
        <w:rFonts w:ascii="Tahoma" w:hAnsi="Tahoma" w:cs="Tahoma"/>
        <w:b/>
        <w:lang w:val="en-US"/>
      </w:rPr>
      <w:t>, 2026</w:t>
    </w:r>
  </w:p>
  <w:p w14:paraId="37B716F8" w14:textId="606D7332" w:rsidR="000250AF" w:rsidRDefault="000250AF">
    <w:pPr>
      <w:pStyle w:val="Header"/>
    </w:pPr>
  </w:p>
  <w:p w14:paraId="6E7057CE" w14:textId="77777777" w:rsidR="001B12ED" w:rsidRDefault="001B12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9417629"/>
    <w:multiLevelType w:val="hybridMultilevel"/>
    <w:tmpl w:val="A808CA2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14F"/>
    <w:rsid w:val="000250AF"/>
    <w:rsid w:val="00070C51"/>
    <w:rsid w:val="001B12ED"/>
    <w:rsid w:val="0021514F"/>
    <w:rsid w:val="004371BE"/>
    <w:rsid w:val="004C5B32"/>
    <w:rsid w:val="004E7202"/>
    <w:rsid w:val="00710E02"/>
    <w:rsid w:val="00873285"/>
    <w:rsid w:val="00903A70"/>
    <w:rsid w:val="00B77F0E"/>
    <w:rsid w:val="00C27E39"/>
    <w:rsid w:val="00D56529"/>
    <w:rsid w:val="00D8200A"/>
    <w:rsid w:val="00EA0BF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2F9BA8"/>
  <w15:chartTrackingRefBased/>
  <w15:docId w15:val="{5F0DED79-7075-4BEE-B33E-2562C9A3E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73285"/>
    <w:pPr>
      <w:spacing w:after="200" w:line="276" w:lineRule="auto"/>
    </w:pPr>
    <w:rPr>
      <w:kern w:val="0"/>
      <w14:ligatures w14:val="none"/>
    </w:rPr>
  </w:style>
  <w:style w:type="paragraph" w:styleId="Heading1">
    <w:name w:val="heading 1"/>
    <w:basedOn w:val="Normal"/>
    <w:next w:val="Normal"/>
    <w:link w:val="Heading1Char"/>
    <w:uiPriority w:val="9"/>
    <w:qFormat/>
    <w:rsid w:val="002151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1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1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1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1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1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1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1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1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1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14F"/>
    <w:rPr>
      <w:rFonts w:eastAsiaTheme="majorEastAsia" w:cstheme="majorBidi"/>
      <w:color w:val="272727" w:themeColor="text1" w:themeTint="D8"/>
    </w:rPr>
  </w:style>
  <w:style w:type="paragraph" w:styleId="Title">
    <w:name w:val="Title"/>
    <w:basedOn w:val="Normal"/>
    <w:next w:val="Normal"/>
    <w:link w:val="TitleChar"/>
    <w:uiPriority w:val="10"/>
    <w:qFormat/>
    <w:rsid w:val="00215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14F"/>
    <w:pPr>
      <w:spacing w:before="160"/>
      <w:jc w:val="center"/>
    </w:pPr>
    <w:rPr>
      <w:i/>
      <w:iCs/>
      <w:color w:val="404040" w:themeColor="text1" w:themeTint="BF"/>
    </w:rPr>
  </w:style>
  <w:style w:type="character" w:customStyle="1" w:styleId="QuoteChar">
    <w:name w:val="Quote Char"/>
    <w:basedOn w:val="DefaultParagraphFont"/>
    <w:link w:val="Quote"/>
    <w:uiPriority w:val="29"/>
    <w:rsid w:val="0021514F"/>
    <w:rPr>
      <w:i/>
      <w:iCs/>
      <w:color w:val="404040" w:themeColor="text1" w:themeTint="BF"/>
    </w:rPr>
  </w:style>
  <w:style w:type="paragraph" w:styleId="ListParagraph">
    <w:name w:val="List Paragraph"/>
    <w:basedOn w:val="Normal"/>
    <w:uiPriority w:val="34"/>
    <w:qFormat/>
    <w:rsid w:val="0021514F"/>
    <w:pPr>
      <w:ind w:left="720"/>
      <w:contextualSpacing/>
    </w:pPr>
  </w:style>
  <w:style w:type="character" w:styleId="IntenseEmphasis">
    <w:name w:val="Intense Emphasis"/>
    <w:basedOn w:val="DefaultParagraphFont"/>
    <w:uiPriority w:val="21"/>
    <w:qFormat/>
    <w:rsid w:val="0021514F"/>
    <w:rPr>
      <w:i/>
      <w:iCs/>
      <w:color w:val="0F4761" w:themeColor="accent1" w:themeShade="BF"/>
    </w:rPr>
  </w:style>
  <w:style w:type="paragraph" w:styleId="IntenseQuote">
    <w:name w:val="Intense Quote"/>
    <w:basedOn w:val="Normal"/>
    <w:next w:val="Normal"/>
    <w:link w:val="IntenseQuoteChar"/>
    <w:uiPriority w:val="30"/>
    <w:qFormat/>
    <w:rsid w:val="002151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14F"/>
    <w:rPr>
      <w:i/>
      <w:iCs/>
      <w:color w:val="0F4761" w:themeColor="accent1" w:themeShade="BF"/>
    </w:rPr>
  </w:style>
  <w:style w:type="character" w:styleId="IntenseReference">
    <w:name w:val="Intense Reference"/>
    <w:basedOn w:val="DefaultParagraphFont"/>
    <w:uiPriority w:val="32"/>
    <w:qFormat/>
    <w:rsid w:val="0021514F"/>
    <w:rPr>
      <w:b/>
      <w:bCs/>
      <w:smallCaps/>
      <w:color w:val="0F4761" w:themeColor="accent1" w:themeShade="BF"/>
      <w:spacing w:val="5"/>
    </w:rPr>
  </w:style>
  <w:style w:type="paragraph" w:customStyle="1" w:styleId="Default">
    <w:name w:val="Default"/>
    <w:rsid w:val="00873285"/>
    <w:pPr>
      <w:autoSpaceDE w:val="0"/>
      <w:autoSpaceDN w:val="0"/>
      <w:adjustRightInd w:val="0"/>
      <w:spacing w:after="0" w:line="240" w:lineRule="auto"/>
    </w:pPr>
    <w:rPr>
      <w:rFonts w:ascii="Times New Roman" w:hAnsi="Times New Roman" w:cs="Times New Roman"/>
      <w:color w:val="000000"/>
      <w:kern w:val="0"/>
      <w:sz w:val="24"/>
      <w:szCs w:val="24"/>
      <w:lang w:val="en-US" w:bidi="hi-IN"/>
      <w14:ligatures w14:val="none"/>
    </w:rPr>
  </w:style>
  <w:style w:type="paragraph" w:styleId="Header">
    <w:name w:val="header"/>
    <w:basedOn w:val="Normal"/>
    <w:link w:val="HeaderChar"/>
    <w:uiPriority w:val="99"/>
    <w:unhideWhenUsed/>
    <w:rsid w:val="008732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3285"/>
    <w:rPr>
      <w:kern w:val="0"/>
      <w14:ligatures w14:val="none"/>
    </w:rPr>
  </w:style>
  <w:style w:type="paragraph" w:styleId="Footer">
    <w:name w:val="footer"/>
    <w:basedOn w:val="Normal"/>
    <w:link w:val="FooterChar"/>
    <w:uiPriority w:val="99"/>
    <w:unhideWhenUsed/>
    <w:rsid w:val="008732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3285"/>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553</Words>
  <Characters>3155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Angshuman Gaayan ( अंशुमान गायन )</dc:creator>
  <cp:keywords/>
  <dc:description/>
  <cp:lastModifiedBy>Rittu Kumari ( रितु कुमारी )</cp:lastModifiedBy>
  <cp:revision>2</cp:revision>
  <cp:lastPrinted>2026-03-02T11:01:00Z</cp:lastPrinted>
  <dcterms:created xsi:type="dcterms:W3CDTF">2026-03-02T11:04:00Z</dcterms:created>
  <dcterms:modified xsi:type="dcterms:W3CDTF">2026-03-02T11:04:00Z</dcterms:modified>
</cp:coreProperties>
</file>