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D508F3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  <w:r w:rsidRPr="00D508F3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D508F3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D508F3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D508F3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D508F3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D508F3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D508F3">
        <w:rPr>
          <w:rFonts w:ascii="Tahoma" w:hAnsi="Tahoma" w:cs="Tahoma"/>
          <w:b/>
          <w:lang w:val="en-US"/>
        </w:rPr>
        <w:t xml:space="preserve">       </w:t>
      </w:r>
      <w:r w:rsidR="00D96E0B" w:rsidRPr="00D508F3">
        <w:rPr>
          <w:rFonts w:ascii="Tahoma" w:hAnsi="Tahoma" w:cs="Tahoma"/>
          <w:b/>
          <w:lang w:val="en-US"/>
        </w:rPr>
        <w:t xml:space="preserve"> </w:t>
      </w:r>
      <w:r w:rsidRPr="00D508F3">
        <w:rPr>
          <w:rFonts w:ascii="Tahoma" w:hAnsi="Tahoma" w:cs="Tahoma"/>
          <w:b/>
          <w:lang w:val="en-US"/>
        </w:rPr>
        <w:t xml:space="preserve"> </w:t>
      </w:r>
      <w:r w:rsidR="00030179" w:rsidRPr="00D508F3">
        <w:rPr>
          <w:rFonts w:ascii="Tahoma" w:hAnsi="Tahoma" w:cs="Tahoma"/>
          <w:b/>
          <w:lang w:val="en-US"/>
        </w:rPr>
        <w:t xml:space="preserve"> </w:t>
      </w:r>
      <w:r w:rsidR="00D96E0B" w:rsidRPr="00D508F3">
        <w:rPr>
          <w:rFonts w:ascii="Tahoma" w:hAnsi="Tahoma" w:cs="Tahoma"/>
          <w:b/>
          <w:lang w:val="en-US"/>
        </w:rPr>
        <w:t xml:space="preserve">                  </w:t>
      </w:r>
      <w:r w:rsidR="001640DE" w:rsidRPr="00D508F3">
        <w:rPr>
          <w:rFonts w:ascii="Tahoma" w:hAnsi="Tahoma" w:cs="Tahoma"/>
          <w:b/>
          <w:lang w:val="en-US"/>
        </w:rPr>
        <w:tab/>
      </w:r>
      <w:r w:rsidR="00C653F2" w:rsidRPr="00D508F3">
        <w:rPr>
          <w:rFonts w:ascii="Tahoma" w:hAnsi="Tahoma" w:cs="Tahoma"/>
          <w:b/>
          <w:lang w:val="en-US"/>
        </w:rPr>
        <w:t xml:space="preserve">       </w:t>
      </w:r>
      <w:r w:rsidR="0098028D" w:rsidRPr="00D508F3">
        <w:rPr>
          <w:rFonts w:ascii="Tahoma" w:hAnsi="Tahoma" w:cs="Tahoma"/>
          <w:b/>
          <w:lang w:val="en-US"/>
        </w:rPr>
        <w:t xml:space="preserve">Kind Attn: </w:t>
      </w:r>
      <w:r w:rsidR="008A1BC7" w:rsidRPr="00D508F3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Pr="00D508F3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D508F3">
        <w:rPr>
          <w:rFonts w:ascii="Tahoma" w:hAnsi="Tahoma" w:cs="Tahoma"/>
          <w:bCs/>
        </w:rPr>
        <w:t xml:space="preserve"> </w:t>
      </w:r>
      <w:r w:rsidRPr="00D508F3">
        <w:rPr>
          <w:rFonts w:ascii="Tahoma" w:hAnsi="Tahoma" w:cs="Tahoma"/>
          <w:bCs/>
        </w:rPr>
        <w:tab/>
        <w:t xml:space="preserve">      </w:t>
      </w:r>
      <w:r w:rsidRPr="00D508F3">
        <w:rPr>
          <w:rFonts w:ascii="Tahoma" w:hAnsi="Tahoma" w:cs="Tahoma"/>
          <w:bCs/>
          <w:u w:val="single"/>
        </w:rPr>
        <w:t xml:space="preserve">Assistant </w:t>
      </w:r>
      <w:r w:rsidR="00030179" w:rsidRPr="00D508F3">
        <w:rPr>
          <w:rFonts w:ascii="Tahoma" w:hAnsi="Tahoma" w:cs="Tahoma"/>
          <w:bCs/>
          <w:u w:val="single"/>
        </w:rPr>
        <w:t xml:space="preserve">Section </w:t>
      </w:r>
      <w:r w:rsidR="00D96E0B" w:rsidRPr="00D508F3">
        <w:rPr>
          <w:rFonts w:ascii="Tahoma" w:hAnsi="Tahoma" w:cs="Tahoma"/>
          <w:bCs/>
          <w:u w:val="single"/>
        </w:rPr>
        <w:t>Officer (</w:t>
      </w:r>
      <w:r w:rsidRPr="00D508F3">
        <w:rPr>
          <w:rFonts w:ascii="Tahoma" w:hAnsi="Tahoma" w:cs="Tahoma"/>
          <w:bCs/>
          <w:u w:val="single"/>
        </w:rPr>
        <w:t>ONG 1 &amp;V</w:t>
      </w:r>
      <w:r w:rsidR="00D96E0B" w:rsidRPr="00D508F3">
        <w:rPr>
          <w:rFonts w:ascii="Tahoma" w:hAnsi="Tahoma" w:cs="Tahoma"/>
          <w:bCs/>
          <w:u w:val="single"/>
        </w:rPr>
        <w:t xml:space="preserve">) </w:t>
      </w:r>
      <w:r w:rsidR="003E3CEB" w:rsidRPr="00D508F3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282FDA24" w:rsidR="003E3CEB" w:rsidRPr="00D508F3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D508F3">
        <w:rPr>
          <w:rFonts w:ascii="Tahoma" w:hAnsi="Tahoma" w:cs="Tahoma"/>
          <w:b/>
          <w:bCs/>
          <w:lang w:val="en-US"/>
        </w:rPr>
        <w:t xml:space="preserve">                           </w:t>
      </w:r>
      <w:r w:rsidRPr="00D508F3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D508F3">
        <w:rPr>
          <w:rFonts w:ascii="Tahoma" w:hAnsi="Tahoma" w:cs="Tahoma"/>
          <w:b/>
          <w:lang w:val="en-US"/>
        </w:rPr>
        <w:t xml:space="preserve"> </w:t>
      </w:r>
      <w:r w:rsidR="002000D1" w:rsidRPr="00D508F3">
        <w:rPr>
          <w:rFonts w:ascii="Tahoma" w:hAnsi="Tahoma" w:cs="Tahoma"/>
          <w:b/>
          <w:lang w:val="en-US"/>
        </w:rPr>
        <w:t xml:space="preserve">  </w:t>
      </w:r>
      <w:r w:rsidR="00975387" w:rsidRPr="00D508F3">
        <w:rPr>
          <w:rFonts w:ascii="Tahoma" w:hAnsi="Tahoma" w:cs="Tahoma"/>
          <w:b/>
          <w:lang w:val="en-US"/>
        </w:rPr>
        <w:t xml:space="preserve">    </w:t>
      </w:r>
      <w:r w:rsidR="00B30758" w:rsidRPr="00D508F3">
        <w:rPr>
          <w:rFonts w:ascii="Tahoma" w:hAnsi="Tahoma" w:cs="Tahoma"/>
          <w:b/>
          <w:lang w:val="en-US"/>
        </w:rPr>
        <w:t xml:space="preserve"> </w:t>
      </w:r>
      <w:r w:rsidRPr="00D508F3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D508F3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D508F3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50EF6145" w:rsidR="003E3CEB" w:rsidRPr="00D508F3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D508F3">
        <w:rPr>
          <w:rFonts w:ascii="Tahoma" w:hAnsi="Tahoma" w:cs="Tahoma"/>
          <w:b/>
          <w:lang w:val="en-US"/>
        </w:rPr>
        <w:t>Sub</w:t>
      </w:r>
      <w:r w:rsidRPr="00D508F3">
        <w:rPr>
          <w:rFonts w:ascii="Tahoma" w:hAnsi="Tahoma" w:cs="Tahoma"/>
          <w:lang w:val="en-US"/>
        </w:rPr>
        <w:t xml:space="preserve">: </w:t>
      </w:r>
      <w:r w:rsidR="0060446E" w:rsidRPr="00D508F3">
        <w:rPr>
          <w:rFonts w:ascii="Tahoma" w:hAnsi="Tahoma" w:cs="Tahoma"/>
          <w:lang w:val="en-US"/>
        </w:rPr>
        <w:t xml:space="preserve">Rajya Sabha Provisionally Admitted Starred/Unstarred Question Dy. No </w:t>
      </w:r>
      <w:r w:rsidR="004E580B" w:rsidRPr="00D508F3">
        <w:rPr>
          <w:rFonts w:ascii="Tahoma" w:hAnsi="Tahoma" w:cs="Tahoma"/>
          <w:b/>
          <w:bCs/>
          <w:lang w:val="en-US"/>
        </w:rPr>
        <w:t xml:space="preserve">U2383 </w:t>
      </w:r>
      <w:r w:rsidR="00DC2980" w:rsidRPr="00D508F3">
        <w:rPr>
          <w:rFonts w:ascii="Tahoma" w:hAnsi="Tahoma" w:cs="Tahoma"/>
          <w:lang w:val="en-US"/>
        </w:rPr>
        <w:t>for 09.03.2026</w:t>
      </w:r>
      <w:r w:rsidRPr="00D508F3">
        <w:rPr>
          <w:rFonts w:ascii="Tahoma" w:hAnsi="Tahoma" w:cs="Tahoma"/>
          <w:lang w:val="en-US"/>
        </w:rPr>
        <w:t xml:space="preserve"> </w:t>
      </w:r>
    </w:p>
    <w:p w14:paraId="555150F9" w14:textId="6818FBFF" w:rsidR="003E3CEB" w:rsidRPr="00D508F3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D508F3">
        <w:rPr>
          <w:rFonts w:ascii="Tahoma" w:hAnsi="Tahoma" w:cs="Tahoma"/>
          <w:lang w:val="en-US"/>
        </w:rPr>
        <w:t xml:space="preserve">        Regarding </w:t>
      </w:r>
      <w:r w:rsidRPr="00D508F3">
        <w:rPr>
          <w:rFonts w:ascii="Tahoma" w:hAnsi="Tahoma" w:cs="Tahoma"/>
          <w:b/>
          <w:lang w:val="en-US"/>
        </w:rPr>
        <w:t>“</w:t>
      </w:r>
      <w:r w:rsidR="004E580B" w:rsidRPr="00D508F3">
        <w:rPr>
          <w:rStyle w:val="Strong"/>
          <w:rFonts w:ascii="Tahoma" w:hAnsi="Tahoma" w:cs="Tahoma"/>
        </w:rPr>
        <w:t>Expenditure on Deepwater Exploration in Andaman Basin”</w:t>
      </w:r>
    </w:p>
    <w:p w14:paraId="2B9C4E3B" w14:textId="1E999AD2" w:rsidR="003E3CEB" w:rsidRPr="00D508F3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D508F3">
        <w:rPr>
          <w:rFonts w:ascii="Tahoma" w:hAnsi="Tahoma" w:cs="Tahoma"/>
          <w:b/>
          <w:lang w:val="en-US"/>
        </w:rPr>
        <w:t>Ref.</w:t>
      </w:r>
      <w:r w:rsidRPr="00D508F3">
        <w:rPr>
          <w:rFonts w:ascii="Tahoma" w:hAnsi="Tahoma" w:cs="Tahoma"/>
          <w:lang w:val="en-US"/>
        </w:rPr>
        <w:t xml:space="preserve">  Your email dated </w:t>
      </w:r>
      <w:r w:rsidR="00B30758" w:rsidRPr="00D508F3">
        <w:rPr>
          <w:rFonts w:ascii="Tahoma" w:hAnsi="Tahoma" w:cs="Tahoma"/>
          <w:lang w:val="en-US"/>
        </w:rPr>
        <w:t>2</w:t>
      </w:r>
      <w:r w:rsidR="00DC2980" w:rsidRPr="00D508F3">
        <w:rPr>
          <w:rFonts w:ascii="Tahoma" w:hAnsi="Tahoma" w:cs="Tahoma"/>
          <w:lang w:val="en-US"/>
        </w:rPr>
        <w:t>3</w:t>
      </w:r>
      <w:r w:rsidRPr="00D508F3">
        <w:rPr>
          <w:rFonts w:ascii="Tahoma" w:hAnsi="Tahoma" w:cs="Tahoma"/>
          <w:lang w:val="en-US"/>
        </w:rPr>
        <w:t>.</w:t>
      </w:r>
      <w:r w:rsidR="00527C2C" w:rsidRPr="00D508F3">
        <w:rPr>
          <w:rFonts w:ascii="Tahoma" w:hAnsi="Tahoma" w:cs="Tahoma"/>
          <w:lang w:val="en-US"/>
        </w:rPr>
        <w:t>0</w:t>
      </w:r>
      <w:r w:rsidR="00DC2980" w:rsidRPr="00D508F3">
        <w:rPr>
          <w:rFonts w:ascii="Tahoma" w:hAnsi="Tahoma" w:cs="Tahoma"/>
          <w:lang w:val="en-US"/>
        </w:rPr>
        <w:t>2</w:t>
      </w:r>
      <w:r w:rsidRPr="00D508F3">
        <w:rPr>
          <w:rFonts w:ascii="Tahoma" w:hAnsi="Tahoma" w:cs="Tahoma"/>
          <w:lang w:val="en-US"/>
        </w:rPr>
        <w:t>.202</w:t>
      </w:r>
      <w:r w:rsidR="00527C2C" w:rsidRPr="00D508F3">
        <w:rPr>
          <w:rFonts w:ascii="Tahoma" w:hAnsi="Tahoma" w:cs="Tahoma"/>
          <w:lang w:val="en-US"/>
        </w:rPr>
        <w:t>6</w:t>
      </w:r>
    </w:p>
    <w:p w14:paraId="2671E4E2" w14:textId="77777777" w:rsidR="003E3CEB" w:rsidRPr="00D508F3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D508F3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D508F3">
        <w:rPr>
          <w:rFonts w:ascii="Tahoma" w:hAnsi="Tahoma" w:cs="Tahoma"/>
          <w:lang w:val="en-US"/>
        </w:rPr>
        <w:t>Sir,</w:t>
      </w:r>
    </w:p>
    <w:p w14:paraId="47B51505" w14:textId="49529C3E" w:rsidR="003E3CEB" w:rsidRPr="00D508F3" w:rsidRDefault="003E3CEB" w:rsidP="003E3CEB">
      <w:pPr>
        <w:spacing w:after="0"/>
        <w:rPr>
          <w:rFonts w:ascii="Tahoma" w:hAnsi="Tahoma" w:cs="Tahoma"/>
          <w:lang w:val="en-US"/>
        </w:rPr>
      </w:pPr>
      <w:r w:rsidRPr="00D508F3">
        <w:rPr>
          <w:rFonts w:ascii="Tahoma" w:hAnsi="Tahoma" w:cs="Tahoma"/>
          <w:lang w:val="en-US"/>
        </w:rPr>
        <w:t xml:space="preserve">       </w:t>
      </w:r>
      <w:r w:rsidRPr="00D508F3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 w:rsidRPr="00D508F3">
        <w:rPr>
          <w:rFonts w:ascii="Tahoma" w:hAnsi="Tahoma" w:cs="Tahoma"/>
          <w:lang w:val="en-US"/>
        </w:rPr>
        <w:t xml:space="preserve">Rajya </w:t>
      </w:r>
      <w:r w:rsidRPr="00D508F3">
        <w:rPr>
          <w:rFonts w:ascii="Tahoma" w:hAnsi="Tahoma" w:cs="Tahoma"/>
          <w:lang w:val="en-US"/>
        </w:rPr>
        <w:t xml:space="preserve"> Sabha</w:t>
      </w:r>
      <w:proofErr w:type="gramEnd"/>
      <w:r w:rsidRPr="00D508F3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D508F3" w:rsidRDefault="00F95E61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72"/>
        <w:gridCol w:w="6778"/>
      </w:tblGrid>
      <w:tr w:rsidR="00D508F3" w:rsidRPr="00D508F3" w14:paraId="1F91036C" w14:textId="77777777" w:rsidTr="00D508F3">
        <w:trPr>
          <w:trHeight w:val="228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E68D" w14:textId="6989DDA4" w:rsidR="00D508F3" w:rsidRPr="00D508F3" w:rsidRDefault="00D508F3" w:rsidP="001210B9">
            <w:pPr>
              <w:pStyle w:val="NormalWeb"/>
              <w:jc w:val="both"/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</w:pPr>
            <w:r w:rsidRPr="00D508F3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 xml:space="preserve">Will the Minister of Petroleum and Natural Gas be pleased to </w:t>
            </w:r>
            <w:proofErr w:type="gramStart"/>
            <w:r w:rsidRPr="00D508F3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>state:</w:t>
            </w:r>
            <w:proofErr w:type="gramEnd"/>
          </w:p>
          <w:p w14:paraId="3876AEBE" w14:textId="5B4D28CD" w:rsidR="00D508F3" w:rsidRPr="00D508F3" w:rsidRDefault="00D508F3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D508F3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D508F3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Pr="00D508F3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total public expenditure incurred on seismic surveys, stratigraphic drilling, and exploration activities in the Andaman-Nicobar offshore basin since 2021; </w:t>
            </w:r>
          </w:p>
        </w:tc>
        <w:tc>
          <w:tcPr>
            <w:tcW w:w="67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6B28378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Answer to Q(a) &amp; Q(b):</w:t>
            </w: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 </w:t>
            </w:r>
            <w:proofErr w:type="spellStart"/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MoPNG</w:t>
            </w:r>
            <w:proofErr w:type="spellEnd"/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 xml:space="preserve"> may reply suitably.</w:t>
            </w:r>
          </w:p>
          <w:p w14:paraId="596A4EFC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As far as Oil India Limited (OIL) is concerned,</w:t>
            </w:r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 </w:t>
            </w: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Exploration Activities in Andaman-Nicobar offshore basin since 2021: As far as Oil India Limited (OIL) is concerned, in Andaman Basin, OIL has been awarded two (02) shallow offshore Blocks under OALP Round-II viz. AN-OSHP-2018/1 and AN-OSHP-2018/2 covering 9616.70 Sq.km with OIL being the Operator in both the Blocks with 100% PI. So far, OIL has completed 2D seismic API of 8500 LKM, drilled two exploratory wells Vijaypuram1 &amp; 2, with the third well Vijaypuram-3 is currently under drilling.</w:t>
            </w:r>
          </w:p>
          <w:p w14:paraId="5E6502D2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Details of expenditure incurred by OIL in the exploration activities carried out in its exploratory Blocks in Andaman as of 31.12.2025 is provided below:</w:t>
            </w:r>
          </w:p>
          <w:tbl>
            <w:tblPr>
              <w:tblW w:w="6585" w:type="dxa"/>
              <w:tblInd w:w="17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3"/>
              <w:gridCol w:w="1507"/>
              <w:gridCol w:w="1259"/>
              <w:gridCol w:w="1433"/>
              <w:gridCol w:w="440"/>
              <w:gridCol w:w="133"/>
            </w:tblGrid>
            <w:tr w:rsidR="00D508F3" w:rsidRPr="00D508F3" w14:paraId="315B983E" w14:textId="77777777" w:rsidTr="00D508F3">
              <w:trPr>
                <w:gridAfter w:val="1"/>
                <w:wAfter w:w="144" w:type="dxa"/>
                <w:trHeight w:val="450"/>
              </w:trPr>
              <w:tc>
                <w:tcPr>
                  <w:tcW w:w="1985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42A13FE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val="en-US" w:bidi="hi-IN"/>
                    </w:rPr>
                    <w:t>Block Name</w:t>
                  </w:r>
                </w:p>
              </w:tc>
              <w:tc>
                <w:tcPr>
                  <w:tcW w:w="1650" w:type="dxa"/>
                  <w:vMerge w:val="restart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D4DF215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val="en-US" w:bidi="hi-IN"/>
                    </w:rPr>
                    <w:t>Participating interest (PI) of OIL</w:t>
                  </w:r>
                </w:p>
              </w:tc>
              <w:tc>
                <w:tcPr>
                  <w:tcW w:w="1378" w:type="dxa"/>
                  <w:vMerge w:val="restart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24CDE4D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val="en-US" w:bidi="hi-IN"/>
                    </w:rPr>
                    <w:t>Seismic Expenses</w:t>
                  </w:r>
                </w:p>
                <w:p w14:paraId="09F9258A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val="en-US" w:bidi="hi-IN"/>
                    </w:rPr>
                    <w:t>(Amt in INR Cr)</w:t>
                  </w:r>
                </w:p>
              </w:tc>
              <w:tc>
                <w:tcPr>
                  <w:tcW w:w="1569" w:type="dxa"/>
                  <w:vMerge w:val="restart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621D276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val="en-US" w:bidi="hi-IN"/>
                    </w:rPr>
                    <w:t>Exploratory Expenses</w:t>
                  </w:r>
                </w:p>
                <w:p w14:paraId="4A93BC9A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val="en-US" w:bidi="hi-IN"/>
                    </w:rPr>
                    <w:t>(Amt in INR Cr)</w:t>
                  </w:r>
                </w:p>
              </w:tc>
              <w:tc>
                <w:tcPr>
                  <w:tcW w:w="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20B74194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</w:tr>
            <w:tr w:rsidR="00D508F3" w:rsidRPr="00D508F3" w14:paraId="2C170B52" w14:textId="77777777" w:rsidTr="00D508F3">
              <w:trPr>
                <w:trHeight w:val="450"/>
              </w:trPr>
              <w:tc>
                <w:tcPr>
                  <w:tcW w:w="198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21EC5552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1650" w:type="dxa"/>
                  <w:vMerge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291F99E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1378" w:type="dxa"/>
                  <w:vMerge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3521D92C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1569" w:type="dxa"/>
                  <w:vMerge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6E953E5B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6E8623F0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lang w:val="en-US" w:bidi="hi-IN"/>
                    </w:rPr>
                  </w:pPr>
                </w:p>
              </w:tc>
              <w:tc>
                <w:tcPr>
                  <w:tcW w:w="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2B1DAA32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lang w:val="en-US" w:bidi="hi-IN"/>
                    </w:rPr>
                  </w:pPr>
                </w:p>
              </w:tc>
            </w:tr>
            <w:tr w:rsidR="00D508F3" w:rsidRPr="00D508F3" w14:paraId="0CF75572" w14:textId="77777777" w:rsidTr="00D508F3">
              <w:trPr>
                <w:trHeight w:val="216"/>
              </w:trPr>
              <w:tc>
                <w:tcPr>
                  <w:tcW w:w="198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B1A0363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AN-OSHP-2018/1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000A218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100%</w:t>
                  </w: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3571DE1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172.24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0220C32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1,258.10</w:t>
                  </w: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253A980F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53E82C46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lang w:val="en-US" w:bidi="hi-IN"/>
                    </w:rPr>
                  </w:pPr>
                </w:p>
              </w:tc>
            </w:tr>
            <w:tr w:rsidR="00D508F3" w:rsidRPr="00D508F3" w14:paraId="6D35C3B4" w14:textId="77777777" w:rsidTr="00D508F3">
              <w:trPr>
                <w:trHeight w:val="216"/>
              </w:trPr>
              <w:tc>
                <w:tcPr>
                  <w:tcW w:w="198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795ABFE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AN-OSHP-2018/2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3F3DDE2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100%</w:t>
                  </w: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D93D9D5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166.89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C1872BA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1,024.83</w:t>
                  </w: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0F64C2B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13D4FE8B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lang w:val="en-US" w:bidi="hi-IN"/>
                    </w:rPr>
                  </w:pPr>
                </w:p>
              </w:tc>
            </w:tr>
            <w:tr w:rsidR="00D508F3" w:rsidRPr="00D508F3" w14:paraId="646CA259" w14:textId="77777777" w:rsidTr="00D508F3">
              <w:trPr>
                <w:trHeight w:val="908"/>
              </w:trPr>
              <w:tc>
                <w:tcPr>
                  <w:tcW w:w="198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2A1CCD9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Seismic in Andaman Deepwater on behalf of DGH 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43C6F6E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D8BBD8E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196.95*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4F3CE52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-</w:t>
                  </w: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783F028B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245177C6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lang w:val="en-US" w:bidi="hi-IN"/>
                    </w:rPr>
                  </w:pPr>
                </w:p>
              </w:tc>
            </w:tr>
            <w:tr w:rsidR="00D508F3" w:rsidRPr="00D508F3" w14:paraId="0AFC89DD" w14:textId="77777777" w:rsidTr="00D508F3">
              <w:trPr>
                <w:trHeight w:val="216"/>
              </w:trPr>
              <w:tc>
                <w:tcPr>
                  <w:tcW w:w="198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69D0BBF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Total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1D868F1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63EB520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536.07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EB762B8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  <w:r w:rsidRPr="00D508F3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val="en-US" w:bidi="hi-IN"/>
                    </w:rPr>
                    <w:t>2,282.92</w:t>
                  </w: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6C52FB5E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val="en-US" w:bidi="hi-IN"/>
                    </w:rPr>
                  </w:pPr>
                </w:p>
              </w:tc>
              <w:tc>
                <w:tcPr>
                  <w:tcW w:w="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46822CC6" w14:textId="77777777" w:rsidR="00D508F3" w:rsidRPr="00D508F3" w:rsidRDefault="00D508F3" w:rsidP="00D508F3">
                  <w:pPr>
                    <w:spacing w:after="0" w:line="240" w:lineRule="auto"/>
                    <w:rPr>
                      <w:rFonts w:ascii="Tahoma" w:eastAsia="Times New Roman" w:hAnsi="Tahoma" w:cs="Tahoma"/>
                      <w:lang w:val="en-US" w:bidi="hi-IN"/>
                    </w:rPr>
                  </w:pPr>
                </w:p>
              </w:tc>
            </w:tr>
          </w:tbl>
          <w:p w14:paraId="12948DBF" w14:textId="7704104C" w:rsidR="00D508F3" w:rsidRPr="00D508F3" w:rsidRDefault="00D508F3" w:rsidP="00D508F3">
            <w:pPr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 </w:t>
            </w: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 xml:space="preserve">  * Expenditure incurred by </w:t>
            </w:r>
            <w:proofErr w:type="spellStart"/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GoI</w:t>
            </w:r>
            <w:proofErr w:type="spellEnd"/>
          </w:p>
          <w:p w14:paraId="04CBF55F" w14:textId="77777777" w:rsidR="00D508F3" w:rsidRPr="00D508F3" w:rsidRDefault="00D508F3" w:rsidP="00D508F3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D508F3" w:rsidRPr="00D508F3" w14:paraId="1A29C6F4" w14:textId="77777777" w:rsidTr="00D508F3">
        <w:trPr>
          <w:trHeight w:val="140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1BCCBE18" w:rsidR="00D508F3" w:rsidRPr="00D508F3" w:rsidRDefault="00D508F3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D508F3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Pr="00D508F3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Share of expenditure borne by ONGC, OIL and any other public entities; and   </w:t>
            </w:r>
          </w:p>
        </w:tc>
        <w:tc>
          <w:tcPr>
            <w:tcW w:w="67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2637" w14:textId="77777777" w:rsidR="00D508F3" w:rsidRPr="00D508F3" w:rsidRDefault="00D508F3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95E61" w:rsidRPr="00D508F3" w14:paraId="6D59DA1E" w14:textId="77777777" w:rsidTr="00D508F3">
        <w:trPr>
          <w:trHeight w:val="155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24B3FE4F" w:rsidR="00F95E61" w:rsidRPr="00D508F3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D508F3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Q.(c) </w:t>
            </w:r>
            <w:r w:rsidR="003D42E3" w:rsidRPr="00D508F3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Whether any </w:t>
            </w:r>
            <w:r w:rsidR="004E580B" w:rsidRPr="00D508F3">
              <w:rPr>
                <w:rFonts w:ascii="Tahoma" w:hAnsi="Tahoma" w:cs="Tahoma"/>
                <w:i/>
                <w:iCs/>
                <w:sz w:val="22"/>
                <w:szCs w:val="22"/>
              </w:rPr>
              <w:t>financial audit or review of exploration outcomes versus costs has been conducted so far, and if so, the findings thereof?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9A401F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Answer to Q(c):</w:t>
            </w: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 </w:t>
            </w:r>
            <w:proofErr w:type="spellStart"/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MoPNG</w:t>
            </w:r>
            <w:proofErr w:type="spellEnd"/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 xml:space="preserve"> may reply suitably.</w:t>
            </w:r>
          </w:p>
          <w:p w14:paraId="5B9AEA42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 xml:space="preserve">As far as Oil India Limited (OIL) is concerned, after the completion of seismic survey, OIL has drilled 2 wells in its shallow offshore Andaman Blocks, 1 well in Block AN-OSHP-2018/1 (Vijaya Puram-2) and 1 well in Block AN-OSHP-2018/2 (Vijaya Puram -1). Third </w:t>
            </w: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lastRenderedPageBreak/>
              <w:t>exploratory well Vijaypuram-3 is currently under drilling in Block AN-OSHP-2018/1.</w:t>
            </w:r>
          </w:p>
          <w:p w14:paraId="6119CFB3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Key Milestone in the Ongoing Exploration Drilling</w:t>
            </w:r>
          </w:p>
          <w:p w14:paraId="3641EB2E" w14:textId="77777777" w:rsidR="00D508F3" w:rsidRPr="00D508F3" w:rsidRDefault="00D508F3" w:rsidP="00D508F3">
            <w:pPr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795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Vijaya Puram-2 Well (East Andaman Block): Reported occurrence of Biogenic gas bearing zones within Eocene sequence, confirming active petroleum systems and transforming Andaman from a conceptual frontier to a basin with significant hydrocarbon potential.</w:t>
            </w:r>
          </w:p>
          <w:p w14:paraId="19E825CB" w14:textId="77777777" w:rsidR="00D508F3" w:rsidRPr="00D508F3" w:rsidRDefault="00D508F3" w:rsidP="00D508F3">
            <w:pPr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795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 xml:space="preserve">The Gas indications in Vijaya Puram-2 affirm Andaman's </w:t>
            </w:r>
            <w:proofErr w:type="spellStart"/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prospectivity</w:t>
            </w:r>
            <w:proofErr w:type="spellEnd"/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 xml:space="preserve">, driving active drilling (Vijaya Puram-3) and planned 600 </w:t>
            </w:r>
            <w:proofErr w:type="spellStart"/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sq</w:t>
            </w:r>
            <w:proofErr w:type="spellEnd"/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 xml:space="preserve"> km 3D seismic to reveal further opportunities.</w:t>
            </w:r>
          </w:p>
          <w:p w14:paraId="79FEADAA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b/>
                <w:bCs/>
                <w:color w:val="242424"/>
                <w:bdr w:val="none" w:sz="0" w:space="0" w:color="auto" w:frame="1"/>
                <w:lang w:val="en-US" w:bidi="hi-IN"/>
              </w:rPr>
              <w:t>Financial audit or review of exploration outcomes versus costs</w:t>
            </w:r>
          </w:p>
          <w:p w14:paraId="3A59598E" w14:textId="77777777" w:rsidR="00D508F3" w:rsidRPr="00D508F3" w:rsidRDefault="00D508F3" w:rsidP="00D508F3">
            <w:pPr>
              <w:shd w:val="clear" w:color="auto" w:fill="FFFFFF"/>
              <w:spacing w:after="0" w:line="240" w:lineRule="auto"/>
              <w:jc w:val="both"/>
              <w:rPr>
                <w:rFonts w:ascii="Tahoma" w:eastAsia="Times New Roman" w:hAnsi="Tahoma" w:cs="Tahoma"/>
                <w:color w:val="242424"/>
                <w:lang w:val="en-US" w:bidi="hi-IN"/>
              </w:rPr>
            </w:pPr>
            <w:r w:rsidRPr="00D508F3">
              <w:rPr>
                <w:rFonts w:ascii="Tahoma" w:eastAsia="Times New Roman" w:hAnsi="Tahoma" w:cs="Tahoma"/>
                <w:color w:val="242424"/>
                <w:bdr w:val="none" w:sz="0" w:space="0" w:color="auto" w:frame="1"/>
                <w:lang w:val="en-US" w:bidi="hi-IN"/>
              </w:rPr>
              <w:t>As per the statutory provisions, periodical review / audit is carried out by Statutory Auditors, Internal Auditors, Block Auditors and C&amp;AG Auditors. During the various audits conducted, no significant findings were raised on the expenditure incurred during the exploration operations in Andaman.</w:t>
            </w:r>
          </w:p>
          <w:p w14:paraId="5D1442F7" w14:textId="77777777" w:rsidR="00F95E61" w:rsidRPr="00D508F3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  <w:bookmarkStart w:id="1" w:name="_GoBack"/>
        <w:bookmarkEnd w:id="1"/>
      </w:tr>
    </w:tbl>
    <w:p w14:paraId="7C8B10FA" w14:textId="5BFEBA5B" w:rsidR="0098028D" w:rsidRPr="00D508F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D508F3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D508F3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D508F3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D508F3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D508F3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0716E8D" w14:textId="31A72F3D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75CC156B" w14:textId="77777777" w:rsidR="00D508F3" w:rsidRDefault="00D508F3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5C55739C" w14:textId="77777777" w:rsidR="00D508F3" w:rsidRPr="00D508F3" w:rsidRDefault="00D508F3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D508F3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D508F3">
        <w:rPr>
          <w:rFonts w:ascii="Tahoma" w:hAnsi="Tahoma" w:cs="Tahoma"/>
          <w:b/>
          <w:lang w:val="en-US"/>
        </w:rPr>
        <w:t>(</w:t>
      </w:r>
      <w:r w:rsidRPr="00D508F3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D508F3">
        <w:rPr>
          <w:rFonts w:ascii="Tahoma" w:hAnsi="Tahoma" w:cs="Tahoma"/>
          <w:bCs/>
          <w:lang w:val="en-US"/>
        </w:rPr>
        <w:t>Baishya</w:t>
      </w:r>
      <w:proofErr w:type="spellEnd"/>
      <w:r w:rsidRPr="00D508F3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D508F3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D508F3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D508F3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D508F3">
        <w:rPr>
          <w:rFonts w:ascii="Tahoma" w:hAnsi="Tahoma" w:cs="Tahoma"/>
          <w:b/>
          <w:lang w:val="en-US"/>
        </w:rPr>
        <w:t xml:space="preserve">   </w:t>
      </w:r>
      <w:r w:rsidRPr="00D508F3">
        <w:rPr>
          <w:rFonts w:ascii="Tahoma" w:hAnsi="Tahoma" w:cs="Tahoma"/>
          <w:b/>
          <w:lang w:val="en-US"/>
        </w:rPr>
        <w:tab/>
        <w:t xml:space="preserve">     </w:t>
      </w:r>
      <w:r w:rsidRPr="00D508F3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D508F3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F041AB" w14:textId="77777777" w:rsidR="00772F5E" w:rsidRDefault="00772F5E" w:rsidP="007D431F">
      <w:pPr>
        <w:spacing w:after="0" w:line="240" w:lineRule="auto"/>
      </w:pPr>
      <w:r>
        <w:separator/>
      </w:r>
    </w:p>
  </w:endnote>
  <w:endnote w:type="continuationSeparator" w:id="0">
    <w:p w14:paraId="62FA2577" w14:textId="77777777" w:rsidR="00772F5E" w:rsidRDefault="00772F5E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984327" w14:textId="77777777" w:rsidR="00772F5E" w:rsidRDefault="00772F5E" w:rsidP="007D431F">
      <w:pPr>
        <w:spacing w:after="0" w:line="240" w:lineRule="auto"/>
      </w:pPr>
      <w:r>
        <w:separator/>
      </w:r>
    </w:p>
  </w:footnote>
  <w:footnote w:type="continuationSeparator" w:id="0">
    <w:p w14:paraId="43186068" w14:textId="77777777" w:rsidR="00772F5E" w:rsidRDefault="00772F5E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319B8" w14:textId="77777777" w:rsidR="00D508F3" w:rsidRDefault="00D508F3" w:rsidP="00D508F3">
    <w:pPr>
      <w:spacing w:after="0"/>
      <w:ind w:right="-164"/>
      <w:rPr>
        <w:rFonts w:ascii="Tahoma" w:hAnsi="Tahoma" w:cs="Tahoma"/>
        <w:b/>
        <w:lang w:val="en-US"/>
      </w:rPr>
    </w:pPr>
  </w:p>
  <w:p w14:paraId="5352095A" w14:textId="77777777" w:rsidR="00D508F3" w:rsidRDefault="00D508F3" w:rsidP="00D508F3">
    <w:pPr>
      <w:spacing w:after="0"/>
      <w:ind w:right="-164"/>
      <w:rPr>
        <w:rFonts w:ascii="Tahoma" w:hAnsi="Tahoma" w:cs="Tahoma"/>
        <w:b/>
        <w:lang w:val="en-US"/>
      </w:rPr>
    </w:pPr>
  </w:p>
  <w:p w14:paraId="1253481D" w14:textId="77777777" w:rsidR="00D508F3" w:rsidRDefault="00D508F3" w:rsidP="00D508F3">
    <w:pPr>
      <w:spacing w:after="0"/>
      <w:ind w:right="-164"/>
      <w:rPr>
        <w:rFonts w:ascii="Tahoma" w:hAnsi="Tahoma" w:cs="Tahoma"/>
        <w:b/>
        <w:lang w:val="en-US"/>
      </w:rPr>
    </w:pPr>
  </w:p>
  <w:p w14:paraId="10559FF9" w14:textId="77777777" w:rsidR="00D508F3" w:rsidRDefault="00D508F3" w:rsidP="00D508F3">
    <w:pPr>
      <w:spacing w:after="0"/>
      <w:ind w:right="-164"/>
      <w:rPr>
        <w:rFonts w:ascii="Tahoma" w:hAnsi="Tahoma" w:cs="Tahoma"/>
        <w:b/>
        <w:lang w:val="en-US"/>
      </w:rPr>
    </w:pPr>
  </w:p>
  <w:p w14:paraId="1198E573" w14:textId="77777777" w:rsidR="00D508F3" w:rsidRDefault="00D508F3" w:rsidP="00D508F3">
    <w:pPr>
      <w:spacing w:after="0"/>
      <w:ind w:right="-164"/>
      <w:rPr>
        <w:rFonts w:ascii="Tahoma" w:hAnsi="Tahoma" w:cs="Tahoma"/>
        <w:b/>
        <w:lang w:val="en-US"/>
      </w:rPr>
    </w:pPr>
  </w:p>
  <w:p w14:paraId="241E600D" w14:textId="3FE6BACB" w:rsidR="00D508F3" w:rsidRPr="00D508F3" w:rsidRDefault="00D508F3" w:rsidP="00D508F3">
    <w:pPr>
      <w:spacing w:after="0"/>
      <w:ind w:right="-164"/>
      <w:rPr>
        <w:rFonts w:ascii="Tahoma" w:hAnsi="Tahoma" w:cs="Tahoma"/>
        <w:b/>
        <w:lang w:val="en-US"/>
      </w:rPr>
    </w:pPr>
    <w:r w:rsidRPr="00D508F3">
      <w:rPr>
        <w:rFonts w:ascii="Tahoma" w:hAnsi="Tahoma" w:cs="Tahoma"/>
        <w:b/>
        <w:lang w:val="en-US"/>
      </w:rPr>
      <w:t>OIL/PLNG/54/2/1/2026/41</w:t>
    </w:r>
    <w:r w:rsidRPr="00D508F3">
      <w:rPr>
        <w:rFonts w:ascii="Tahoma" w:hAnsi="Tahoma" w:cs="Tahoma"/>
        <w:b/>
        <w:lang w:val="en-US"/>
      </w:rPr>
      <w:tab/>
    </w:r>
    <w:r w:rsidRPr="00D508F3">
      <w:rPr>
        <w:rFonts w:ascii="Tahoma" w:hAnsi="Tahoma" w:cs="Tahoma"/>
        <w:b/>
        <w:lang w:val="en-US"/>
      </w:rPr>
      <w:tab/>
    </w:r>
    <w:r w:rsidRPr="00D508F3">
      <w:rPr>
        <w:rFonts w:ascii="Tahoma" w:hAnsi="Tahoma" w:cs="Tahoma"/>
        <w:b/>
        <w:lang w:val="en-US"/>
      </w:rPr>
      <w:tab/>
    </w:r>
    <w:r w:rsidRPr="00D508F3">
      <w:rPr>
        <w:rFonts w:ascii="Tahoma" w:hAnsi="Tahoma" w:cs="Tahoma"/>
        <w:b/>
        <w:lang w:val="en-US"/>
      </w:rPr>
      <w:tab/>
    </w:r>
    <w:r w:rsidRPr="00D508F3">
      <w:rPr>
        <w:rFonts w:ascii="Tahoma" w:hAnsi="Tahoma" w:cs="Tahoma"/>
        <w:b/>
        <w:lang w:val="en-US"/>
      </w:rPr>
      <w:tab/>
      <w:t xml:space="preserve">              2</w:t>
    </w:r>
    <w:r w:rsidRPr="00D508F3">
      <w:rPr>
        <w:rFonts w:ascii="Tahoma" w:hAnsi="Tahoma" w:cs="Tahoma"/>
        <w:b/>
        <w:vertAlign w:val="superscript"/>
        <w:lang w:val="en-US"/>
      </w:rPr>
      <w:t>nd</w:t>
    </w:r>
    <w:r w:rsidRPr="00D508F3">
      <w:rPr>
        <w:rFonts w:ascii="Tahoma" w:hAnsi="Tahoma" w:cs="Tahoma"/>
        <w:b/>
        <w:lang w:val="en-US"/>
      </w:rPr>
      <w:t xml:space="preserve"> March, 2026</w:t>
    </w:r>
  </w:p>
  <w:p w14:paraId="2C92991A" w14:textId="30F0F900" w:rsidR="00D508F3" w:rsidRDefault="00D508F3">
    <w:pPr>
      <w:pStyle w:val="Header"/>
    </w:pPr>
  </w:p>
  <w:p w14:paraId="74D08DC6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4A1667C5"/>
    <w:multiLevelType w:val="multilevel"/>
    <w:tmpl w:val="8870C79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C458E"/>
    <w:multiLevelType w:val="multilevel"/>
    <w:tmpl w:val="2EE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543CA"/>
    <w:rsid w:val="000601A1"/>
    <w:rsid w:val="000760AD"/>
    <w:rsid w:val="000C4216"/>
    <w:rsid w:val="000C54AF"/>
    <w:rsid w:val="000C66B2"/>
    <w:rsid w:val="001226F9"/>
    <w:rsid w:val="00146AAC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C51EC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3449C"/>
    <w:rsid w:val="00434E16"/>
    <w:rsid w:val="004505F3"/>
    <w:rsid w:val="00472F16"/>
    <w:rsid w:val="004A0011"/>
    <w:rsid w:val="004A05A9"/>
    <w:rsid w:val="004E580B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72F5E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4533"/>
    <w:rsid w:val="00A61609"/>
    <w:rsid w:val="00A62AB1"/>
    <w:rsid w:val="00A64576"/>
    <w:rsid w:val="00A92DD7"/>
    <w:rsid w:val="00AB2EDB"/>
    <w:rsid w:val="00AD01B1"/>
    <w:rsid w:val="00AF1E49"/>
    <w:rsid w:val="00B00A85"/>
    <w:rsid w:val="00B30758"/>
    <w:rsid w:val="00B36AC8"/>
    <w:rsid w:val="00B41489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92B4F"/>
    <w:rsid w:val="00CB0144"/>
    <w:rsid w:val="00CB69A6"/>
    <w:rsid w:val="00CD1403"/>
    <w:rsid w:val="00CE21FD"/>
    <w:rsid w:val="00D0096A"/>
    <w:rsid w:val="00D508F3"/>
    <w:rsid w:val="00D57E0A"/>
    <w:rsid w:val="00D8091C"/>
    <w:rsid w:val="00D809B9"/>
    <w:rsid w:val="00D96E0B"/>
    <w:rsid w:val="00DA47CC"/>
    <w:rsid w:val="00DC2980"/>
    <w:rsid w:val="00E27707"/>
    <w:rsid w:val="00E56942"/>
    <w:rsid w:val="00E63A36"/>
    <w:rsid w:val="00E73C38"/>
    <w:rsid w:val="00EB6EA0"/>
    <w:rsid w:val="00ED44D5"/>
    <w:rsid w:val="00F73F67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2026-03-02T09:13:00Z</cp:lastPrinted>
  <dcterms:created xsi:type="dcterms:W3CDTF">2026-03-02T09:23:00Z</dcterms:created>
  <dcterms:modified xsi:type="dcterms:W3CDTF">2026-03-02T09:23:00Z</dcterms:modified>
</cp:coreProperties>
</file>