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5B1C3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7FE16F8F" w14:textId="323A8D00" w:rsidR="003E3CEB" w:rsidRDefault="003E3CEB" w:rsidP="00226668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C90734">
        <w:rPr>
          <w:rFonts w:ascii="Tahoma" w:hAnsi="Tahoma" w:cs="Tahoma"/>
          <w:b/>
          <w:lang w:val="en-US"/>
        </w:rPr>
        <w:t>87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22666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8A47F0">
        <w:rPr>
          <w:rFonts w:ascii="Tahoma" w:hAnsi="Tahoma" w:cs="Tahoma"/>
          <w:b/>
          <w:lang w:val="en-US"/>
        </w:rPr>
        <w:t>2</w:t>
      </w:r>
      <w:r w:rsidR="00D31013">
        <w:rPr>
          <w:rFonts w:ascii="Tahoma" w:hAnsi="Tahoma" w:cs="Tahoma"/>
          <w:b/>
          <w:lang w:val="en-US"/>
        </w:rPr>
        <w:t>7</w:t>
      </w:r>
      <w:r w:rsidR="00D31013" w:rsidRPr="00D31013">
        <w:rPr>
          <w:rFonts w:ascii="Tahoma" w:hAnsi="Tahoma" w:cs="Tahoma"/>
          <w:b/>
          <w:vertAlign w:val="superscript"/>
          <w:lang w:val="en-US"/>
        </w:rPr>
        <w:t>th</w:t>
      </w:r>
      <w:r w:rsidR="00D31013">
        <w:rPr>
          <w:rFonts w:ascii="Tahoma" w:hAnsi="Tahoma" w:cs="Tahoma"/>
          <w:b/>
          <w:lang w:val="en-US"/>
        </w:rPr>
        <w:t xml:space="preserve"> </w:t>
      </w:r>
      <w:r w:rsidR="008A47F0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0681CC78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3C8DD376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27F634BA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14:paraId="2B519BC3" w14:textId="77777777" w:rsidR="0098028D" w:rsidRDefault="00B00A85" w:rsidP="0098028D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8028D">
        <w:rPr>
          <w:rFonts w:ascii="Tahoma" w:hAnsi="Tahoma" w:cs="Tahoma"/>
          <w:b/>
        </w:rPr>
        <w:t xml:space="preserve">Shri </w:t>
      </w:r>
      <w:proofErr w:type="spellStart"/>
      <w:r w:rsidR="0098028D">
        <w:rPr>
          <w:rFonts w:ascii="Tahoma" w:hAnsi="Tahoma" w:cs="Tahoma"/>
          <w:b/>
        </w:rPr>
        <w:t>Satpal</w:t>
      </w:r>
      <w:proofErr w:type="spellEnd"/>
      <w:r w:rsidR="0098028D">
        <w:rPr>
          <w:rFonts w:ascii="Tahoma" w:hAnsi="Tahoma" w:cs="Tahoma"/>
          <w:b/>
        </w:rPr>
        <w:t xml:space="preserve"> Yadav</w:t>
      </w:r>
    </w:p>
    <w:p w14:paraId="74D159A9" w14:textId="77777777" w:rsidR="0098028D" w:rsidRPr="00B30758" w:rsidRDefault="0098028D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B30758">
        <w:rPr>
          <w:rFonts w:ascii="Tahoma" w:hAnsi="Tahoma" w:cs="Tahoma"/>
          <w:bCs/>
          <w:u w:val="single"/>
        </w:rPr>
        <w:t>ASO, ONG-I</w:t>
      </w:r>
      <w:r>
        <w:rPr>
          <w:rFonts w:ascii="Tahoma" w:hAnsi="Tahoma" w:cs="Tahoma"/>
          <w:bCs/>
          <w:u w:val="single"/>
        </w:rPr>
        <w:t>&amp;</w:t>
      </w:r>
      <w:r w:rsidRPr="00B30758">
        <w:rPr>
          <w:rFonts w:ascii="Tahoma" w:hAnsi="Tahoma" w:cs="Tahoma"/>
          <w:bCs/>
          <w:u w:val="single"/>
        </w:rPr>
        <w:t xml:space="preserve">V </w:t>
      </w:r>
      <w:r>
        <w:rPr>
          <w:rFonts w:ascii="Tahoma" w:hAnsi="Tahoma" w:cs="Tahoma"/>
          <w:bCs/>
          <w:u w:val="single"/>
        </w:rPr>
        <w:t>(</w:t>
      </w:r>
      <w:r w:rsidRPr="00B30758">
        <w:rPr>
          <w:rFonts w:ascii="Tahoma" w:hAnsi="Tahoma" w:cs="Tahoma"/>
          <w:bCs/>
          <w:u w:val="single"/>
        </w:rPr>
        <w:t>Exploration Division</w:t>
      </w:r>
      <w:r>
        <w:rPr>
          <w:rFonts w:ascii="Tahoma" w:hAnsi="Tahoma" w:cs="Tahoma"/>
          <w:bCs/>
          <w:u w:val="single"/>
        </w:rPr>
        <w:t>)</w:t>
      </w:r>
      <w:r w:rsidRPr="00B30758">
        <w:rPr>
          <w:rFonts w:ascii="Tahoma" w:hAnsi="Tahoma" w:cs="Tahoma"/>
          <w:bCs/>
          <w:u w:val="single"/>
        </w:rPr>
        <w:t xml:space="preserve"> </w:t>
      </w:r>
    </w:p>
    <w:p w14:paraId="1E698FB9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52BB7244" w14:textId="77777777" w:rsidR="003E3CEB" w:rsidRDefault="003E3CEB" w:rsidP="00226668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C6251C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AA6025">
        <w:rPr>
          <w:rFonts w:ascii="Tahoma" w:hAnsi="Tahoma" w:cs="Tahoma"/>
          <w:lang w:val="en-US"/>
        </w:rPr>
        <w:t>Starred</w:t>
      </w:r>
      <w:r w:rsidR="009665B1">
        <w:rPr>
          <w:rFonts w:ascii="Tahoma" w:hAnsi="Tahoma" w:cs="Tahoma"/>
          <w:lang w:val="en-US"/>
        </w:rPr>
        <w:t>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C90734">
        <w:rPr>
          <w:rFonts w:ascii="Tahoma" w:hAnsi="Tahoma" w:cs="Tahoma"/>
          <w:b/>
          <w:bCs/>
        </w:rPr>
        <w:t>U7620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C90734">
        <w:rPr>
          <w:rFonts w:ascii="Tahoma" w:hAnsi="Tahoma" w:cs="Tahoma"/>
          <w:lang w:val="en-US"/>
        </w:rPr>
        <w:t>30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7C1B6E2B" w14:textId="77777777" w:rsidR="003E3CEB" w:rsidRDefault="003E3CEB" w:rsidP="00C90734">
      <w:pPr>
        <w:autoSpaceDE w:val="0"/>
        <w:autoSpaceDN w:val="0"/>
        <w:adjustRightInd w:val="0"/>
        <w:spacing w:after="0" w:line="240" w:lineRule="auto"/>
        <w:ind w:left="547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Regarding </w:t>
      </w:r>
      <w:r>
        <w:rPr>
          <w:rFonts w:ascii="Tahoma" w:hAnsi="Tahoma" w:cs="Tahoma"/>
          <w:b/>
          <w:lang w:val="en-US"/>
        </w:rPr>
        <w:t>“</w:t>
      </w:r>
      <w:r w:rsidR="00C90734" w:rsidRPr="00C90734">
        <w:rPr>
          <w:rFonts w:ascii="Tahoma" w:hAnsi="Tahoma" w:cs="Tahoma"/>
          <w:b/>
          <w:bCs/>
        </w:rPr>
        <w:t>REPURPOSING ABANDONED OIL AND GAS WELLS FOR GEOTHERMAL ENERGY AND SITE REMEDIATION</w:t>
      </w:r>
      <w:r>
        <w:rPr>
          <w:rFonts w:ascii="Tahoma" w:hAnsi="Tahoma" w:cs="Tahoma"/>
          <w:b/>
          <w:bCs/>
        </w:rPr>
        <w:t>”</w:t>
      </w:r>
    </w:p>
    <w:p w14:paraId="435E7529" w14:textId="77777777" w:rsidR="00C6251C" w:rsidRPr="00C6251C" w:rsidRDefault="00C6251C" w:rsidP="00C6251C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b/>
          <w:sz w:val="12"/>
          <w:szCs w:val="12"/>
          <w:lang w:val="en-US"/>
        </w:rPr>
      </w:pPr>
    </w:p>
    <w:p w14:paraId="19C18462" w14:textId="77777777" w:rsidR="003E3CEB" w:rsidRDefault="003E3CEB" w:rsidP="00226668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226668">
        <w:rPr>
          <w:rFonts w:ascii="Tahoma" w:hAnsi="Tahoma" w:cs="Tahoma"/>
          <w:lang w:val="en-US"/>
        </w:rPr>
        <w:t>1</w:t>
      </w:r>
      <w:r w:rsidR="00C90734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300058F4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186148B5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672F06D7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C6251C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3E3CEB" w14:paraId="7AC0D8F2" w14:textId="77777777" w:rsidTr="00217E36">
        <w:trPr>
          <w:trHeight w:val="120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6410" w14:textId="77777777"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65D97A40" w14:textId="77777777" w:rsidR="00527C2C" w:rsidRPr="00752DB9" w:rsidRDefault="003E3CEB" w:rsidP="00752DB9">
            <w:pPr>
              <w:pStyle w:val="xmsonormal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 xml:space="preserve">Whether the ministry has mapped abandoned or </w:t>
            </w:r>
            <w:proofErr w:type="spellStart"/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decomissioned</w:t>
            </w:r>
            <w:proofErr w:type="spellEnd"/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 xml:space="preserve"> oil and gas wells for geothermal energy repurposing;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CB2E" w14:textId="77777777" w:rsidR="008113A4" w:rsidRPr="00B14468" w:rsidRDefault="003E3CEB" w:rsidP="004056CC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Answer to Q(a</w:t>
            </w:r>
            <w:r w:rsidR="00B30758"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):</w:t>
            </w:r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</w:t>
            </w:r>
            <w:r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  <w:p w14:paraId="3BA1D7F2" w14:textId="77777777" w:rsidR="003E3CEB" w:rsidRPr="00B14468" w:rsidRDefault="00260D52" w:rsidP="004056CC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a feasibility study on the repurposing of abandoned and to-be-abandoned oil and gas wells for geothermal energy exploration is currently underway in OIL’s operational areas in the Upper Assam Basin</w:t>
            </w:r>
          </w:p>
          <w:p w14:paraId="7D3BB45C" w14:textId="2354333F" w:rsidR="004056CC" w:rsidRPr="00B14468" w:rsidRDefault="004056CC" w:rsidP="00635784">
            <w:pPr>
              <w:pStyle w:val="BodyText"/>
              <w:spacing w:after="120" w:line="244" w:lineRule="auto"/>
              <w:ind w:right="81"/>
              <w:jc w:val="both"/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The objective is to assess the geothermal energy potential of abandoned/to-be-abandoned wells in the Upper Assam Basin, particularly within the MPA (Main Producing Area) region within Assam &amp; Arunachal Pradesh</w:t>
            </w:r>
          </w:p>
          <w:p w14:paraId="205D919A" w14:textId="37787603" w:rsidR="004056CC" w:rsidRPr="00B14468" w:rsidRDefault="004056CC" w:rsidP="00635784">
            <w:pPr>
              <w:pStyle w:val="Heading1"/>
              <w:spacing w:after="120"/>
              <w:ind w:left="179"/>
              <w:jc w:val="both"/>
              <w:outlineLvl w:val="0"/>
              <w:rPr>
                <w:rFonts w:ascii="Tahoma" w:eastAsia="Times New Roman" w:hAnsi="Tahoma" w:cs="Tahoma"/>
                <w:kern w:val="2"/>
                <w:u w:val="none"/>
                <w:lang w:val="en-IN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u w:val="none"/>
                <w:lang w:val="en-IN"/>
                <w14:ligatures w14:val="standardContextual"/>
              </w:rPr>
              <w:t xml:space="preserve">Scope </w:t>
            </w:r>
          </w:p>
          <w:p w14:paraId="76C1FB85" w14:textId="1DB6AE8B" w:rsidR="004056CC" w:rsidRPr="00B14468" w:rsidRDefault="004056CC" w:rsidP="00635784">
            <w:pPr>
              <w:pStyle w:val="BodyText"/>
              <w:spacing w:after="120" w:line="244" w:lineRule="auto"/>
              <w:ind w:right="86"/>
              <w:jc w:val="both"/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Conduct</w:t>
            </w:r>
            <w:r w:rsidR="00BA534B"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ing</w:t>
            </w: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 xml:space="preserve"> a two-phase feasibility to identify and rank geothermal prospects in OIL’s Main Producing Area (MPA), in Assam and Arunachal Pradesh, leveraging abandoned/to-be-abandoned wells for rapid, low-cost deployment.</w:t>
            </w:r>
          </w:p>
          <w:p w14:paraId="10CF22AC" w14:textId="13A1399E" w:rsidR="004056CC" w:rsidRPr="00B14468" w:rsidRDefault="004056CC" w:rsidP="00B14468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1108"/>
              </w:tabs>
              <w:autoSpaceDE w:val="0"/>
              <w:autoSpaceDN w:val="0"/>
              <w:spacing w:after="120" w:line="240" w:lineRule="auto"/>
              <w:ind w:left="321" w:hanging="142"/>
              <w:rPr>
                <w:rFonts w:ascii="Tahoma" w:eastAsia="Times New Roman" w:hAnsi="Tahoma" w:cs="Tahoma"/>
                <w:kern w:val="2"/>
                <w:u w:val="single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u w:val="single"/>
                <w14:ligatures w14:val="standardContextual"/>
              </w:rPr>
              <w:t>Phase-I: Preliminary Assessment &amp; Ranking</w:t>
            </w:r>
          </w:p>
          <w:p w14:paraId="2D6418F1" w14:textId="08DB26A8" w:rsidR="004056CC" w:rsidRPr="00B14468" w:rsidRDefault="004056CC" w:rsidP="00B14468">
            <w:pPr>
              <w:pStyle w:val="BodyText"/>
              <w:spacing w:after="120" w:line="244" w:lineRule="auto"/>
              <w:ind w:left="179" w:right="86"/>
              <w:jc w:val="both"/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Collec</w:t>
            </w:r>
            <w:r w:rsidR="00A5709F"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ting</w:t>
            </w: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, review, and analys</w:t>
            </w:r>
            <w:r w:rsidR="00A5709F"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is</w:t>
            </w: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 xml:space="preserve"> </w:t>
            </w:r>
            <w:r w:rsidR="00A5709F"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 xml:space="preserve">of the </w:t>
            </w: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data for abandoned/to-be-abandoned wells; identif</w:t>
            </w:r>
            <w:r w:rsidR="00A5709F"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y</w:t>
            </w: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 xml:space="preserve"> clusters for preliminary energy/resource potential and issue Go/No-Go recommendations.</w:t>
            </w:r>
          </w:p>
          <w:p w14:paraId="30D5ECE6" w14:textId="02B64B63" w:rsidR="004056CC" w:rsidRPr="00B14468" w:rsidRDefault="004056CC" w:rsidP="00B14468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1326"/>
              </w:tabs>
              <w:autoSpaceDE w:val="0"/>
              <w:autoSpaceDN w:val="0"/>
              <w:spacing w:before="14" w:after="120" w:line="240" w:lineRule="auto"/>
              <w:ind w:left="321" w:hanging="142"/>
              <w:contextualSpacing w:val="0"/>
              <w:rPr>
                <w:rFonts w:ascii="Tahoma" w:eastAsia="Times New Roman" w:hAnsi="Tahoma" w:cs="Tahoma"/>
                <w:kern w:val="2"/>
                <w:u w:val="single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u w:val="single"/>
                <w14:ligatures w14:val="standardContextual"/>
              </w:rPr>
              <w:t>Phase-II — Detailed Feasibility</w:t>
            </w:r>
          </w:p>
          <w:p w14:paraId="19EE089A" w14:textId="2676BDF4" w:rsidR="004056CC" w:rsidRPr="00B14468" w:rsidRDefault="004056CC" w:rsidP="004056CC">
            <w:pPr>
              <w:pStyle w:val="BodyText"/>
              <w:spacing w:after="120" w:line="244" w:lineRule="auto"/>
              <w:ind w:left="179" w:right="80"/>
              <w:jc w:val="both"/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:lang w:val="en-IN"/>
                <w14:ligatures w14:val="standardContextual"/>
              </w:rPr>
              <w:t>Execute full feasibility for 5 top-ranked clusters: resource modelling, techno-economics (CAPEX/OPEX, IRR/NPV, tariff), ESIA, well modification / new drilling needs, technology selection (e.g., binary cycles)</w:t>
            </w:r>
          </w:p>
          <w:p w14:paraId="775E611F" w14:textId="108BC720" w:rsidR="004056CC" w:rsidRPr="00B14468" w:rsidRDefault="004056CC" w:rsidP="004056CC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bookmarkStart w:id="0" w:name="_GoBack"/>
            <w:bookmarkEnd w:id="0"/>
          </w:p>
        </w:tc>
      </w:tr>
      <w:tr w:rsidR="003E3CEB" w14:paraId="49C6A4E1" w14:textId="77777777" w:rsidTr="00217E36">
        <w:trPr>
          <w:trHeight w:val="86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B153" w14:textId="77777777" w:rsidR="00527C2C" w:rsidRPr="008113A4" w:rsidRDefault="003E3CEB" w:rsidP="00BA37C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</w:rPr>
              <w:t>If so, the details thereof including pilot projects undertaken or planned in this regard,</w:t>
            </w:r>
            <w:r w:rsidR="00C9073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</w:rPr>
              <w:t>and if not, the reasons therefor;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AF45" w14:textId="77777777" w:rsidR="003E3CEB" w:rsidRPr="00B14468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14468">
              <w:rPr>
                <w:rFonts w:ascii="Tahoma" w:hAnsi="Tahoma" w:cs="Tahoma"/>
                <w:b/>
                <w:lang w:val="en-US"/>
              </w:rPr>
              <w:t>Answer to Q(b</w:t>
            </w:r>
            <w:r w:rsidR="00B30758" w:rsidRPr="00B14468">
              <w:rPr>
                <w:rFonts w:ascii="Tahoma" w:hAnsi="Tahoma" w:cs="Tahoma"/>
                <w:b/>
                <w:lang w:val="en-US"/>
              </w:rPr>
              <w:t>):</w:t>
            </w:r>
            <w:r w:rsidRPr="00B1446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61AB60C" w14:textId="17EE8080" w:rsidR="00937968" w:rsidRPr="00B14468" w:rsidRDefault="003E3CEB" w:rsidP="00260D52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260D52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0C2615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based</w:t>
            </w:r>
            <w:r w:rsidR="00260D52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on the outcome of th</w:t>
            </w:r>
            <w:r w:rsidR="00312861">
              <w:rPr>
                <w:rFonts w:ascii="Tahoma" w:eastAsia="Times New Roman" w:hAnsi="Tahoma" w:cs="Tahoma"/>
                <w:kern w:val="2"/>
                <w14:ligatures w14:val="standardContextual"/>
              </w:rPr>
              <w:t>e</w:t>
            </w:r>
            <w:r w:rsidR="00260D52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1E5EF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aforementioned </w:t>
            </w:r>
            <w:r w:rsidR="001E5EF2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study</w:t>
            </w:r>
            <w:r w:rsidR="001E5EF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</w:t>
            </w:r>
            <w:r w:rsidR="00260D52"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the next course of action will be planned accordingly.</w:t>
            </w:r>
          </w:p>
        </w:tc>
      </w:tr>
      <w:tr w:rsidR="00786AE2" w14:paraId="69CB5918" w14:textId="77777777" w:rsidTr="00217E36">
        <w:trPr>
          <w:trHeight w:val="88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2041" w14:textId="77777777" w:rsidR="00786AE2" w:rsidRPr="008113A4" w:rsidRDefault="00786AE2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</w:rPr>
              <w:t>The measures taken to ensure community and ecological safety around legacy well sites, including remediation of oily sludge pits and groundwater contamination; and;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599E" w14:textId="77777777" w:rsidR="00786AE2" w:rsidRPr="00B14468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14468">
              <w:rPr>
                <w:rFonts w:ascii="Tahoma" w:hAnsi="Tahoma" w:cs="Tahoma"/>
                <w:b/>
                <w:lang w:val="en-US"/>
              </w:rPr>
              <w:t>Answer to Q(c):</w:t>
            </w:r>
            <w:r w:rsidRPr="00B1446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25A1AE9" w14:textId="77777777" w:rsidR="00E02F7D" w:rsidRDefault="00786AE2" w:rsidP="00E02F7D">
            <w:pPr>
              <w:spacing w:after="0" w:line="240" w:lineRule="auto"/>
              <w:jc w:val="both"/>
              <w:rPr>
                <w:rFonts w:ascii="Bookman Old Style" w:eastAsia="Times New Roman" w:hAnsi="Bookman Old Style" w:cs="Segoe UI"/>
                <w:b/>
                <w:bCs/>
                <w:lang w:eastAsia="en-IN"/>
              </w:rPr>
            </w:pPr>
            <w:r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0024D3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following measures are implemented </w:t>
            </w:r>
            <w:r w:rsidR="00287122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for </w:t>
            </w:r>
            <w:r w:rsidR="00287122" w:rsidRPr="00287122">
              <w:rPr>
                <w:rFonts w:ascii="Tahoma" w:hAnsi="Tahoma" w:cs="Tahoma"/>
              </w:rPr>
              <w:t>ensuring community and ecological safety around legacy well sites, including remediation of oily sludge pits and groundwater contamination</w:t>
            </w:r>
            <w:r w:rsidR="00E02F7D" w:rsidRPr="00D7151F">
              <w:rPr>
                <w:rFonts w:ascii="Bookman Old Style" w:eastAsia="Times New Roman" w:hAnsi="Bookman Old Style" w:cs="Segoe UI"/>
                <w:b/>
                <w:bCs/>
                <w:lang w:eastAsia="en-IN"/>
              </w:rPr>
              <w:t xml:space="preserve"> </w:t>
            </w:r>
          </w:p>
          <w:p w14:paraId="385F2F40" w14:textId="77777777" w:rsidR="00E02F7D" w:rsidRDefault="00E02F7D" w:rsidP="00E02F7D">
            <w:pPr>
              <w:spacing w:after="0" w:line="240" w:lineRule="auto"/>
              <w:jc w:val="both"/>
              <w:rPr>
                <w:rFonts w:ascii="Bookman Old Style" w:eastAsia="Times New Roman" w:hAnsi="Bookman Old Style" w:cs="Segoe UI"/>
                <w:b/>
                <w:bCs/>
                <w:lang w:eastAsia="en-IN"/>
              </w:rPr>
            </w:pPr>
          </w:p>
          <w:p w14:paraId="366CB3FF" w14:textId="7C795851" w:rsidR="00E02F7D" w:rsidRPr="00E02F7D" w:rsidRDefault="00E02F7D" w:rsidP="00E02F7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02F7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Comprehensive Site Assessment and Risk Evaluation </w:t>
            </w:r>
          </w:p>
          <w:p w14:paraId="0140DA8D" w14:textId="77777777" w:rsidR="00144C75" w:rsidRDefault="00E02F7D" w:rsidP="00144C75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02F7D">
              <w:rPr>
                <w:rFonts w:ascii="Tahoma" w:eastAsia="Times New Roman" w:hAnsi="Tahoma" w:cs="Tahoma"/>
                <w:kern w:val="2"/>
                <w14:ligatures w14:val="standardContextual"/>
              </w:rPr>
              <w:t>Legacy well sites are periodically inspected to assess structural integrity, surface conditions, presence of oily sludge pits, and risks of groundwater contamination</w:t>
            </w:r>
          </w:p>
          <w:p w14:paraId="360EF45C" w14:textId="77777777" w:rsidR="00144C75" w:rsidRDefault="00E02F7D" w:rsidP="00144C7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44C7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Remediation of Oily Sludge Pits</w:t>
            </w:r>
          </w:p>
          <w:p w14:paraId="1F44BEAE" w14:textId="77777777" w:rsidR="0063699A" w:rsidRDefault="00E02F7D" w:rsidP="0063699A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44C75">
              <w:rPr>
                <w:rFonts w:ascii="Tahoma" w:eastAsia="Times New Roman" w:hAnsi="Tahoma" w:cs="Tahoma"/>
                <w:kern w:val="2"/>
                <w14:ligatures w14:val="standardContextual"/>
              </w:rPr>
              <w:t>Oily sludge pits located at old or decommissioned well sites are Bioremediated using Oil Zapper technology to reduce hydrocarbon content in contaminated soil.</w:t>
            </w:r>
          </w:p>
          <w:p w14:paraId="6276D159" w14:textId="7A2E6119" w:rsidR="00E02F7D" w:rsidRPr="0063699A" w:rsidRDefault="00E02F7D" w:rsidP="006369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3699A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Groundwater Protection and Restoration</w:t>
            </w:r>
          </w:p>
          <w:p w14:paraId="1B99A992" w14:textId="77777777" w:rsidR="00CD579F" w:rsidRDefault="00E02F7D" w:rsidP="00CD579F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CD579F">
              <w:rPr>
                <w:rFonts w:ascii="Tahoma" w:eastAsia="Times New Roman" w:hAnsi="Tahoma" w:cs="Tahoma"/>
                <w:kern w:val="2"/>
                <w14:ligatures w14:val="standardContextual"/>
              </w:rPr>
              <w:t>Groundwater samples from nearby habitations are regularly tested for hydrocarbons and heavy metals.</w:t>
            </w:r>
          </w:p>
          <w:p w14:paraId="40E1DCD4" w14:textId="77777777" w:rsidR="00CD579F" w:rsidRDefault="00E02F7D" w:rsidP="00CD579F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CD579F">
              <w:rPr>
                <w:rFonts w:ascii="Tahoma" w:eastAsia="Times New Roman" w:hAnsi="Tahoma" w:cs="Tahoma"/>
                <w:kern w:val="2"/>
                <w14:ligatures w14:val="standardContextual"/>
              </w:rPr>
              <w:t>Also, Protective bunds and HDPE lined waste pits are used to prevent any future infiltration into aquifers.</w:t>
            </w:r>
          </w:p>
          <w:p w14:paraId="479D7163" w14:textId="77777777" w:rsidR="0059759C" w:rsidRDefault="00E02F7D" w:rsidP="0059759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D579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Well Integrity and Abandonment Standards</w:t>
            </w:r>
          </w:p>
          <w:p w14:paraId="692565C6" w14:textId="77777777" w:rsidR="0059759C" w:rsidRPr="0059759C" w:rsidRDefault="00E02F7D" w:rsidP="0059759C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59759C">
              <w:rPr>
                <w:rFonts w:ascii="Tahoma" w:eastAsia="Times New Roman" w:hAnsi="Tahoma" w:cs="Tahoma"/>
                <w:kern w:val="2"/>
                <w14:ligatures w14:val="standardContextual"/>
              </w:rPr>
              <w:t>Old wells are reviewed for integrity issues, and abandonment is carried out strictly as per OIL’s Well Abandonment, Site Restoration and Reclamation Policy 2021 to prevent leakage of hydrocarbons.</w:t>
            </w:r>
          </w:p>
          <w:p w14:paraId="5DC03A16" w14:textId="77777777" w:rsidR="001C4EEF" w:rsidRDefault="00E02F7D" w:rsidP="001C4EEF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59759C">
              <w:rPr>
                <w:rFonts w:ascii="Tahoma" w:eastAsia="Times New Roman" w:hAnsi="Tahoma" w:cs="Tahoma"/>
                <w:kern w:val="2"/>
                <w14:ligatures w14:val="standardContextual"/>
              </w:rPr>
              <w:t>Multi</w:t>
            </w:r>
            <w:r w:rsidRPr="0059759C">
              <w:rPr>
                <w:rFonts w:ascii="Tahoma" w:eastAsia="Times New Roman" w:hAnsi="Tahoma" w:cs="Tahoma"/>
                <w:kern w:val="2"/>
                <w14:ligatures w14:val="standardContextual"/>
              </w:rPr>
              <w:noBreakHyphen/>
              <w:t>plug cement abandonment ensures no upward migration of formation fluids.</w:t>
            </w:r>
          </w:p>
          <w:p w14:paraId="0F9F308C" w14:textId="77777777" w:rsidR="001C4EEF" w:rsidRDefault="00E02F7D" w:rsidP="001C4EE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C4EE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Community Safety Measures</w:t>
            </w:r>
          </w:p>
          <w:p w14:paraId="105B847B" w14:textId="77777777" w:rsidR="001C4EEF" w:rsidRDefault="00E02F7D" w:rsidP="001C4EEF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C4E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Fencing, barricading, and signage are installed around legacy wells to prevent unauthorized </w:t>
            </w:r>
            <w:proofErr w:type="spellStart"/>
            <w:proofErr w:type="gramStart"/>
            <w:r w:rsidRPr="001C4EEF">
              <w:rPr>
                <w:rFonts w:ascii="Tahoma" w:eastAsia="Times New Roman" w:hAnsi="Tahoma" w:cs="Tahoma"/>
                <w:kern w:val="2"/>
                <w14:ligatures w14:val="standardContextual"/>
              </w:rPr>
              <w:t>access.Emergency</w:t>
            </w:r>
            <w:proofErr w:type="spellEnd"/>
            <w:proofErr w:type="gramEnd"/>
            <w:r w:rsidRPr="001C4E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response plans (ERP) are updated to include legacy well locations.</w:t>
            </w:r>
          </w:p>
          <w:p w14:paraId="41A71445" w14:textId="77777777" w:rsidR="001C4EEF" w:rsidRDefault="00E02F7D" w:rsidP="001C4EE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C4EEF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Ecological Restoration &amp; Greenbelt Development</w:t>
            </w:r>
          </w:p>
          <w:p w14:paraId="47C4F3D7" w14:textId="70E87607" w:rsidR="00E02F7D" w:rsidRPr="000024D3" w:rsidRDefault="00E02F7D" w:rsidP="001C4EEF">
            <w:pPr>
              <w:spacing w:after="0" w:line="240" w:lineRule="auto"/>
              <w:ind w:left="32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1C4EEF">
              <w:rPr>
                <w:rFonts w:ascii="Tahoma" w:eastAsia="Times New Roman" w:hAnsi="Tahoma" w:cs="Tahoma"/>
                <w:kern w:val="2"/>
                <w14:ligatures w14:val="standardContextual"/>
              </w:rPr>
              <w:t>After remediation, affected areas undergo ecological restoration through plantation of native species.</w:t>
            </w:r>
          </w:p>
        </w:tc>
      </w:tr>
      <w:tr w:rsidR="00693711" w14:paraId="1B3D4AAD" w14:textId="77777777" w:rsidTr="00217E36">
        <w:trPr>
          <w:trHeight w:val="88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CD54" w14:textId="77777777" w:rsidR="00C90734" w:rsidRDefault="00693711" w:rsidP="00C90734">
            <w:pPr>
              <w:pStyle w:val="xmsonormal"/>
              <w:jc w:val="both"/>
              <w:rPr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C90734" w:rsidRPr="00C90734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The details of plans to establish robust frameworks for environmental monitoring, land restoration, and local stakeholder involvement in the re-use or closure of such sites?</w:t>
            </w:r>
          </w:p>
          <w:p w14:paraId="7A42E0A9" w14:textId="77777777" w:rsidR="00693711" w:rsidRPr="008113A4" w:rsidRDefault="00693711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A8BB" w14:textId="77777777" w:rsidR="00693711" w:rsidRDefault="00693711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14468">
              <w:rPr>
                <w:rFonts w:ascii="Tahoma" w:hAnsi="Tahoma" w:cs="Tahoma"/>
                <w:b/>
                <w:lang w:val="en-US"/>
              </w:rPr>
              <w:t>Answer to Q(d):</w:t>
            </w:r>
            <w:r w:rsidRPr="00B1446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1446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5A3E72" w14:textId="77777777" w:rsidR="00AB2481" w:rsidRPr="00B14468" w:rsidRDefault="00AB2481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88D4A2E" w14:textId="46935BE2" w:rsidR="0017277C" w:rsidRDefault="00693711" w:rsidP="0017277C">
            <w:pPr>
              <w:spacing w:after="0" w:line="240" w:lineRule="auto"/>
              <w:jc w:val="both"/>
              <w:rPr>
                <w:rFonts w:ascii="Tahoma" w:eastAsia="Times New Roman" w:hAnsi="Tahoma" w:cs="Tahoma"/>
                <w:lang w:eastAsia="en-IN"/>
              </w:rPr>
            </w:pPr>
            <w:r w:rsidRPr="00B14468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AB2481" w:rsidRPr="00442DC2">
              <w:rPr>
                <w:rFonts w:ascii="Tahoma" w:eastAsia="Times New Roman" w:hAnsi="Tahoma" w:cs="Tahoma"/>
                <w:lang w:eastAsia="en-IN"/>
              </w:rPr>
              <w:t xml:space="preserve"> </w:t>
            </w:r>
            <w:r w:rsidR="00AB2481">
              <w:rPr>
                <w:rFonts w:ascii="Tahoma" w:eastAsia="Times New Roman" w:hAnsi="Tahoma" w:cs="Tahoma"/>
                <w:lang w:eastAsia="en-IN"/>
              </w:rPr>
              <w:t>the company</w:t>
            </w:r>
            <w:r w:rsidR="00AB2481" w:rsidRPr="00442DC2">
              <w:rPr>
                <w:rFonts w:ascii="Tahoma" w:eastAsia="Times New Roman" w:hAnsi="Tahoma" w:cs="Tahoma"/>
                <w:lang w:eastAsia="en-IN"/>
              </w:rPr>
              <w:t xml:space="preserve"> has put in place a structured framework aimed at ensuring environmental protection, ecological restoration, and community participation during the closure or repurposing of abandoned and decommissioned well sites. </w:t>
            </w:r>
          </w:p>
          <w:p w14:paraId="01F2EBB6" w14:textId="77777777" w:rsidR="00E1453E" w:rsidRDefault="00E1453E" w:rsidP="0017277C">
            <w:pPr>
              <w:spacing w:after="0" w:line="240" w:lineRule="auto"/>
              <w:jc w:val="both"/>
              <w:rPr>
                <w:rFonts w:ascii="Tahoma" w:eastAsia="Times New Roman" w:hAnsi="Tahoma" w:cs="Tahoma"/>
                <w:lang w:eastAsia="en-IN"/>
              </w:rPr>
            </w:pPr>
          </w:p>
          <w:p w14:paraId="1BF54F9A" w14:textId="0D664EFF" w:rsidR="00E1453E" w:rsidRDefault="00E1453E" w:rsidP="0017277C">
            <w:pPr>
              <w:spacing w:after="0" w:line="240" w:lineRule="auto"/>
              <w:jc w:val="both"/>
              <w:rPr>
                <w:rFonts w:ascii="Tahoma" w:eastAsia="Times New Roman" w:hAnsi="Tahoma" w:cs="Tahoma"/>
                <w:lang w:eastAsia="en-IN"/>
              </w:rPr>
            </w:pPr>
            <w:r>
              <w:rPr>
                <w:rFonts w:ascii="Tahoma" w:eastAsia="Times New Roman" w:hAnsi="Tahoma" w:cs="Tahoma"/>
                <w:lang w:eastAsia="en-IN"/>
              </w:rPr>
              <w:t xml:space="preserve">Details of the same is attached herewith as </w:t>
            </w:r>
            <w:r w:rsidR="00CD7A7A" w:rsidRPr="00CD7A7A">
              <w:rPr>
                <w:rFonts w:ascii="Tahoma" w:eastAsia="Times New Roman" w:hAnsi="Tahoma" w:cs="Tahoma"/>
                <w:b/>
                <w:bCs/>
                <w:lang w:eastAsia="en-IN"/>
              </w:rPr>
              <w:t>A</w:t>
            </w:r>
            <w:r w:rsidRPr="00CD7A7A">
              <w:rPr>
                <w:rFonts w:ascii="Tahoma" w:eastAsia="Times New Roman" w:hAnsi="Tahoma" w:cs="Tahoma"/>
                <w:b/>
                <w:bCs/>
                <w:lang w:eastAsia="en-IN"/>
              </w:rPr>
              <w:t>nnexure I</w:t>
            </w:r>
          </w:p>
          <w:p w14:paraId="297AF007" w14:textId="02F5B4F7" w:rsidR="00F026F4" w:rsidRPr="00615787" w:rsidRDefault="00616DED" w:rsidP="00F026F4">
            <w:pPr>
              <w:spacing w:after="0" w:line="240" w:lineRule="auto"/>
              <w:outlineLvl w:val="2"/>
              <w:rPr>
                <w:rFonts w:ascii="Tahoma" w:eastAsia="Times New Roman" w:hAnsi="Tahoma" w:cs="Tahoma"/>
                <w:lang w:eastAsia="en-IN"/>
              </w:rPr>
            </w:pPr>
            <w:r>
              <w:rPr>
                <w:rFonts w:ascii="Tahoma" w:eastAsia="Times New Roman" w:hAnsi="Tahoma" w:cs="Tahoma"/>
                <w:lang w:eastAsia="en-IN"/>
              </w:rPr>
              <w:pict w14:anchorId="6C570D3D">
                <v:rect id="_x0000_i1025" style="width:0;height:1.5pt" o:hralign="center" o:hrstd="t" o:hr="t" fillcolor="#a0a0a0" stroked="f"/>
              </w:pict>
            </w:r>
          </w:p>
          <w:p w14:paraId="24A2F928" w14:textId="1AF327F1" w:rsidR="00AB2481" w:rsidRPr="00AB2481" w:rsidRDefault="00AB2481" w:rsidP="00AB2481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</w:tbl>
    <w:p w14:paraId="19668BD8" w14:textId="77777777"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0E0F8B67" w14:textId="77777777" w:rsidR="00693711" w:rsidRPr="00D44C53" w:rsidRDefault="00693711" w:rsidP="00693711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0563AF29" w14:textId="77777777" w:rsidR="00693711" w:rsidRPr="00D44C53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5C4368F9" w14:textId="77777777" w:rsidR="00693711" w:rsidRPr="00D44C53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211EF153" w14:textId="77777777" w:rsidR="00693711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B1CC0F7" w14:textId="77777777" w:rsidR="00693711" w:rsidRDefault="00693711" w:rsidP="00693711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58FEF59" w14:textId="77777777" w:rsidR="00D31013" w:rsidRPr="00D44C53" w:rsidRDefault="00D31013" w:rsidP="00D31013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proofErr w:type="spellStart"/>
      <w:r>
        <w:rPr>
          <w:rFonts w:ascii="Tahoma" w:hAnsi="Tahoma" w:cs="Tahoma"/>
          <w:b/>
          <w:lang w:val="en-US"/>
        </w:rPr>
        <w:t>Ashim</w:t>
      </w:r>
      <w:proofErr w:type="spellEnd"/>
      <w:r>
        <w:rPr>
          <w:rFonts w:ascii="Tahoma" w:hAnsi="Tahoma" w:cs="Tahoma"/>
          <w:b/>
          <w:lang w:val="en-US"/>
        </w:rPr>
        <w:t xml:space="preserve"> Kumar </w:t>
      </w:r>
      <w:proofErr w:type="spellStart"/>
      <w:r>
        <w:rPr>
          <w:rFonts w:ascii="Tahoma" w:hAnsi="Tahoma" w:cs="Tahoma"/>
          <w:b/>
          <w:lang w:val="en-US"/>
        </w:rPr>
        <w:t>Bharali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4DDDD8D6" w14:textId="77777777" w:rsidR="00D31013" w:rsidRDefault="00D31013" w:rsidP="00D3101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52D469B9" w14:textId="77777777" w:rsidR="00D31013" w:rsidRDefault="00D31013" w:rsidP="00D3101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>For Chief General Manager (Planning)</w:t>
      </w:r>
    </w:p>
    <w:p w14:paraId="39E8D232" w14:textId="77777777" w:rsidR="00D31013" w:rsidRDefault="00D31013" w:rsidP="00D31013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3E24AFA9" w14:textId="77777777" w:rsidR="00C90734" w:rsidRDefault="00C90734" w:rsidP="00C90734">
      <w:pPr>
        <w:pStyle w:val="xmsonormal"/>
        <w:rPr>
          <w:rFonts w:ascii="Verdana" w:hAnsi="Verdana"/>
          <w:sz w:val="20"/>
          <w:szCs w:val="20"/>
          <w:lang w:val="en-IN"/>
        </w:rPr>
      </w:pPr>
    </w:p>
    <w:p w14:paraId="2073B9A4" w14:textId="77777777" w:rsidR="003D3FA4" w:rsidRPr="003D3FA4" w:rsidRDefault="003D3FA4" w:rsidP="003D3F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sectPr w:rsidR="003D3FA4" w:rsidRPr="003D3FA4" w:rsidSect="00E032C8">
      <w:headerReference w:type="default" r:id="rId7"/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FEE4C" w14:textId="77777777" w:rsidR="00616DED" w:rsidRDefault="00616DED" w:rsidP="007D431F">
      <w:pPr>
        <w:spacing w:after="0" w:line="240" w:lineRule="auto"/>
      </w:pPr>
      <w:r>
        <w:separator/>
      </w:r>
    </w:p>
  </w:endnote>
  <w:endnote w:type="continuationSeparator" w:id="0">
    <w:p w14:paraId="767B21C8" w14:textId="77777777" w:rsidR="00616DED" w:rsidRDefault="00616DE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549E5" w14:textId="77777777" w:rsidR="00616DED" w:rsidRDefault="00616DED" w:rsidP="007D431F">
      <w:pPr>
        <w:spacing w:after="0" w:line="240" w:lineRule="auto"/>
      </w:pPr>
      <w:r>
        <w:separator/>
      </w:r>
    </w:p>
  </w:footnote>
  <w:footnote w:type="continuationSeparator" w:id="0">
    <w:p w14:paraId="6892D071" w14:textId="77777777" w:rsidR="00616DED" w:rsidRDefault="00616DE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D3B41" w14:textId="362AFE19" w:rsidR="00E032C8" w:rsidRDefault="00E032C8" w:rsidP="00E032C8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768700E8" w14:textId="77777777" w:rsidR="00E032C8" w:rsidRDefault="00E032C8" w:rsidP="00E032C8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OIL/PLNG/54/2/1/2026/87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 27</w:t>
    </w:r>
    <w:r w:rsidRPr="00D31013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  March, 2026</w:t>
    </w:r>
  </w:p>
  <w:p w14:paraId="30236404" w14:textId="7167CCDC" w:rsidR="00E032C8" w:rsidRDefault="00E032C8">
    <w:pPr>
      <w:pStyle w:val="Header"/>
    </w:pPr>
  </w:p>
  <w:p w14:paraId="774AB098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3301"/>
    <w:multiLevelType w:val="hybridMultilevel"/>
    <w:tmpl w:val="E2789EF8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45C6B2C"/>
    <w:multiLevelType w:val="multilevel"/>
    <w:tmpl w:val="911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6F5F"/>
    <w:multiLevelType w:val="hybridMultilevel"/>
    <w:tmpl w:val="45065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37EF5"/>
    <w:multiLevelType w:val="hybridMultilevel"/>
    <w:tmpl w:val="9B6E7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44A76"/>
    <w:multiLevelType w:val="multilevel"/>
    <w:tmpl w:val="C58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4AB2"/>
    <w:multiLevelType w:val="multilevel"/>
    <w:tmpl w:val="A6B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4F1"/>
    <w:multiLevelType w:val="multilevel"/>
    <w:tmpl w:val="084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A11B6"/>
    <w:multiLevelType w:val="multilevel"/>
    <w:tmpl w:val="402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51F1"/>
    <w:multiLevelType w:val="multilevel"/>
    <w:tmpl w:val="A77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570DE"/>
    <w:multiLevelType w:val="hybridMultilevel"/>
    <w:tmpl w:val="65B412C0"/>
    <w:lvl w:ilvl="0" w:tplc="AC42EFE8">
      <w:start w:val="1"/>
      <w:numFmt w:val="decimal"/>
      <w:lvlText w:val="%1."/>
      <w:lvlJc w:val="left"/>
      <w:pPr>
        <w:ind w:left="668" w:hanging="237"/>
      </w:pPr>
      <w:rPr>
        <w:rFonts w:ascii="Cambria" w:eastAsia="Cambria" w:hAnsi="Cambria" w:cs="Cambria" w:hint="default"/>
        <w:b/>
        <w:bCs/>
        <w:i w:val="0"/>
        <w:iCs w:val="0"/>
        <w:spacing w:val="0"/>
        <w:w w:val="91"/>
        <w:sz w:val="22"/>
        <w:szCs w:val="22"/>
        <w:u w:val="single" w:color="000000"/>
        <w:lang w:val="en-US" w:eastAsia="en-US" w:bidi="ar-SA"/>
      </w:rPr>
    </w:lvl>
    <w:lvl w:ilvl="1" w:tplc="181C6834">
      <w:start w:val="1"/>
      <w:numFmt w:val="upperLetter"/>
      <w:lvlText w:val="%2)"/>
      <w:lvlJc w:val="left"/>
      <w:pPr>
        <w:ind w:left="432" w:hanging="289"/>
      </w:pPr>
      <w:rPr>
        <w:rFonts w:ascii="Cambria" w:eastAsia="Cambria" w:hAnsi="Cambria" w:cs="Cambria" w:hint="default"/>
        <w:b/>
        <w:bCs/>
        <w:i w:val="0"/>
        <w:iCs w:val="0"/>
        <w:spacing w:val="0"/>
        <w:w w:val="93"/>
        <w:sz w:val="22"/>
        <w:szCs w:val="22"/>
        <w:u w:val="single" w:color="000000"/>
        <w:lang w:val="en-US" w:eastAsia="en-US" w:bidi="ar-SA"/>
      </w:rPr>
    </w:lvl>
    <w:lvl w:ilvl="2" w:tplc="13CCE43A">
      <w:start w:val="1"/>
      <w:numFmt w:val="decimal"/>
      <w:lvlText w:val="%3."/>
      <w:lvlJc w:val="left"/>
      <w:pPr>
        <w:ind w:left="668" w:hanging="23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38FC98DE">
      <w:start w:val="1"/>
      <w:numFmt w:val="lowerRoman"/>
      <w:lvlText w:val="%4."/>
      <w:lvlJc w:val="left"/>
      <w:pPr>
        <w:ind w:left="1108" w:hanging="430"/>
        <w:jc w:val="right"/>
      </w:pPr>
      <w:rPr>
        <w:rFonts w:hint="default"/>
        <w:spacing w:val="0"/>
        <w:w w:val="103"/>
        <w:lang w:val="en-US" w:eastAsia="en-US" w:bidi="ar-SA"/>
      </w:rPr>
    </w:lvl>
    <w:lvl w:ilvl="4" w:tplc="FC2CBCE0">
      <w:numFmt w:val="bullet"/>
      <w:lvlText w:val="•"/>
      <w:lvlJc w:val="left"/>
      <w:pPr>
        <w:ind w:left="1260" w:hanging="430"/>
      </w:pPr>
      <w:rPr>
        <w:rFonts w:hint="default"/>
        <w:lang w:val="en-US" w:eastAsia="en-US" w:bidi="ar-SA"/>
      </w:rPr>
    </w:lvl>
    <w:lvl w:ilvl="5" w:tplc="8F1A5164">
      <w:numFmt w:val="bullet"/>
      <w:lvlText w:val="•"/>
      <w:lvlJc w:val="left"/>
      <w:pPr>
        <w:ind w:left="2550" w:hanging="430"/>
      </w:pPr>
      <w:rPr>
        <w:rFonts w:hint="default"/>
        <w:lang w:val="en-US" w:eastAsia="en-US" w:bidi="ar-SA"/>
      </w:rPr>
    </w:lvl>
    <w:lvl w:ilvl="6" w:tplc="D5D600EA">
      <w:numFmt w:val="bullet"/>
      <w:lvlText w:val="•"/>
      <w:lvlJc w:val="left"/>
      <w:pPr>
        <w:ind w:left="3840" w:hanging="430"/>
      </w:pPr>
      <w:rPr>
        <w:rFonts w:hint="default"/>
        <w:lang w:val="en-US" w:eastAsia="en-US" w:bidi="ar-SA"/>
      </w:rPr>
    </w:lvl>
    <w:lvl w:ilvl="7" w:tplc="5E2413A8">
      <w:numFmt w:val="bullet"/>
      <w:lvlText w:val="•"/>
      <w:lvlJc w:val="left"/>
      <w:pPr>
        <w:ind w:left="5130" w:hanging="430"/>
      </w:pPr>
      <w:rPr>
        <w:rFonts w:hint="default"/>
        <w:lang w:val="en-US" w:eastAsia="en-US" w:bidi="ar-SA"/>
      </w:rPr>
    </w:lvl>
    <w:lvl w:ilvl="8" w:tplc="72466DDE">
      <w:numFmt w:val="bullet"/>
      <w:lvlText w:val="•"/>
      <w:lvlJc w:val="left"/>
      <w:pPr>
        <w:ind w:left="6420" w:hanging="430"/>
      </w:pPr>
      <w:rPr>
        <w:rFonts w:hint="default"/>
        <w:lang w:val="en-US" w:eastAsia="en-US" w:bidi="ar-SA"/>
      </w:rPr>
    </w:lvl>
  </w:abstractNum>
  <w:abstractNum w:abstractNumId="10" w15:restartNumberingAfterBreak="0">
    <w:nsid w:val="4D127B5E"/>
    <w:multiLevelType w:val="multilevel"/>
    <w:tmpl w:val="21D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74BE6"/>
    <w:multiLevelType w:val="hybridMultilevel"/>
    <w:tmpl w:val="389E59F2"/>
    <w:lvl w:ilvl="0" w:tplc="8258F448">
      <w:start w:val="17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3264A"/>
    <w:multiLevelType w:val="multilevel"/>
    <w:tmpl w:val="301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94BC0"/>
    <w:multiLevelType w:val="multilevel"/>
    <w:tmpl w:val="85C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59D2"/>
    <w:multiLevelType w:val="multilevel"/>
    <w:tmpl w:val="32A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E57E6"/>
    <w:multiLevelType w:val="multilevel"/>
    <w:tmpl w:val="BC7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028AC"/>
    <w:multiLevelType w:val="hybridMultilevel"/>
    <w:tmpl w:val="C8305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EF4438"/>
    <w:multiLevelType w:val="hybridMultilevel"/>
    <w:tmpl w:val="92568CEE"/>
    <w:lvl w:ilvl="0" w:tplc="5A76F5AC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3"/>
  </w:num>
  <w:num w:numId="5">
    <w:abstractNumId w:val="12"/>
  </w:num>
  <w:num w:numId="6">
    <w:abstractNumId w:val="8"/>
  </w:num>
  <w:num w:numId="7">
    <w:abstractNumId w:val="6"/>
  </w:num>
  <w:num w:numId="8">
    <w:abstractNumId w:val="4"/>
  </w:num>
  <w:num w:numId="9">
    <w:abstractNumId w:val="2"/>
  </w:num>
  <w:num w:numId="10">
    <w:abstractNumId w:val="16"/>
  </w:num>
  <w:num w:numId="11">
    <w:abstractNumId w:val="7"/>
  </w:num>
  <w:num w:numId="12">
    <w:abstractNumId w:val="10"/>
  </w:num>
  <w:num w:numId="13">
    <w:abstractNumId w:val="3"/>
  </w:num>
  <w:num w:numId="14">
    <w:abstractNumId w:val="5"/>
  </w:num>
  <w:num w:numId="15">
    <w:abstractNumId w:val="14"/>
  </w:num>
  <w:num w:numId="16">
    <w:abstractNumId w:val="15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24D3"/>
    <w:rsid w:val="000030A4"/>
    <w:rsid w:val="000C2615"/>
    <w:rsid w:val="00110A01"/>
    <w:rsid w:val="00144C75"/>
    <w:rsid w:val="0017008B"/>
    <w:rsid w:val="0017277C"/>
    <w:rsid w:val="00196742"/>
    <w:rsid w:val="001C4EEF"/>
    <w:rsid w:val="001E5EF2"/>
    <w:rsid w:val="001F48AA"/>
    <w:rsid w:val="001F7A78"/>
    <w:rsid w:val="002000D1"/>
    <w:rsid w:val="00217E36"/>
    <w:rsid w:val="00226668"/>
    <w:rsid w:val="00260D52"/>
    <w:rsid w:val="00287122"/>
    <w:rsid w:val="002A4112"/>
    <w:rsid w:val="00310638"/>
    <w:rsid w:val="00311C60"/>
    <w:rsid w:val="00312861"/>
    <w:rsid w:val="00351734"/>
    <w:rsid w:val="00352C1C"/>
    <w:rsid w:val="003D3FA4"/>
    <w:rsid w:val="003E3CEB"/>
    <w:rsid w:val="004056CC"/>
    <w:rsid w:val="004129FA"/>
    <w:rsid w:val="00434E16"/>
    <w:rsid w:val="004505F3"/>
    <w:rsid w:val="004A05A9"/>
    <w:rsid w:val="004F3FE8"/>
    <w:rsid w:val="00514827"/>
    <w:rsid w:val="00527C2C"/>
    <w:rsid w:val="0059759C"/>
    <w:rsid w:val="00615787"/>
    <w:rsid w:val="00616DED"/>
    <w:rsid w:val="00635784"/>
    <w:rsid w:val="0063699A"/>
    <w:rsid w:val="00644279"/>
    <w:rsid w:val="006745EB"/>
    <w:rsid w:val="00676922"/>
    <w:rsid w:val="0067766E"/>
    <w:rsid w:val="00693711"/>
    <w:rsid w:val="0069724D"/>
    <w:rsid w:val="006B38D5"/>
    <w:rsid w:val="00752DB9"/>
    <w:rsid w:val="00786AE2"/>
    <w:rsid w:val="007B08B6"/>
    <w:rsid w:val="007D431F"/>
    <w:rsid w:val="008113A4"/>
    <w:rsid w:val="00887C6E"/>
    <w:rsid w:val="008A47F0"/>
    <w:rsid w:val="008E46F8"/>
    <w:rsid w:val="00937968"/>
    <w:rsid w:val="009665B1"/>
    <w:rsid w:val="00975387"/>
    <w:rsid w:val="0098028D"/>
    <w:rsid w:val="009E497F"/>
    <w:rsid w:val="00A5709F"/>
    <w:rsid w:val="00A61609"/>
    <w:rsid w:val="00AA6025"/>
    <w:rsid w:val="00AB2481"/>
    <w:rsid w:val="00AD01B1"/>
    <w:rsid w:val="00AE542F"/>
    <w:rsid w:val="00B00A85"/>
    <w:rsid w:val="00B14468"/>
    <w:rsid w:val="00B30758"/>
    <w:rsid w:val="00B75B59"/>
    <w:rsid w:val="00B925AC"/>
    <w:rsid w:val="00BA37C1"/>
    <w:rsid w:val="00BA534B"/>
    <w:rsid w:val="00BB181A"/>
    <w:rsid w:val="00BF3D4A"/>
    <w:rsid w:val="00C04201"/>
    <w:rsid w:val="00C6251C"/>
    <w:rsid w:val="00C90734"/>
    <w:rsid w:val="00C92B4F"/>
    <w:rsid w:val="00CD579F"/>
    <w:rsid w:val="00CD7A7A"/>
    <w:rsid w:val="00CE21FD"/>
    <w:rsid w:val="00D0096A"/>
    <w:rsid w:val="00D00F4F"/>
    <w:rsid w:val="00D31013"/>
    <w:rsid w:val="00E02F7D"/>
    <w:rsid w:val="00E032C8"/>
    <w:rsid w:val="00E1453E"/>
    <w:rsid w:val="00EE614C"/>
    <w:rsid w:val="00EF0F94"/>
    <w:rsid w:val="00F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2C09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link w:val="Heading1Char"/>
    <w:uiPriority w:val="9"/>
    <w:qFormat/>
    <w:rsid w:val="004056CC"/>
    <w:pPr>
      <w:widowControl w:val="0"/>
      <w:autoSpaceDE w:val="0"/>
      <w:autoSpaceDN w:val="0"/>
      <w:spacing w:after="0" w:line="240" w:lineRule="auto"/>
      <w:ind w:left="668" w:hanging="236"/>
      <w:outlineLvl w:val="0"/>
    </w:pPr>
    <w:rPr>
      <w:rFonts w:ascii="Cambria" w:eastAsia="Cambria" w:hAnsi="Cambria" w:cs="Cambria"/>
      <w:b/>
      <w:bCs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ListParagraph">
    <w:name w:val="List Paragraph"/>
    <w:basedOn w:val="Normal"/>
    <w:uiPriority w:val="1"/>
    <w:qFormat/>
    <w:rsid w:val="001967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56CC"/>
    <w:rPr>
      <w:rFonts w:ascii="Cambria" w:eastAsia="Cambria" w:hAnsi="Cambria" w:cs="Cambria"/>
      <w:b/>
      <w:bCs/>
      <w:szCs w:val="22"/>
      <w:u w:val="single" w:color="000000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056C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056CC"/>
    <w:rPr>
      <w:rFonts w:ascii="Cambria" w:eastAsia="Cambria" w:hAnsi="Cambria" w:cs="Cambria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2026-03-27T09:06:00Z</cp:lastPrinted>
  <dcterms:created xsi:type="dcterms:W3CDTF">2026-03-27T09:19:00Z</dcterms:created>
  <dcterms:modified xsi:type="dcterms:W3CDTF">2026-03-27T09:19:00Z</dcterms:modified>
</cp:coreProperties>
</file>