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4EE4D8" w14:textId="77777777" w:rsidR="008F5FD8" w:rsidRDefault="008F5FD8" w:rsidP="0054580C">
      <w:pPr>
        <w:spacing w:after="0" w:line="240" w:lineRule="auto"/>
        <w:ind w:left="0" w:firstLine="0"/>
        <w:jc w:val="right"/>
        <w:rPr>
          <w:rFonts w:ascii="Bookman Old Style" w:eastAsia="Times New Roman" w:hAnsi="Bookman Old Style" w:cs="Times New Roman"/>
          <w:b/>
          <w:sz w:val="24"/>
          <w:szCs w:val="24"/>
          <w:u w:val="single"/>
          <w:lang w:eastAsia="en-IN"/>
        </w:rPr>
      </w:pPr>
    </w:p>
    <w:p w14:paraId="58982982" w14:textId="783F2A83" w:rsidR="003B534F" w:rsidRPr="00876AF7" w:rsidRDefault="0054580C" w:rsidP="0054580C">
      <w:pPr>
        <w:spacing w:after="0" w:line="240" w:lineRule="auto"/>
        <w:ind w:left="0" w:firstLine="0"/>
        <w:jc w:val="right"/>
        <w:rPr>
          <w:rFonts w:ascii="Bookman Old Style" w:eastAsia="Times New Roman" w:hAnsi="Bookman Old Style" w:cs="Times New Roman"/>
          <w:b/>
          <w:sz w:val="24"/>
          <w:szCs w:val="24"/>
          <w:u w:val="single"/>
          <w:lang w:eastAsia="en-IN"/>
        </w:rPr>
      </w:pPr>
      <w:r>
        <w:rPr>
          <w:rFonts w:ascii="Bookman Old Style" w:eastAsia="Times New Roman" w:hAnsi="Bookman Old Style" w:cs="Times New Roman"/>
          <w:b/>
          <w:sz w:val="24"/>
          <w:szCs w:val="24"/>
          <w:u w:val="single"/>
          <w:lang w:eastAsia="en-IN"/>
        </w:rPr>
        <w:t>Annexure I</w:t>
      </w:r>
    </w:p>
    <w:p w14:paraId="08169F40" w14:textId="430EE2F9" w:rsidR="001A6587" w:rsidRPr="00876AF7" w:rsidRDefault="001A6587" w:rsidP="00876AF7">
      <w:pPr>
        <w:rPr>
          <w:rFonts w:ascii="Bookman Old Style" w:hAnsi="Bookman Old Style"/>
          <w:sz w:val="24"/>
          <w:szCs w:val="24"/>
        </w:rPr>
      </w:pPr>
    </w:p>
    <w:p w14:paraId="6AECA55F" w14:textId="4DD9A439" w:rsidR="00876AF7" w:rsidRPr="00442DC2" w:rsidRDefault="00876AF7" w:rsidP="00442DC2">
      <w:pPr>
        <w:spacing w:before="100" w:beforeAutospacing="1" w:after="100" w:afterAutospacing="1" w:line="240" w:lineRule="auto"/>
        <w:ind w:left="0" w:firstLine="0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lang w:eastAsia="en-IN"/>
        </w:rPr>
        <w:t>Oil India Limited (OIL) has put in place a structured framework aimed at ensuring environmental protection, ecological restoration, and community participation during the closure or repurposing of abandoned and decommissioned well sites. The framework comprises the following components:</w:t>
      </w:r>
    </w:p>
    <w:p w14:paraId="13911FC8" w14:textId="77777777" w:rsidR="00876AF7" w:rsidRPr="00442DC2" w:rsidRDefault="00F97CF2" w:rsidP="00442DC2">
      <w:pPr>
        <w:spacing w:after="0" w:line="240" w:lineRule="auto"/>
        <w:ind w:left="0" w:firstLine="0"/>
        <w:rPr>
          <w:rFonts w:ascii="Tahoma" w:eastAsia="Times New Roman" w:hAnsi="Tahoma" w:cs="Tahoma"/>
          <w:lang w:eastAsia="en-IN"/>
        </w:rPr>
      </w:pPr>
      <w:r>
        <w:rPr>
          <w:rFonts w:ascii="Tahoma" w:eastAsia="Times New Roman" w:hAnsi="Tahoma" w:cs="Tahoma"/>
          <w:lang w:eastAsia="en-IN"/>
        </w:rPr>
        <w:pict w14:anchorId="3F1BD274">
          <v:rect id="_x0000_i1025" style="width:0;height:1.5pt" o:hralign="center" o:hrstd="t" o:hr="t" fillcolor="#a0a0a0" stroked="f"/>
        </w:pict>
      </w:r>
    </w:p>
    <w:p w14:paraId="417CEF48" w14:textId="77777777" w:rsidR="00876AF7" w:rsidRPr="00442DC2" w:rsidRDefault="00876AF7" w:rsidP="00442DC2">
      <w:pPr>
        <w:spacing w:before="100" w:beforeAutospacing="1" w:after="100" w:afterAutospacing="1" w:line="240" w:lineRule="auto"/>
        <w:ind w:left="0" w:firstLine="0"/>
        <w:outlineLvl w:val="1"/>
        <w:rPr>
          <w:rFonts w:ascii="Tahoma" w:eastAsia="Times New Roman" w:hAnsi="Tahoma" w:cs="Tahoma"/>
          <w:b/>
          <w:bCs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1. Environmental Monitoring Framework</w:t>
      </w:r>
    </w:p>
    <w:p w14:paraId="70F47CC3" w14:textId="77777777" w:rsidR="00876AF7" w:rsidRPr="00442DC2" w:rsidRDefault="00876AF7" w:rsidP="00442DC2">
      <w:pPr>
        <w:spacing w:before="100" w:beforeAutospacing="1" w:after="100" w:afterAutospacing="1" w:line="240" w:lineRule="auto"/>
        <w:ind w:left="0" w:firstLine="0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a. Monitoring Network Design</w:t>
      </w:r>
    </w:p>
    <w:p w14:paraId="6E633C59" w14:textId="77777777" w:rsidR="00876AF7" w:rsidRPr="00442DC2" w:rsidRDefault="00876AF7" w:rsidP="00442D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lang w:eastAsia="en-IN"/>
        </w:rPr>
        <w:t>Installation of groundwater monitoring wells around legacy well sites to track subsurface contamination.</w:t>
      </w:r>
    </w:p>
    <w:p w14:paraId="700F17BE" w14:textId="77777777" w:rsidR="00876AF7" w:rsidRPr="00442DC2" w:rsidRDefault="00876AF7" w:rsidP="00442D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lang w:eastAsia="en-IN"/>
        </w:rPr>
        <w:t>Deployment of soil</w:t>
      </w:r>
      <w:r w:rsidRPr="00442DC2">
        <w:rPr>
          <w:rFonts w:ascii="Tahoma" w:eastAsia="Times New Roman" w:hAnsi="Tahoma" w:cs="Tahoma"/>
          <w:lang w:eastAsia="en-IN"/>
        </w:rPr>
        <w:noBreakHyphen/>
        <w:t>sampling grids covering sludge pits, spill zones, and historical contamination areas.</w:t>
      </w:r>
    </w:p>
    <w:p w14:paraId="0E0EC625" w14:textId="77777777" w:rsidR="00876AF7" w:rsidRPr="00442DC2" w:rsidRDefault="00876AF7" w:rsidP="00442D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lang w:eastAsia="en-IN"/>
        </w:rPr>
        <w:t>Installation of air</w:t>
      </w:r>
      <w:r w:rsidRPr="00442DC2">
        <w:rPr>
          <w:rFonts w:ascii="Tahoma" w:eastAsia="Times New Roman" w:hAnsi="Tahoma" w:cs="Tahoma"/>
          <w:lang w:eastAsia="en-IN"/>
        </w:rPr>
        <w:noBreakHyphen/>
        <w:t>quality monitoring stations to monitor fugitive emissions including VOCs and methane.</w:t>
      </w:r>
    </w:p>
    <w:p w14:paraId="67D41F21" w14:textId="77777777" w:rsidR="00876AF7" w:rsidRPr="00442DC2" w:rsidRDefault="00876AF7" w:rsidP="00442DC2">
      <w:pPr>
        <w:spacing w:before="100" w:beforeAutospacing="1" w:after="100" w:afterAutospacing="1" w:line="240" w:lineRule="auto"/>
        <w:ind w:left="0" w:firstLine="0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b. Key Monitoring Parameters</w:t>
      </w:r>
    </w:p>
    <w:p w14:paraId="4FBB1CD7" w14:textId="77777777" w:rsidR="00876AF7" w:rsidRPr="00442DC2" w:rsidRDefault="00876AF7" w:rsidP="00442D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Soil:</w:t>
      </w:r>
      <w:r w:rsidRPr="00442DC2">
        <w:rPr>
          <w:rFonts w:ascii="Tahoma" w:eastAsia="Times New Roman" w:hAnsi="Tahoma" w:cs="Tahoma"/>
          <w:lang w:eastAsia="en-IN"/>
        </w:rPr>
        <w:t xml:space="preserve"> Total Petroleum Hydrocarbons (TPH), heavy metals.</w:t>
      </w:r>
    </w:p>
    <w:p w14:paraId="584E3481" w14:textId="77777777" w:rsidR="00876AF7" w:rsidRPr="00442DC2" w:rsidRDefault="00876AF7" w:rsidP="00442D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Groundwater:</w:t>
      </w:r>
      <w:r w:rsidRPr="00442DC2">
        <w:rPr>
          <w:rFonts w:ascii="Tahoma" w:eastAsia="Times New Roman" w:hAnsi="Tahoma" w:cs="Tahoma"/>
          <w:lang w:eastAsia="en-IN"/>
        </w:rPr>
        <w:t xml:space="preserve"> BTEX, Total Dissolved Solids (TDS), hydrocarbons.</w:t>
      </w:r>
    </w:p>
    <w:p w14:paraId="4B410EE1" w14:textId="77777777" w:rsidR="00876AF7" w:rsidRPr="00442DC2" w:rsidRDefault="00876AF7" w:rsidP="00442D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Air:</w:t>
      </w:r>
      <w:r w:rsidRPr="00442DC2">
        <w:rPr>
          <w:rFonts w:ascii="Tahoma" w:eastAsia="Times New Roman" w:hAnsi="Tahoma" w:cs="Tahoma"/>
          <w:lang w:eastAsia="en-IN"/>
        </w:rPr>
        <w:t xml:space="preserve"> Volatile Organic Compounds (VOCs), methane.</w:t>
      </w:r>
    </w:p>
    <w:p w14:paraId="19E4BBA9" w14:textId="77777777" w:rsidR="00876AF7" w:rsidRPr="00442DC2" w:rsidRDefault="00876AF7" w:rsidP="00442DC2">
      <w:pPr>
        <w:spacing w:before="100" w:beforeAutospacing="1" w:after="100" w:afterAutospacing="1" w:line="240" w:lineRule="auto"/>
        <w:ind w:left="0" w:firstLine="0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c. Monitoring Frequency</w:t>
      </w:r>
    </w:p>
    <w:p w14:paraId="770007C6" w14:textId="77777777" w:rsidR="00876AF7" w:rsidRPr="00442DC2" w:rsidRDefault="00876AF7" w:rsidP="00442D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lang w:eastAsia="en-IN"/>
        </w:rPr>
        <w:t xml:space="preserve">Monitoring is carried out on a </w:t>
      </w:r>
      <w:r w:rsidRPr="00442DC2">
        <w:rPr>
          <w:rFonts w:ascii="Tahoma" w:eastAsia="Times New Roman" w:hAnsi="Tahoma" w:cs="Tahoma"/>
          <w:b/>
          <w:bCs/>
          <w:lang w:eastAsia="en-IN"/>
        </w:rPr>
        <w:t>quarterly basis</w:t>
      </w:r>
      <w:r w:rsidRPr="00442DC2">
        <w:rPr>
          <w:rFonts w:ascii="Tahoma" w:eastAsia="Times New Roman" w:hAnsi="Tahoma" w:cs="Tahoma"/>
          <w:lang w:eastAsia="en-IN"/>
        </w:rPr>
        <w:t xml:space="preserve"> to ensure consistent environmental oversight.</w:t>
      </w:r>
    </w:p>
    <w:p w14:paraId="57373EC6" w14:textId="77777777" w:rsidR="00876AF7" w:rsidRPr="00442DC2" w:rsidRDefault="00F97CF2" w:rsidP="00442DC2">
      <w:pPr>
        <w:spacing w:after="0" w:line="240" w:lineRule="auto"/>
        <w:ind w:left="0" w:firstLine="0"/>
        <w:rPr>
          <w:rFonts w:ascii="Tahoma" w:eastAsia="Times New Roman" w:hAnsi="Tahoma" w:cs="Tahoma"/>
          <w:lang w:eastAsia="en-IN"/>
        </w:rPr>
      </w:pPr>
      <w:r>
        <w:rPr>
          <w:rFonts w:ascii="Tahoma" w:eastAsia="Times New Roman" w:hAnsi="Tahoma" w:cs="Tahoma"/>
          <w:lang w:eastAsia="en-IN"/>
        </w:rPr>
        <w:pict w14:anchorId="29658D53">
          <v:rect id="_x0000_i1026" style="width:0;height:1.5pt" o:hralign="center" o:hrstd="t" o:hr="t" fillcolor="#a0a0a0" stroked="f"/>
        </w:pict>
      </w:r>
    </w:p>
    <w:p w14:paraId="7D7017E7" w14:textId="77777777" w:rsidR="00876AF7" w:rsidRPr="00442DC2" w:rsidRDefault="00876AF7" w:rsidP="00442DC2">
      <w:pPr>
        <w:spacing w:before="100" w:beforeAutospacing="1" w:after="100" w:afterAutospacing="1" w:line="240" w:lineRule="auto"/>
        <w:ind w:left="0" w:firstLine="0"/>
        <w:outlineLvl w:val="1"/>
        <w:rPr>
          <w:rFonts w:ascii="Tahoma" w:eastAsia="Times New Roman" w:hAnsi="Tahoma" w:cs="Tahoma"/>
          <w:b/>
          <w:bCs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2. Land Restoration and Rehabilitation Plan</w:t>
      </w:r>
    </w:p>
    <w:p w14:paraId="50520149" w14:textId="77777777" w:rsidR="00876AF7" w:rsidRPr="00442DC2" w:rsidRDefault="00876AF7" w:rsidP="00442DC2">
      <w:pPr>
        <w:spacing w:before="100" w:beforeAutospacing="1" w:after="100" w:afterAutospacing="1" w:line="240" w:lineRule="auto"/>
        <w:ind w:left="0" w:firstLine="0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a. Site Preparation</w:t>
      </w:r>
    </w:p>
    <w:p w14:paraId="75083DD6" w14:textId="77777777" w:rsidR="00876AF7" w:rsidRPr="00442DC2" w:rsidRDefault="00876AF7" w:rsidP="00442D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lang w:eastAsia="en-IN"/>
        </w:rPr>
        <w:t xml:space="preserve">Systematic </w:t>
      </w:r>
      <w:r w:rsidRPr="00442DC2">
        <w:rPr>
          <w:rFonts w:ascii="Tahoma" w:eastAsia="Times New Roman" w:hAnsi="Tahoma" w:cs="Tahoma"/>
          <w:b/>
          <w:bCs/>
          <w:lang w:eastAsia="en-IN"/>
        </w:rPr>
        <w:t>decommissioning of site infrastructure</w:t>
      </w:r>
      <w:r w:rsidRPr="00442DC2">
        <w:rPr>
          <w:rFonts w:ascii="Tahoma" w:eastAsia="Times New Roman" w:hAnsi="Tahoma" w:cs="Tahoma"/>
          <w:lang w:eastAsia="en-IN"/>
        </w:rPr>
        <w:t>, including safe dismantling and removal.</w:t>
      </w:r>
    </w:p>
    <w:p w14:paraId="58391F4B" w14:textId="77777777" w:rsidR="00876AF7" w:rsidRPr="00442DC2" w:rsidRDefault="00876AF7" w:rsidP="00442D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Excavation and removal</w:t>
      </w:r>
      <w:r w:rsidRPr="00442DC2">
        <w:rPr>
          <w:rFonts w:ascii="Tahoma" w:eastAsia="Times New Roman" w:hAnsi="Tahoma" w:cs="Tahoma"/>
          <w:lang w:eastAsia="en-IN"/>
        </w:rPr>
        <w:t xml:space="preserve"> of contaminated soil or sludge from impacted areas.</w:t>
      </w:r>
    </w:p>
    <w:p w14:paraId="22727776" w14:textId="77777777" w:rsidR="00876AF7" w:rsidRPr="00442DC2" w:rsidRDefault="00876AF7" w:rsidP="00442DC2">
      <w:pPr>
        <w:spacing w:before="100" w:beforeAutospacing="1" w:after="100" w:afterAutospacing="1" w:line="240" w:lineRule="auto"/>
        <w:ind w:left="0" w:firstLine="0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b. Remediation Techniques</w:t>
      </w:r>
    </w:p>
    <w:p w14:paraId="1C5D9CF9" w14:textId="77777777" w:rsidR="00876AF7" w:rsidRPr="00442DC2" w:rsidRDefault="00876AF7" w:rsidP="00442D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lang w:eastAsia="en-IN"/>
        </w:rPr>
        <w:t xml:space="preserve">Application of </w:t>
      </w:r>
      <w:r w:rsidRPr="00442DC2">
        <w:rPr>
          <w:rFonts w:ascii="Tahoma" w:eastAsia="Times New Roman" w:hAnsi="Tahoma" w:cs="Tahoma"/>
          <w:b/>
          <w:bCs/>
          <w:lang w:eastAsia="en-IN"/>
        </w:rPr>
        <w:t>bioremediation</w:t>
      </w:r>
      <w:r w:rsidRPr="00442DC2">
        <w:rPr>
          <w:rFonts w:ascii="Tahoma" w:eastAsia="Times New Roman" w:hAnsi="Tahoma" w:cs="Tahoma"/>
          <w:lang w:eastAsia="en-IN"/>
        </w:rPr>
        <w:t xml:space="preserve"> using </w:t>
      </w:r>
      <w:proofErr w:type="spellStart"/>
      <w:r w:rsidRPr="00442DC2">
        <w:rPr>
          <w:rFonts w:ascii="Tahoma" w:eastAsia="Times New Roman" w:hAnsi="Tahoma" w:cs="Tahoma"/>
          <w:i/>
          <w:iCs/>
          <w:lang w:eastAsia="en-IN"/>
        </w:rPr>
        <w:t>Oilzapp</w:t>
      </w:r>
      <w:proofErr w:type="spellEnd"/>
      <w:r w:rsidRPr="00442DC2">
        <w:rPr>
          <w:rFonts w:ascii="Tahoma" w:eastAsia="Times New Roman" w:hAnsi="Tahoma" w:cs="Tahoma"/>
          <w:lang w:eastAsia="en-IN"/>
        </w:rPr>
        <w:t xml:space="preserve"> bacterial formulation or other approved bioremediation agents to treat hydrocarbon</w:t>
      </w:r>
      <w:r w:rsidRPr="00442DC2">
        <w:rPr>
          <w:rFonts w:ascii="Tahoma" w:eastAsia="Times New Roman" w:hAnsi="Tahoma" w:cs="Tahoma"/>
          <w:lang w:eastAsia="en-IN"/>
        </w:rPr>
        <w:noBreakHyphen/>
        <w:t>contaminated soil.</w:t>
      </w:r>
    </w:p>
    <w:p w14:paraId="4E5BAB49" w14:textId="77777777" w:rsidR="00876AF7" w:rsidRPr="00442DC2" w:rsidRDefault="00876AF7" w:rsidP="00442DC2">
      <w:pPr>
        <w:spacing w:before="100" w:beforeAutospacing="1" w:after="100" w:afterAutospacing="1" w:line="240" w:lineRule="auto"/>
        <w:ind w:left="0" w:firstLine="0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c. Landform Restoration</w:t>
      </w:r>
    </w:p>
    <w:p w14:paraId="2DC6FD84" w14:textId="77777777" w:rsidR="00876AF7" w:rsidRPr="00442DC2" w:rsidRDefault="00876AF7" w:rsidP="00442D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lastRenderedPageBreak/>
        <w:t>Backfilling, grading, and contouring</w:t>
      </w:r>
      <w:r w:rsidRPr="00442DC2">
        <w:rPr>
          <w:rFonts w:ascii="Tahoma" w:eastAsia="Times New Roman" w:hAnsi="Tahoma" w:cs="Tahoma"/>
          <w:lang w:eastAsia="en-IN"/>
        </w:rPr>
        <w:t xml:space="preserve"> to restore the site to near</w:t>
      </w:r>
      <w:r w:rsidRPr="00442DC2">
        <w:rPr>
          <w:rFonts w:ascii="Tahoma" w:eastAsia="Times New Roman" w:hAnsi="Tahoma" w:cs="Tahoma"/>
          <w:lang w:eastAsia="en-IN"/>
        </w:rPr>
        <w:noBreakHyphen/>
        <w:t>natural topographical conditions, ensuring long</w:t>
      </w:r>
      <w:r w:rsidRPr="00442DC2">
        <w:rPr>
          <w:rFonts w:ascii="Tahoma" w:eastAsia="Times New Roman" w:hAnsi="Tahoma" w:cs="Tahoma"/>
          <w:lang w:eastAsia="en-IN"/>
        </w:rPr>
        <w:noBreakHyphen/>
        <w:t>term stability and minimization of erosion.</w:t>
      </w:r>
    </w:p>
    <w:p w14:paraId="45F87D4E" w14:textId="77777777" w:rsidR="00876AF7" w:rsidRPr="00442DC2" w:rsidRDefault="00876AF7" w:rsidP="00442DC2">
      <w:pPr>
        <w:spacing w:before="100" w:beforeAutospacing="1" w:after="100" w:afterAutospacing="1" w:line="240" w:lineRule="auto"/>
        <w:ind w:left="0" w:firstLine="0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d. Ecological Restoration</w:t>
      </w:r>
    </w:p>
    <w:p w14:paraId="68EBF6B2" w14:textId="77777777" w:rsidR="00876AF7" w:rsidRPr="00442DC2" w:rsidRDefault="00876AF7" w:rsidP="00442D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Plantation of native species</w:t>
      </w:r>
      <w:r w:rsidRPr="00442DC2">
        <w:rPr>
          <w:rFonts w:ascii="Tahoma" w:eastAsia="Times New Roman" w:hAnsi="Tahoma" w:cs="Tahoma"/>
          <w:lang w:eastAsia="en-IN"/>
        </w:rPr>
        <w:t xml:space="preserve"> for habitat recovery and restoration of local biodiversity.</w:t>
      </w:r>
    </w:p>
    <w:p w14:paraId="3F63F0F1" w14:textId="77777777" w:rsidR="00876AF7" w:rsidRPr="00442DC2" w:rsidRDefault="00F97CF2" w:rsidP="00442DC2">
      <w:pPr>
        <w:spacing w:after="0" w:line="240" w:lineRule="auto"/>
        <w:ind w:left="0" w:firstLine="0"/>
        <w:rPr>
          <w:rFonts w:ascii="Tahoma" w:eastAsia="Times New Roman" w:hAnsi="Tahoma" w:cs="Tahoma"/>
          <w:lang w:eastAsia="en-IN"/>
        </w:rPr>
      </w:pPr>
      <w:r>
        <w:rPr>
          <w:rFonts w:ascii="Tahoma" w:eastAsia="Times New Roman" w:hAnsi="Tahoma" w:cs="Tahoma"/>
          <w:lang w:eastAsia="en-IN"/>
        </w:rPr>
        <w:pict w14:anchorId="37EB732F">
          <v:rect id="_x0000_i1027" style="width:0;height:1.5pt" o:hralign="center" o:hrstd="t" o:hr="t" fillcolor="#a0a0a0" stroked="f"/>
        </w:pict>
      </w:r>
    </w:p>
    <w:p w14:paraId="781F2510" w14:textId="77777777" w:rsidR="00876AF7" w:rsidRPr="00442DC2" w:rsidRDefault="00876AF7" w:rsidP="00442DC2">
      <w:pPr>
        <w:spacing w:before="100" w:beforeAutospacing="1" w:after="100" w:afterAutospacing="1" w:line="240" w:lineRule="auto"/>
        <w:ind w:left="0" w:firstLine="0"/>
        <w:outlineLvl w:val="1"/>
        <w:rPr>
          <w:rFonts w:ascii="Tahoma" w:eastAsia="Times New Roman" w:hAnsi="Tahoma" w:cs="Tahoma"/>
          <w:b/>
          <w:bCs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3. Stakeholder Engagement and Community Participation</w:t>
      </w:r>
    </w:p>
    <w:p w14:paraId="5DDDDD02" w14:textId="77777777" w:rsidR="00876AF7" w:rsidRPr="00442DC2" w:rsidRDefault="00876AF7" w:rsidP="00442DC2">
      <w:pPr>
        <w:spacing w:before="100" w:beforeAutospacing="1" w:after="100" w:afterAutospacing="1" w:line="240" w:lineRule="auto"/>
        <w:ind w:left="0" w:firstLine="0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a. Stakeholder Identification</w:t>
      </w:r>
    </w:p>
    <w:p w14:paraId="23747BDB" w14:textId="77777777" w:rsidR="00876AF7" w:rsidRPr="00442DC2" w:rsidRDefault="00876AF7" w:rsidP="00442D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lang w:eastAsia="en-IN"/>
        </w:rPr>
        <w:t>Local communities, landowners, and affected households.</w:t>
      </w:r>
    </w:p>
    <w:p w14:paraId="46C04A23" w14:textId="77777777" w:rsidR="00876AF7" w:rsidRPr="00442DC2" w:rsidRDefault="00876AF7" w:rsidP="00442D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lang w:eastAsia="en-IN"/>
        </w:rPr>
        <w:t>Village Panchayats, district authorities, and local administrative bodies.</w:t>
      </w:r>
    </w:p>
    <w:p w14:paraId="59E908CA" w14:textId="77777777" w:rsidR="00876AF7" w:rsidRPr="00442DC2" w:rsidRDefault="00876AF7" w:rsidP="00442D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lang w:eastAsia="en-IN"/>
        </w:rPr>
        <w:t xml:space="preserve">Statutory and regulatory agencies including the State Pollution Control Board (SPCB) and </w:t>
      </w:r>
      <w:proofErr w:type="spellStart"/>
      <w:r w:rsidRPr="00442DC2">
        <w:rPr>
          <w:rFonts w:ascii="Tahoma" w:eastAsia="Times New Roman" w:hAnsi="Tahoma" w:cs="Tahoma"/>
          <w:lang w:eastAsia="en-IN"/>
        </w:rPr>
        <w:t>MoEF&amp;CC</w:t>
      </w:r>
      <w:proofErr w:type="spellEnd"/>
      <w:r w:rsidRPr="00442DC2">
        <w:rPr>
          <w:rFonts w:ascii="Tahoma" w:eastAsia="Times New Roman" w:hAnsi="Tahoma" w:cs="Tahoma"/>
          <w:lang w:eastAsia="en-IN"/>
        </w:rPr>
        <w:t>.</w:t>
      </w:r>
    </w:p>
    <w:p w14:paraId="5C0312AF" w14:textId="77777777" w:rsidR="00876AF7" w:rsidRPr="00442DC2" w:rsidRDefault="00876AF7" w:rsidP="00442DC2">
      <w:pPr>
        <w:spacing w:before="100" w:beforeAutospacing="1" w:after="100" w:afterAutospacing="1" w:line="240" w:lineRule="auto"/>
        <w:ind w:left="0" w:firstLine="0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b. Consultation Mechanisms</w:t>
      </w:r>
    </w:p>
    <w:p w14:paraId="7CF0B397" w14:textId="77777777" w:rsidR="00876AF7" w:rsidRPr="00442DC2" w:rsidRDefault="00876AF7" w:rsidP="00442D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Public hearings</w:t>
      </w:r>
      <w:r w:rsidRPr="00442DC2">
        <w:rPr>
          <w:rFonts w:ascii="Tahoma" w:eastAsia="Times New Roman" w:hAnsi="Tahoma" w:cs="Tahoma"/>
          <w:lang w:eastAsia="en-IN"/>
        </w:rPr>
        <w:t xml:space="preserve"> as part of regulatory compliance.</w:t>
      </w:r>
    </w:p>
    <w:p w14:paraId="392696E6" w14:textId="77777777" w:rsidR="00876AF7" w:rsidRPr="00442DC2" w:rsidRDefault="00876AF7" w:rsidP="00442D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Participatory decision</w:t>
      </w:r>
      <w:r w:rsidRPr="00442DC2">
        <w:rPr>
          <w:rFonts w:ascii="Tahoma" w:eastAsia="Times New Roman" w:hAnsi="Tahoma" w:cs="Tahoma"/>
          <w:b/>
          <w:bCs/>
          <w:lang w:eastAsia="en-IN"/>
        </w:rPr>
        <w:noBreakHyphen/>
        <w:t>making</w:t>
      </w:r>
      <w:r w:rsidRPr="00442DC2">
        <w:rPr>
          <w:rFonts w:ascii="Tahoma" w:eastAsia="Times New Roman" w:hAnsi="Tahoma" w:cs="Tahoma"/>
          <w:lang w:eastAsia="en-IN"/>
        </w:rPr>
        <w:t xml:space="preserve"> with local stakeholders regarding land reuse options and post</w:t>
      </w:r>
      <w:r w:rsidRPr="00442DC2">
        <w:rPr>
          <w:rFonts w:ascii="Tahoma" w:eastAsia="Times New Roman" w:hAnsi="Tahoma" w:cs="Tahoma"/>
          <w:lang w:eastAsia="en-IN"/>
        </w:rPr>
        <w:noBreakHyphen/>
        <w:t>closure site utilization.</w:t>
      </w:r>
    </w:p>
    <w:p w14:paraId="1877D6E4" w14:textId="77777777" w:rsidR="00876AF7" w:rsidRPr="00442DC2" w:rsidRDefault="00876AF7" w:rsidP="00442DC2">
      <w:pPr>
        <w:spacing w:before="100" w:beforeAutospacing="1" w:after="100" w:afterAutospacing="1" w:line="240" w:lineRule="auto"/>
        <w:ind w:left="0" w:firstLine="0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c. Community Safety Measures</w:t>
      </w:r>
    </w:p>
    <w:p w14:paraId="487B9A6E" w14:textId="77777777" w:rsidR="00876AF7" w:rsidRPr="00442DC2" w:rsidRDefault="00876AF7" w:rsidP="00442D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Risk communication programmes</w:t>
      </w:r>
      <w:r w:rsidRPr="00442DC2">
        <w:rPr>
          <w:rFonts w:ascii="Tahoma" w:eastAsia="Times New Roman" w:hAnsi="Tahoma" w:cs="Tahoma"/>
          <w:lang w:eastAsia="en-IN"/>
        </w:rPr>
        <w:t xml:space="preserve"> covering drinking</w:t>
      </w:r>
      <w:r w:rsidRPr="00442DC2">
        <w:rPr>
          <w:rFonts w:ascii="Tahoma" w:eastAsia="Times New Roman" w:hAnsi="Tahoma" w:cs="Tahoma"/>
          <w:lang w:eastAsia="en-IN"/>
        </w:rPr>
        <w:noBreakHyphen/>
        <w:t>water safety and land</w:t>
      </w:r>
      <w:r w:rsidRPr="00442DC2">
        <w:rPr>
          <w:rFonts w:ascii="Tahoma" w:eastAsia="Times New Roman" w:hAnsi="Tahoma" w:cs="Tahoma"/>
          <w:lang w:eastAsia="en-IN"/>
        </w:rPr>
        <w:noBreakHyphen/>
        <w:t>use restrictions (where applicable).</w:t>
      </w:r>
    </w:p>
    <w:p w14:paraId="48E0513E" w14:textId="77777777" w:rsidR="00876AF7" w:rsidRPr="00442DC2" w:rsidRDefault="00876AF7" w:rsidP="00442D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Health camps</w:t>
      </w:r>
      <w:r w:rsidRPr="00442DC2">
        <w:rPr>
          <w:rFonts w:ascii="Tahoma" w:eastAsia="Times New Roman" w:hAnsi="Tahoma" w:cs="Tahoma"/>
          <w:lang w:eastAsia="en-IN"/>
        </w:rPr>
        <w:t xml:space="preserve"> and </w:t>
      </w:r>
      <w:r w:rsidRPr="00442DC2">
        <w:rPr>
          <w:rFonts w:ascii="Tahoma" w:eastAsia="Times New Roman" w:hAnsi="Tahoma" w:cs="Tahoma"/>
          <w:b/>
          <w:bCs/>
          <w:lang w:eastAsia="en-IN"/>
        </w:rPr>
        <w:t>environmental awareness programmes</w:t>
      </w:r>
      <w:r w:rsidRPr="00442DC2">
        <w:rPr>
          <w:rFonts w:ascii="Tahoma" w:eastAsia="Times New Roman" w:hAnsi="Tahoma" w:cs="Tahoma"/>
          <w:lang w:eastAsia="en-IN"/>
        </w:rPr>
        <w:t xml:space="preserve"> in surrounding communities.</w:t>
      </w:r>
    </w:p>
    <w:p w14:paraId="609984D9" w14:textId="77777777" w:rsidR="00876AF7" w:rsidRPr="00442DC2" w:rsidRDefault="00876AF7" w:rsidP="00442DC2">
      <w:pPr>
        <w:spacing w:before="100" w:beforeAutospacing="1" w:after="100" w:afterAutospacing="1" w:line="240" w:lineRule="auto"/>
        <w:ind w:left="0" w:firstLine="0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d. Livelihood Integration</w:t>
      </w:r>
    </w:p>
    <w:p w14:paraId="7C8A640D" w14:textId="77777777" w:rsidR="00876AF7" w:rsidRPr="00442DC2" w:rsidRDefault="00876AF7" w:rsidP="00442D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Employment opportunities</w:t>
      </w:r>
      <w:r w:rsidRPr="00442DC2">
        <w:rPr>
          <w:rFonts w:ascii="Tahoma" w:eastAsia="Times New Roman" w:hAnsi="Tahoma" w:cs="Tahoma"/>
          <w:lang w:eastAsia="en-IN"/>
        </w:rPr>
        <w:t xml:space="preserve"> for local communities in remediation, restoration, and plantation works.</w:t>
      </w:r>
    </w:p>
    <w:p w14:paraId="642D4427" w14:textId="77777777" w:rsidR="00876AF7" w:rsidRPr="00442DC2" w:rsidRDefault="00876AF7" w:rsidP="00442D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b/>
          <w:bCs/>
          <w:lang w:eastAsia="en-IN"/>
        </w:rPr>
        <w:t>Skill</w:t>
      </w:r>
      <w:r w:rsidRPr="00442DC2">
        <w:rPr>
          <w:rFonts w:ascii="Tahoma" w:eastAsia="Times New Roman" w:hAnsi="Tahoma" w:cs="Tahoma"/>
          <w:b/>
          <w:bCs/>
          <w:lang w:eastAsia="en-IN"/>
        </w:rPr>
        <w:noBreakHyphen/>
        <w:t>development programmes</w:t>
      </w:r>
      <w:r w:rsidRPr="00442DC2">
        <w:rPr>
          <w:rFonts w:ascii="Tahoma" w:eastAsia="Times New Roman" w:hAnsi="Tahoma" w:cs="Tahoma"/>
          <w:lang w:eastAsia="en-IN"/>
        </w:rPr>
        <w:t xml:space="preserve"> for land restoration, environmental monitoring, and associated activities.</w:t>
      </w:r>
    </w:p>
    <w:p w14:paraId="379C68B5" w14:textId="77777777" w:rsidR="00876AF7" w:rsidRPr="00442DC2" w:rsidRDefault="00876AF7" w:rsidP="00442D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lang w:eastAsia="en-IN"/>
        </w:rPr>
        <w:t xml:space="preserve">Support for </w:t>
      </w:r>
      <w:r w:rsidRPr="00442DC2">
        <w:rPr>
          <w:rFonts w:ascii="Tahoma" w:eastAsia="Times New Roman" w:hAnsi="Tahoma" w:cs="Tahoma"/>
          <w:b/>
          <w:bCs/>
          <w:lang w:eastAsia="en-IN"/>
        </w:rPr>
        <w:t>agriculture</w:t>
      </w:r>
      <w:r w:rsidRPr="00442DC2">
        <w:rPr>
          <w:rFonts w:ascii="Tahoma" w:eastAsia="Times New Roman" w:hAnsi="Tahoma" w:cs="Tahoma"/>
          <w:b/>
          <w:bCs/>
          <w:lang w:eastAsia="en-IN"/>
        </w:rPr>
        <w:noBreakHyphen/>
        <w:t>based or other alternative livelihoods</w:t>
      </w:r>
      <w:r w:rsidRPr="00442DC2">
        <w:rPr>
          <w:rFonts w:ascii="Tahoma" w:eastAsia="Times New Roman" w:hAnsi="Tahoma" w:cs="Tahoma"/>
          <w:lang w:eastAsia="en-IN"/>
        </w:rPr>
        <w:t xml:space="preserve"> post site restoration.</w:t>
      </w:r>
    </w:p>
    <w:p w14:paraId="0669A7BF" w14:textId="77777777" w:rsidR="00876AF7" w:rsidRPr="00442DC2" w:rsidRDefault="00F97CF2" w:rsidP="00442DC2">
      <w:pPr>
        <w:spacing w:after="0" w:line="240" w:lineRule="auto"/>
        <w:ind w:left="0" w:firstLine="0"/>
        <w:rPr>
          <w:rFonts w:ascii="Tahoma" w:eastAsia="Times New Roman" w:hAnsi="Tahoma" w:cs="Tahoma"/>
          <w:lang w:eastAsia="en-IN"/>
        </w:rPr>
      </w:pPr>
      <w:r>
        <w:rPr>
          <w:rFonts w:ascii="Tahoma" w:eastAsia="Times New Roman" w:hAnsi="Tahoma" w:cs="Tahoma"/>
          <w:lang w:eastAsia="en-IN"/>
        </w:rPr>
        <w:pict w14:anchorId="5EAE973B">
          <v:rect id="_x0000_i1028" style="width:0;height:1.5pt" o:hralign="center" o:hrstd="t" o:hr="t" fillcolor="#a0a0a0" stroked="f"/>
        </w:pict>
      </w:r>
    </w:p>
    <w:p w14:paraId="3E4E10F0" w14:textId="77777777" w:rsidR="00876AF7" w:rsidRPr="00442DC2" w:rsidRDefault="00876AF7" w:rsidP="00442DC2">
      <w:pPr>
        <w:spacing w:before="100" w:beforeAutospacing="1" w:after="100" w:afterAutospacing="1" w:line="240" w:lineRule="auto"/>
        <w:ind w:left="0" w:firstLine="0"/>
        <w:rPr>
          <w:rFonts w:ascii="Tahoma" w:eastAsia="Times New Roman" w:hAnsi="Tahoma" w:cs="Tahoma"/>
          <w:lang w:eastAsia="en-IN"/>
        </w:rPr>
      </w:pPr>
      <w:r w:rsidRPr="00442DC2">
        <w:rPr>
          <w:rFonts w:ascii="Tahoma" w:eastAsia="Times New Roman" w:hAnsi="Tahoma" w:cs="Tahoma"/>
          <w:lang w:eastAsia="en-IN"/>
        </w:rPr>
        <w:t>OIL remains committed to ensuring safe closure or repurposing of abandoned well sites through a structured, multi</w:t>
      </w:r>
      <w:r w:rsidRPr="00442DC2">
        <w:rPr>
          <w:rFonts w:ascii="Tahoma" w:eastAsia="Times New Roman" w:hAnsi="Tahoma" w:cs="Tahoma"/>
          <w:lang w:eastAsia="en-IN"/>
        </w:rPr>
        <w:noBreakHyphen/>
        <w:t>layered approach encompassing environmental monitoring, scientific remediation, ecological restoration, and meaningful community engagement.</w:t>
      </w:r>
    </w:p>
    <w:p w14:paraId="574E99AA" w14:textId="46DA487E" w:rsidR="003B534F" w:rsidRPr="00442DC2" w:rsidRDefault="003B534F" w:rsidP="00442DC2">
      <w:pPr>
        <w:spacing w:before="100" w:beforeAutospacing="1" w:after="100" w:afterAutospacing="1" w:line="240" w:lineRule="auto"/>
        <w:ind w:left="720" w:firstLine="0"/>
        <w:rPr>
          <w:rFonts w:ascii="Tahoma" w:eastAsia="Times New Roman" w:hAnsi="Tahoma" w:cs="Tahoma"/>
          <w:lang w:eastAsia="en-IN"/>
        </w:rPr>
      </w:pPr>
    </w:p>
    <w:p w14:paraId="2D263948" w14:textId="79AB5D42" w:rsidR="003B534F" w:rsidRPr="00442DC2" w:rsidRDefault="003B534F" w:rsidP="00442DC2">
      <w:pPr>
        <w:spacing w:before="100" w:beforeAutospacing="1" w:after="100" w:afterAutospacing="1" w:line="240" w:lineRule="auto"/>
        <w:rPr>
          <w:rFonts w:ascii="Tahoma" w:eastAsia="Times New Roman" w:hAnsi="Tahoma" w:cs="Tahoma"/>
          <w:lang w:eastAsia="en-IN"/>
        </w:rPr>
      </w:pPr>
      <w:bookmarkStart w:id="0" w:name="_GoBack"/>
      <w:bookmarkEnd w:id="0"/>
    </w:p>
    <w:sectPr w:rsidR="003B534F" w:rsidRPr="00442DC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431315" w14:textId="77777777" w:rsidR="00F97CF2" w:rsidRDefault="00F97CF2" w:rsidP="008F5FD8">
      <w:pPr>
        <w:spacing w:after="0" w:line="240" w:lineRule="auto"/>
      </w:pPr>
      <w:r>
        <w:separator/>
      </w:r>
    </w:p>
  </w:endnote>
  <w:endnote w:type="continuationSeparator" w:id="0">
    <w:p w14:paraId="60B5E40F" w14:textId="77777777" w:rsidR="00F97CF2" w:rsidRDefault="00F97CF2" w:rsidP="008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03927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397312" w14:textId="6031B7E1" w:rsidR="008F5FD8" w:rsidRDefault="008F5FD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F29D73" w14:textId="77777777" w:rsidR="008F5FD8" w:rsidRDefault="008F5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B7DAD0" w14:textId="77777777" w:rsidR="00F97CF2" w:rsidRDefault="00F97CF2" w:rsidP="008F5FD8">
      <w:pPr>
        <w:spacing w:after="0" w:line="240" w:lineRule="auto"/>
      </w:pPr>
      <w:r>
        <w:separator/>
      </w:r>
    </w:p>
  </w:footnote>
  <w:footnote w:type="continuationSeparator" w:id="0">
    <w:p w14:paraId="4B2D5E3B" w14:textId="77777777" w:rsidR="00F97CF2" w:rsidRDefault="00F97CF2" w:rsidP="008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0BB5FA" w14:textId="6AB5C3CB" w:rsidR="008F5FD8" w:rsidRDefault="008F5FD8" w:rsidP="008F5FD8">
    <w:pPr>
      <w:spacing w:after="0"/>
      <w:ind w:right="-392"/>
      <w:rPr>
        <w:rFonts w:ascii="Tahoma" w:hAnsi="Tahoma" w:cs="Tahoma"/>
        <w:b/>
        <w:lang w:val="en-US"/>
      </w:rPr>
    </w:pPr>
    <w:r>
      <w:rPr>
        <w:rFonts w:ascii="Tahoma" w:hAnsi="Tahoma" w:cs="Tahoma"/>
        <w:b/>
        <w:lang w:val="en-US"/>
      </w:rPr>
      <w:t>OIL/PLNG/54/2/1/2026/87</w:t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  <w:t xml:space="preserve">              27</w:t>
    </w:r>
    <w:r w:rsidRPr="00D31013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 xml:space="preserve">   March, 2026</w:t>
    </w:r>
  </w:p>
  <w:p w14:paraId="38ACBB6B" w14:textId="444EA696" w:rsidR="008F5FD8" w:rsidRDefault="008F5FD8">
    <w:pPr>
      <w:pStyle w:val="Header"/>
    </w:pPr>
  </w:p>
  <w:p w14:paraId="7C700D9D" w14:textId="77777777" w:rsidR="008F5FD8" w:rsidRDefault="008F5F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614C6"/>
    <w:multiLevelType w:val="multilevel"/>
    <w:tmpl w:val="4568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D19EE"/>
    <w:multiLevelType w:val="multilevel"/>
    <w:tmpl w:val="E03E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C6B2C"/>
    <w:multiLevelType w:val="multilevel"/>
    <w:tmpl w:val="911C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03556"/>
    <w:multiLevelType w:val="multilevel"/>
    <w:tmpl w:val="DDA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00296"/>
    <w:multiLevelType w:val="multilevel"/>
    <w:tmpl w:val="A3AE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04AB2"/>
    <w:multiLevelType w:val="multilevel"/>
    <w:tmpl w:val="A6B6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A11B6"/>
    <w:multiLevelType w:val="multilevel"/>
    <w:tmpl w:val="402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75200"/>
    <w:multiLevelType w:val="multilevel"/>
    <w:tmpl w:val="4476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54C37"/>
    <w:multiLevelType w:val="multilevel"/>
    <w:tmpl w:val="2378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530C0"/>
    <w:multiLevelType w:val="multilevel"/>
    <w:tmpl w:val="CD76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14524"/>
    <w:multiLevelType w:val="multilevel"/>
    <w:tmpl w:val="6FB8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36D0F"/>
    <w:multiLevelType w:val="multilevel"/>
    <w:tmpl w:val="2BC0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27B5E"/>
    <w:multiLevelType w:val="multilevel"/>
    <w:tmpl w:val="21D2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E5796"/>
    <w:multiLevelType w:val="multilevel"/>
    <w:tmpl w:val="C860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53DE7"/>
    <w:multiLevelType w:val="multilevel"/>
    <w:tmpl w:val="EBB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823AB"/>
    <w:multiLevelType w:val="multilevel"/>
    <w:tmpl w:val="1B0A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A230C"/>
    <w:multiLevelType w:val="multilevel"/>
    <w:tmpl w:val="5846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553BD"/>
    <w:multiLevelType w:val="multilevel"/>
    <w:tmpl w:val="8632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D59D2"/>
    <w:multiLevelType w:val="multilevel"/>
    <w:tmpl w:val="32AE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D24EE"/>
    <w:multiLevelType w:val="multilevel"/>
    <w:tmpl w:val="CF2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E57E6"/>
    <w:multiLevelType w:val="multilevel"/>
    <w:tmpl w:val="BC7E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E2C8B"/>
    <w:multiLevelType w:val="multilevel"/>
    <w:tmpl w:val="214E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76949"/>
    <w:multiLevelType w:val="multilevel"/>
    <w:tmpl w:val="BFAC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05513"/>
    <w:multiLevelType w:val="multilevel"/>
    <w:tmpl w:val="EA02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162DC"/>
    <w:multiLevelType w:val="multilevel"/>
    <w:tmpl w:val="AC32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1A23FB"/>
    <w:multiLevelType w:val="multilevel"/>
    <w:tmpl w:val="0792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15BCA"/>
    <w:multiLevelType w:val="multilevel"/>
    <w:tmpl w:val="4B0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041C01"/>
    <w:multiLevelType w:val="multilevel"/>
    <w:tmpl w:val="26CC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25"/>
  </w:num>
  <w:num w:numId="4">
    <w:abstractNumId w:val="13"/>
  </w:num>
  <w:num w:numId="5">
    <w:abstractNumId w:val="23"/>
  </w:num>
  <w:num w:numId="6">
    <w:abstractNumId w:val="0"/>
  </w:num>
  <w:num w:numId="7">
    <w:abstractNumId w:val="1"/>
  </w:num>
  <w:num w:numId="8">
    <w:abstractNumId w:val="26"/>
  </w:num>
  <w:num w:numId="9">
    <w:abstractNumId w:val="10"/>
  </w:num>
  <w:num w:numId="10">
    <w:abstractNumId w:val="24"/>
  </w:num>
  <w:num w:numId="11">
    <w:abstractNumId w:val="16"/>
  </w:num>
  <w:num w:numId="12">
    <w:abstractNumId w:val="14"/>
  </w:num>
  <w:num w:numId="13">
    <w:abstractNumId w:val="19"/>
  </w:num>
  <w:num w:numId="14">
    <w:abstractNumId w:val="4"/>
  </w:num>
  <w:num w:numId="15">
    <w:abstractNumId w:val="8"/>
  </w:num>
  <w:num w:numId="16">
    <w:abstractNumId w:val="22"/>
  </w:num>
  <w:num w:numId="17">
    <w:abstractNumId w:val="17"/>
  </w:num>
  <w:num w:numId="18">
    <w:abstractNumId w:val="6"/>
  </w:num>
  <w:num w:numId="19">
    <w:abstractNumId w:val="12"/>
  </w:num>
  <w:num w:numId="20">
    <w:abstractNumId w:val="9"/>
  </w:num>
  <w:num w:numId="21">
    <w:abstractNumId w:val="5"/>
  </w:num>
  <w:num w:numId="22">
    <w:abstractNumId w:val="18"/>
  </w:num>
  <w:num w:numId="23">
    <w:abstractNumId w:val="20"/>
  </w:num>
  <w:num w:numId="24">
    <w:abstractNumId w:val="2"/>
  </w:num>
  <w:num w:numId="25">
    <w:abstractNumId w:val="3"/>
  </w:num>
  <w:num w:numId="26">
    <w:abstractNumId w:val="7"/>
  </w:num>
  <w:num w:numId="27">
    <w:abstractNumId w:val="21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85"/>
    <w:rsid w:val="00014E1C"/>
    <w:rsid w:val="00157ADB"/>
    <w:rsid w:val="001A6587"/>
    <w:rsid w:val="00352C1C"/>
    <w:rsid w:val="003B534F"/>
    <w:rsid w:val="00442DC2"/>
    <w:rsid w:val="004C418A"/>
    <w:rsid w:val="004C7413"/>
    <w:rsid w:val="0054580C"/>
    <w:rsid w:val="00737BE1"/>
    <w:rsid w:val="007C3296"/>
    <w:rsid w:val="00876AF7"/>
    <w:rsid w:val="00892838"/>
    <w:rsid w:val="008F5FD8"/>
    <w:rsid w:val="009235A6"/>
    <w:rsid w:val="00992D8D"/>
    <w:rsid w:val="00B245D0"/>
    <w:rsid w:val="00B874FE"/>
    <w:rsid w:val="00CC7B43"/>
    <w:rsid w:val="00D727C4"/>
    <w:rsid w:val="00E25F6D"/>
    <w:rsid w:val="00E76F85"/>
    <w:rsid w:val="00E7721F"/>
    <w:rsid w:val="00E90698"/>
    <w:rsid w:val="00EE614C"/>
    <w:rsid w:val="00F9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A51EC"/>
  <w15:chartTrackingRefBased/>
  <w15:docId w15:val="{D426EF4C-2781-4FE7-B3A8-6FA92A97F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76" w:lineRule="auto"/>
        <w:ind w:left="714" w:hanging="35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5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FD8"/>
  </w:style>
  <w:style w:type="paragraph" w:styleId="Footer">
    <w:name w:val="footer"/>
    <w:basedOn w:val="Normal"/>
    <w:link w:val="FooterChar"/>
    <w:uiPriority w:val="99"/>
    <w:unhideWhenUsed/>
    <w:rsid w:val="008F5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3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4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1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0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8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7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37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0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1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7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76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64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8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0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5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63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3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20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2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2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2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Bantupalli Sai Venkatesh ( बंटुपल्ली साई वेंकटेश )</dc:creator>
  <cp:keywords/>
  <dc:description/>
  <cp:lastModifiedBy>Rittu Kumari ( रितु कुमारी )</cp:lastModifiedBy>
  <cp:revision>2</cp:revision>
  <cp:lastPrinted>2026-03-27T09:08:00Z</cp:lastPrinted>
  <dcterms:created xsi:type="dcterms:W3CDTF">2026-03-27T09:19:00Z</dcterms:created>
  <dcterms:modified xsi:type="dcterms:W3CDTF">2026-03-27T09:19:00Z</dcterms:modified>
</cp:coreProperties>
</file>