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2">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3">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4">
      <w:pPr>
        <w:spacing w:after="0" w:lineRule="auto"/>
        <w:ind w:right="-392"/>
        <w:rPr>
          <w:rFonts w:ascii="Tahoma" w:cs="Tahoma" w:eastAsia="Tahoma" w:hAnsi="Tahoma"/>
          <w:b w:val="1"/>
          <w:bCs w:val="1"/>
        </w:rPr>
      </w:pPr>
      <w:bookmarkStart w:colFirst="0" w:colLast="0" w:name="_heading=h.ijzgwyidbz6l" w:id="0"/>
      <w:bookmarkEnd w:id="0"/>
      <w:r w:rsidDel="00000000" w:rsidR="00000000" w:rsidRPr="00000000">
        <w:rPr>
          <w:rtl w:val="0"/>
        </w:rPr>
      </w:r>
    </w:p>
    <w:p w:rsidR="00000000" w:rsidDel="00000000" w:rsidP="00000000" w:rsidRDefault="00000000" w:rsidRPr="00000000" w14:paraId="00000005">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spacing w:after="0" w:lineRule="auto"/>
        <w:ind w:right="-392"/>
        <w:rPr>
          <w:rFonts w:ascii="Tahoma" w:cs="Tahoma" w:eastAsia="Tahoma" w:hAnsi="Tahoma"/>
          <w:b w:val="1"/>
          <w:bCs w:val="1"/>
        </w:rPr>
      </w:pPr>
      <w:r w:rsidDel="00000000" w:rsidR="00000000" w:rsidRPr="00000000">
        <w:rPr>
          <w:rFonts w:ascii="Tahoma" w:cs="Tahoma" w:eastAsia="Tahoma" w:hAnsi="Tahoma"/>
          <w:b w:val="1"/>
          <w:bCs w:val="1"/>
          <w:rtl w:val="0"/>
        </w:rPr>
        <w:t xml:space="preserve">OIL/PLNG/54/2/1/2025/05</w:t>
        <w:tab/>
        <w:tab/>
        <w:tab/>
        <w:tab/>
        <w:tab/>
        <w:t xml:space="preserve">                 27</w:t>
      </w:r>
      <w:r w:rsidDel="00000000" w:rsidR="00000000" w:rsidRPr="00000000">
        <w:rPr>
          <w:rFonts w:ascii="Tahoma" w:cs="Tahoma" w:eastAsia="Tahoma" w:hAnsi="Tahoma"/>
          <w:b w:val="1"/>
          <w:bCs w:val="1"/>
          <w:vertAlign w:val="superscript"/>
          <w:rtl w:val="0"/>
        </w:rPr>
        <w:t xml:space="preserve">th</w:t>
      </w:r>
      <w:r w:rsidDel="00000000" w:rsidR="00000000" w:rsidRPr="00000000">
        <w:rPr>
          <w:rFonts w:ascii="Tahoma" w:cs="Tahoma" w:eastAsia="Tahoma" w:hAnsi="Tahoma"/>
          <w:b w:val="1"/>
          <w:bCs w:val="1"/>
          <w:rtl w:val="0"/>
        </w:rPr>
        <w:t xml:space="preserve">  January, 2025</w:t>
      </w:r>
    </w:p>
    <w:p w:rsidR="00000000" w:rsidDel="00000000" w:rsidP="00000000" w:rsidRDefault="00000000" w:rsidRPr="00000000" w14:paraId="00000007">
      <w:pPr>
        <w:spacing w:after="0" w:lineRule="auto"/>
        <w:ind w:right="-28"/>
        <w:rPr>
          <w:rFonts w:ascii="Tahoma" w:cs="Tahoma" w:eastAsia="Tahoma" w:hAnsi="Tahoma"/>
        </w:rPr>
      </w:pPr>
      <w:r w:rsidDel="00000000" w:rsidR="00000000" w:rsidRPr="00000000">
        <w:rPr>
          <w:rtl w:val="0"/>
        </w:rPr>
      </w:r>
    </w:p>
    <w:p w:rsidR="00000000" w:rsidDel="00000000" w:rsidP="00000000" w:rsidRDefault="00000000" w:rsidRPr="00000000" w14:paraId="00000008">
      <w:pPr>
        <w:spacing w:after="0" w:lineRule="auto"/>
        <w:rPr>
          <w:rFonts w:ascii="Tahoma" w:cs="Tahoma" w:eastAsia="Tahoma" w:hAnsi="Tahoma"/>
        </w:rPr>
      </w:pPr>
      <w:r w:rsidDel="00000000" w:rsidR="00000000" w:rsidRPr="00000000">
        <w:rPr>
          <w:rtl w:val="0"/>
        </w:rPr>
      </w:r>
    </w:p>
    <w:p w:rsidR="00000000" w:rsidDel="00000000" w:rsidP="00000000" w:rsidRDefault="00000000" w:rsidRPr="00000000" w14:paraId="00000009">
      <w:pPr>
        <w:spacing w:after="0" w:lineRule="auto"/>
        <w:rPr>
          <w:rFonts w:ascii="Tahoma" w:cs="Tahoma" w:eastAsia="Tahoma" w:hAnsi="Tahoma"/>
        </w:rPr>
      </w:pPr>
      <w:r w:rsidDel="00000000" w:rsidR="00000000" w:rsidRPr="00000000">
        <w:rPr>
          <w:rFonts w:ascii="Tahoma" w:cs="Tahoma" w:eastAsia="Tahoma" w:hAnsi="Tahoma"/>
          <w:rtl w:val="0"/>
        </w:rPr>
        <w:t xml:space="preserve">Ministry of Petroleum and Natural Gas</w:t>
      </w:r>
    </w:p>
    <w:p w:rsidR="00000000" w:rsidDel="00000000" w:rsidP="00000000" w:rsidRDefault="00000000" w:rsidRPr="00000000" w14:paraId="0000000A">
      <w:pPr>
        <w:spacing w:after="0" w:lineRule="auto"/>
        <w:rPr>
          <w:rFonts w:ascii="Tahoma" w:cs="Tahoma" w:eastAsia="Tahoma" w:hAnsi="Tahoma"/>
        </w:rPr>
      </w:pPr>
      <w:r w:rsidDel="00000000" w:rsidR="00000000" w:rsidRPr="00000000">
        <w:rPr>
          <w:rFonts w:ascii="Tahoma" w:cs="Tahoma" w:eastAsia="Tahoma" w:hAnsi="Tahoma"/>
          <w:rtl w:val="0"/>
        </w:rPr>
        <w:t xml:space="preserve">Shastri Bhawan</w:t>
      </w:r>
    </w:p>
    <w:p w:rsidR="00000000" w:rsidDel="00000000" w:rsidP="00000000" w:rsidRDefault="00000000" w:rsidRPr="00000000" w14:paraId="0000000B">
      <w:pPr>
        <w:spacing w:after="0" w:lineRule="auto"/>
        <w:rPr>
          <w:rFonts w:ascii="Tahoma" w:cs="Tahoma" w:eastAsia="Tahoma" w:hAnsi="Tahoma"/>
          <w:u w:val="single"/>
        </w:rPr>
      </w:pPr>
      <w:r w:rsidDel="00000000" w:rsidR="00000000" w:rsidRPr="00000000">
        <w:rPr>
          <w:rFonts w:ascii="Tahoma" w:cs="Tahoma" w:eastAsia="Tahoma" w:hAnsi="Tahoma"/>
          <w:u w:val="single"/>
          <w:rtl w:val="0"/>
        </w:rPr>
        <w:t xml:space="preserve">New Delhi-110001</w:t>
      </w:r>
    </w:p>
    <w:p w:rsidR="00000000" w:rsidDel="00000000" w:rsidP="00000000" w:rsidRDefault="00000000" w:rsidRPr="00000000" w14:paraId="0000000C">
      <w:pPr>
        <w:spacing w:after="0" w:lineRule="auto"/>
        <w:ind w:right="-482"/>
        <w:jc w:val="center"/>
        <w:rPr>
          <w:rFonts w:ascii="Tahoma" w:cs="Tahoma" w:eastAsia="Tahoma" w:hAnsi="Tahoma"/>
          <w:b w:val="1"/>
          <w:bCs w:val="1"/>
          <w:u w:val="single"/>
        </w:rPr>
      </w:pPr>
      <w:r w:rsidDel="00000000" w:rsidR="00000000" w:rsidRPr="00000000">
        <w:rPr>
          <w:rFonts w:ascii="Tahoma" w:cs="Tahoma" w:eastAsia="Tahoma" w:hAnsi="Tahoma"/>
          <w:b w:val="1"/>
          <w:bCs w:val="1"/>
          <w:rtl w:val="0"/>
        </w:rPr>
        <w:t xml:space="preserve">                                                                                                    Kind Attn: Shri Satpal Yadav</w:t>
      </w:r>
      <w:r w:rsidDel="00000000" w:rsidR="00000000" w:rsidRPr="00000000">
        <w:rPr>
          <w:rtl w:val="0"/>
        </w:rPr>
      </w:r>
    </w:p>
    <w:p w:rsidR="00000000" w:rsidDel="00000000" w:rsidP="00000000" w:rsidRDefault="00000000" w:rsidRPr="00000000" w14:paraId="0000000D">
      <w:pPr>
        <w:spacing w:after="0" w:lineRule="auto"/>
        <w:ind w:right="-482"/>
        <w:jc w:val="center"/>
        <w:rPr>
          <w:rFonts w:ascii="Tahoma" w:cs="Tahoma" w:eastAsia="Tahoma" w:hAnsi="Tahoma"/>
          <w:u w:val="single"/>
        </w:rPr>
      </w:pPr>
      <w:r w:rsidDel="00000000" w:rsidR="00000000" w:rsidRPr="00000000">
        <w:rPr>
          <w:rFonts w:ascii="Tahoma" w:cs="Tahoma" w:eastAsia="Tahoma" w:hAnsi="Tahoma"/>
          <w:rtl w:val="0"/>
        </w:rPr>
        <w:t xml:space="preserve">                                                                                                         A</w:t>
      </w:r>
      <w:r w:rsidDel="00000000" w:rsidR="00000000" w:rsidRPr="00000000">
        <w:rPr>
          <w:rFonts w:ascii="Tahoma" w:cs="Tahoma" w:eastAsia="Tahoma" w:hAnsi="Tahoma"/>
          <w:u w:val="single"/>
          <w:rtl w:val="0"/>
        </w:rPr>
        <w:t xml:space="preserve">SO(ONG I&amp;V)</w:t>
      </w:r>
    </w:p>
    <w:p w:rsidR="00000000" w:rsidDel="00000000" w:rsidP="00000000" w:rsidRDefault="00000000" w:rsidRPr="00000000" w14:paraId="0000000E">
      <w:pPr>
        <w:spacing w:after="0" w:lineRule="auto"/>
        <w:jc w:val="center"/>
        <w:rPr>
          <w:rFonts w:ascii="Tahoma" w:cs="Tahoma" w:eastAsia="Tahoma" w:hAnsi="Tahoma"/>
          <w:u w:val="single"/>
        </w:rPr>
      </w:pPr>
      <w:r w:rsidDel="00000000" w:rsidR="00000000" w:rsidRPr="00000000">
        <w:rPr>
          <w:rtl w:val="0"/>
        </w:rPr>
      </w:r>
    </w:p>
    <w:p w:rsidR="00000000" w:rsidDel="00000000" w:rsidP="00000000" w:rsidRDefault="00000000" w:rsidRPr="00000000" w14:paraId="0000000F">
      <w:pPr>
        <w:tabs>
          <w:tab w:val="left" w:leader="none" w:pos="1440"/>
        </w:tabs>
        <w:spacing w:after="0" w:line="360" w:lineRule="auto"/>
        <w:ind w:right="-453"/>
        <w:rPr>
          <w:rFonts w:ascii="Tahoma" w:cs="Tahoma" w:eastAsia="Tahoma" w:hAnsi="Tahoma"/>
        </w:rPr>
      </w:pPr>
      <w:r w:rsidDel="00000000" w:rsidR="00000000" w:rsidRPr="00000000">
        <w:rPr>
          <w:rFonts w:ascii="Tahoma" w:cs="Tahoma" w:eastAsia="Tahoma" w:hAnsi="Tahoma"/>
          <w:b w:val="1"/>
          <w:bCs w:val="1"/>
          <w:rtl w:val="0"/>
        </w:rPr>
        <w:t xml:space="preserve">  Sub</w:t>
      </w:r>
      <w:r w:rsidDel="00000000" w:rsidR="00000000" w:rsidRPr="00000000">
        <w:rPr>
          <w:rFonts w:ascii="Tahoma" w:cs="Tahoma" w:eastAsia="Tahoma" w:hAnsi="Tahoma"/>
          <w:rtl w:val="0"/>
        </w:rPr>
        <w:t xml:space="preserve">:  Lok Sabha Provisionally Admitted Unstarred Question Dy. No. 1556 for  06.02.2025 </w:t>
      </w:r>
    </w:p>
    <w:p w:rsidR="00000000" w:rsidDel="00000000" w:rsidP="00000000" w:rsidRDefault="00000000" w:rsidRPr="00000000" w14:paraId="00000010">
      <w:pPr>
        <w:tabs>
          <w:tab w:val="left" w:leader="none" w:pos="1440"/>
        </w:tabs>
        <w:spacing w:after="0" w:line="360" w:lineRule="auto"/>
        <w:ind w:left="810" w:right="-572" w:hanging="810"/>
        <w:rPr>
          <w:rFonts w:ascii="Tahoma" w:cs="Tahoma" w:eastAsia="Tahoma" w:hAnsi="Tahoma"/>
        </w:rPr>
      </w:pPr>
      <w:r w:rsidDel="00000000" w:rsidR="00000000" w:rsidRPr="00000000">
        <w:rPr>
          <w:rFonts w:ascii="Tahoma" w:cs="Tahoma" w:eastAsia="Tahoma" w:hAnsi="Tahoma"/>
          <w:rtl w:val="0"/>
        </w:rPr>
        <w:t xml:space="preserve">            Regarding </w:t>
      </w:r>
      <w:r w:rsidDel="00000000" w:rsidR="00000000" w:rsidRPr="00000000">
        <w:rPr>
          <w:rFonts w:ascii="Tahoma" w:cs="Tahoma" w:eastAsia="Tahoma" w:hAnsi="Tahoma"/>
          <w:b w:val="1"/>
          <w:bCs w:val="1"/>
          <w:rtl w:val="0"/>
        </w:rPr>
        <w:t xml:space="preserve">“Hydrocarbon Exploration Drilling Projects in Hollongopar Gibbon  Sanctuary ”</w:t>
      </w:r>
      <w:r w:rsidDel="00000000" w:rsidR="00000000" w:rsidRPr="00000000">
        <w:rPr>
          <w:rtl w:val="0"/>
        </w:rPr>
      </w:r>
    </w:p>
    <w:p w:rsidR="00000000" w:rsidDel="00000000" w:rsidP="00000000" w:rsidRDefault="00000000" w:rsidRPr="00000000" w14:paraId="00000011">
      <w:pPr>
        <w:tabs>
          <w:tab w:val="left" w:leader="none" w:pos="709"/>
          <w:tab w:val="center" w:leader="none" w:pos="4817"/>
        </w:tabs>
        <w:spacing w:after="0" w:lineRule="auto"/>
        <w:ind w:right="-306"/>
        <w:rPr>
          <w:rFonts w:ascii="Tahoma" w:cs="Tahoma" w:eastAsia="Tahoma" w:hAnsi="Tahoma"/>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Ref.</w:t>
      </w:r>
      <w:r w:rsidDel="00000000" w:rsidR="00000000" w:rsidRPr="00000000">
        <w:rPr>
          <w:rFonts w:ascii="Tahoma" w:cs="Tahoma" w:eastAsia="Tahoma" w:hAnsi="Tahoma"/>
          <w:rtl w:val="0"/>
        </w:rPr>
        <w:t xml:space="preserve">  Your email dated 22.01.2025</w:t>
      </w:r>
    </w:p>
    <w:p w:rsidR="00000000" w:rsidDel="00000000" w:rsidP="00000000" w:rsidRDefault="00000000" w:rsidRPr="00000000" w14:paraId="00000012">
      <w:pPr>
        <w:tabs>
          <w:tab w:val="left" w:leader="none" w:pos="709"/>
          <w:tab w:val="center" w:leader="none" w:pos="4817"/>
        </w:tabs>
        <w:spacing w:after="0" w:lineRule="auto"/>
        <w:ind w:right="-306"/>
        <w:rPr>
          <w:rFonts w:ascii="Tahoma" w:cs="Tahoma" w:eastAsia="Tahoma" w:hAnsi="Tahoma"/>
        </w:rPr>
      </w:pPr>
      <w:r w:rsidDel="00000000" w:rsidR="00000000" w:rsidRPr="00000000">
        <w:rPr>
          <w:rtl w:val="0"/>
        </w:rPr>
      </w:r>
    </w:p>
    <w:p w:rsidR="00000000" w:rsidDel="00000000" w:rsidP="00000000" w:rsidRDefault="00000000" w:rsidRPr="00000000" w14:paraId="00000013">
      <w:pPr>
        <w:spacing w:after="0" w:lineRule="auto"/>
        <w:ind w:right="-613"/>
        <w:rPr>
          <w:rFonts w:ascii="Tahoma" w:cs="Tahoma" w:eastAsia="Tahoma" w:hAnsi="Tahoma"/>
        </w:rPr>
      </w:pPr>
      <w:r w:rsidDel="00000000" w:rsidR="00000000" w:rsidRPr="00000000">
        <w:rPr>
          <w:rFonts w:ascii="Tahoma" w:cs="Tahoma" w:eastAsia="Tahoma" w:hAnsi="Tahoma"/>
          <w:rtl w:val="0"/>
        </w:rPr>
        <w:t xml:space="preserve">Sir,</w:t>
      </w:r>
    </w:p>
    <w:p w:rsidR="00000000" w:rsidDel="00000000" w:rsidP="00000000" w:rsidRDefault="00000000" w:rsidRPr="00000000" w14:paraId="00000014">
      <w:pPr>
        <w:spacing w:after="0" w:lineRule="auto"/>
        <w:rPr>
          <w:rFonts w:ascii="Tahoma" w:cs="Tahoma" w:eastAsia="Tahoma" w:hAnsi="Tahoma"/>
        </w:rPr>
      </w:pPr>
      <w:r w:rsidDel="00000000" w:rsidR="00000000" w:rsidRPr="00000000">
        <w:rPr>
          <w:rFonts w:ascii="Tahoma" w:cs="Tahoma" w:eastAsia="Tahoma" w:hAnsi="Tahoma"/>
          <w:rtl w:val="0"/>
        </w:rPr>
        <w:t xml:space="preserve">       </w:t>
        <w:tab/>
        <w:t xml:space="preserve">Reference above, our reply to the above Lok Sabha Question is as follows:</w:t>
      </w:r>
    </w:p>
    <w:tbl>
      <w:tblPr>
        <w:tblStyle w:val="Table1"/>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5"/>
        <w:gridCol w:w="5760"/>
        <w:tblGridChange w:id="0">
          <w:tblGrid>
            <w:gridCol w:w="3955"/>
            <w:gridCol w:w="5760"/>
          </w:tblGrid>
        </w:tblGridChange>
      </w:tblGrid>
      <w:tr>
        <w:trPr>
          <w:cantSplit w:val="0"/>
          <w:trHeight w:val="1178" w:hRule="atLeast"/>
          <w:tblHeader w:val="0"/>
        </w:trPr>
        <w:tc>
          <w:tcPr/>
          <w:p w:rsidR="00000000" w:rsidDel="00000000" w:rsidP="00000000" w:rsidRDefault="00000000" w:rsidRPr="00000000" w14:paraId="00000015">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Q.(a) The details regarding the guidelines governing the allocation and granting of hydrocarbon exploratory projects;</w:t>
            </w:r>
          </w:p>
        </w:tc>
        <w:tc>
          <w:tcPr/>
          <w:p w:rsidR="00000000" w:rsidDel="00000000" w:rsidP="00000000" w:rsidRDefault="00000000" w:rsidRPr="00000000" w14:paraId="00000016">
            <w:pPr>
              <w:rPr>
                <w:rFonts w:ascii="Tahoma" w:cs="Tahoma" w:eastAsia="Tahoma" w:hAnsi="Tahoma"/>
              </w:rPr>
            </w:pPr>
            <w:r w:rsidDel="00000000" w:rsidR="00000000" w:rsidRPr="00000000">
              <w:rPr>
                <w:rFonts w:ascii="Tahoma" w:cs="Tahoma" w:eastAsia="Tahoma" w:hAnsi="Tahoma"/>
                <w:b w:val="1"/>
                <w:bCs w:val="1"/>
                <w:rtl w:val="0"/>
              </w:rPr>
              <w:t xml:space="preserve">Answer to Q.(a):</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kindly suitably reply.</w:t>
            </w:r>
            <w:r w:rsidDel="00000000" w:rsidR="00000000" w:rsidRPr="00000000">
              <w:rPr>
                <w:rtl w:val="0"/>
              </w:rPr>
            </w:r>
          </w:p>
          <w:p w:rsidR="00000000" w:rsidDel="00000000" w:rsidP="00000000" w:rsidRDefault="00000000" w:rsidRPr="00000000" w14:paraId="00000017">
            <w:pPr>
              <w:spacing w:after="120" w:line="276" w:lineRule="auto"/>
              <w:jc w:val="both"/>
              <w:rPr>
                <w:rFonts w:ascii="Tahoma" w:cs="Tahoma" w:eastAsia="Tahoma" w:hAnsi="Tahoma"/>
              </w:rPr>
            </w:pPr>
            <w:bookmarkStart w:colFirst="0" w:colLast="0" w:name="_heading=h.3ebptdxpg4g2" w:id="1"/>
            <w:bookmarkEnd w:id="1"/>
            <w:r w:rsidDel="00000000" w:rsidR="00000000" w:rsidRPr="00000000">
              <w:rPr>
                <w:rFonts w:ascii="Tahoma" w:cs="Tahoma" w:eastAsia="Tahoma" w:hAnsi="Tahoma"/>
                <w:rtl w:val="0"/>
              </w:rPr>
              <w:t xml:space="preserve">The major initiatives taken by the Government to streamline the operational processes to catalyse investment in the country's oil and gas exploration and production sector include: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Single license for both conventional and unconventional hydrocarbons under Hydrocarbon Exploration and Licensing Policy (HELP).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360"/>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Open acreage Licensing policy (OALP):  Through this, any company can bid for any block in accordance with its competitive advantage.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360"/>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Revenue sharing model: To encourages cost efficiency in mining operations by replacing the profit-sharing contract established by NELP. The contractor pays the government a share of its revenue (net of royalty) as per the contract.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Discovered Small Field policy to incentivize production from marginal fields.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Incentivization of Early production to motivate Operators to expedite development plans of new discoveries.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Policy to Promote and Incentivize Enhanced Recovery Methods for Oil and Gas.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Natural Gas marketing reforms to move towards Gas based economy.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Policy on Crude Oil Deregulations.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Guidelines for Early Monetization of Hydrocarbon Discoveries.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Policy framework for exploration and exploitation of Unconventional Hydrocarbons under existing Production Sharing Contracts, Coal Bed Methane contracts and Nomination fields.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120" w:before="0" w:line="276" w:lineRule="auto"/>
              <w:ind w:left="720" w:right="0" w:hanging="184"/>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22"/>
                <w:szCs w:val="22"/>
                <w:highlight w:val="white"/>
                <w:u w:val="none"/>
                <w:vertAlign w:val="baseline"/>
                <w:rtl w:val="0"/>
              </w:rPr>
              <w:t xml:space="preserve">Fast tracking of regulatory clearance by active participation of DGH through portals like Urja Pragati, has helped expedite E&amp;P activities.</w:t>
            </w:r>
          </w:p>
          <w:p w:rsidR="00000000" w:rsidDel="00000000" w:rsidP="00000000" w:rsidRDefault="00000000" w:rsidRPr="00000000" w14:paraId="00000024">
            <w:pPr>
              <w:spacing w:after="120" w:line="276" w:lineRule="auto"/>
              <w:jc w:val="both"/>
              <w:rPr>
                <w:rFonts w:ascii="Tahoma" w:cs="Tahoma" w:eastAsia="Tahoma" w:hAnsi="Tahoma"/>
              </w:rPr>
            </w:pPr>
            <w:r w:rsidDel="00000000" w:rsidR="00000000" w:rsidRPr="00000000">
              <w:rPr>
                <w:rFonts w:ascii="Tahoma" w:cs="Tahoma" w:eastAsia="Tahoma" w:hAnsi="Tahoma"/>
                <w:rtl w:val="0"/>
              </w:rPr>
              <w:t xml:space="preserve">The Government has also brought major reforms in and regulatory processes for Ease of Doing Business (EODB) which primarily include: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Single License Management: Streamlines administrative processes and reduces the need for multiple licenses, easing regulatory compliance.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Flexibility in Operations: Facilitates seamless transition between conventional and unconventional hydrocarbon projects, optimizing resource use and operational planning.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Cost Savings: Eliminates the need for multiple license fees and associated administrative costs.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Incentivizes Exploration and Development: Facilitates exploration of both types of resources in a single block, potentially increasing discovery rates and production.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Accelerates Development: Enables faster development of resources by avoiding the delays associated with obtaining separate licenses for different types of hydrocarbons.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Reducing Compliance Burden: Simplification of Procedures and Processes for submission of Documents on Self Certification basis.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Setting up of Dispute Resolution Committee.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20" w:before="0" w:line="276" w:lineRule="auto"/>
              <w:ind w:left="720" w:right="0" w:hanging="18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Delegation of powers to DGH for Contract Management.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line="276" w:lineRule="auto"/>
              <w:ind w:left="720" w:right="0" w:hanging="187.00000000000003"/>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Implementation of Single Window Clearance System.</w:t>
            </w:r>
          </w:p>
          <w:p w:rsidR="00000000" w:rsidDel="00000000" w:rsidP="00000000" w:rsidRDefault="00000000" w:rsidRPr="00000000" w14:paraId="0000002E">
            <w:pPr>
              <w:ind w:right="34"/>
              <w:jc w:val="both"/>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2F">
            <w:pPr>
              <w:ind w:right="34"/>
              <w:jc w:val="both"/>
              <w:rPr>
                <w:rFonts w:ascii="Tahoma" w:cs="Tahoma" w:eastAsia="Tahoma" w:hAnsi="Tahoma"/>
              </w:rPr>
            </w:pPr>
            <w:r w:rsidDel="00000000" w:rsidR="00000000" w:rsidRPr="00000000">
              <w:rPr>
                <w:rtl w:val="0"/>
              </w:rPr>
            </w:r>
          </w:p>
        </w:tc>
      </w:tr>
      <w:tr>
        <w:trPr>
          <w:cantSplit w:val="0"/>
          <w:trHeight w:val="1151" w:hRule="atLeast"/>
          <w:tblHeader w:val="0"/>
        </w:trPr>
        <w:tc>
          <w:tcPr/>
          <w:p w:rsidR="00000000" w:rsidDel="00000000" w:rsidP="00000000" w:rsidRDefault="00000000" w:rsidRPr="00000000" w14:paraId="00000030">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Q.(b) Whether there is any confirmed data on hydrocarbon reserves that are as of yet unexploited and details regarding their location; and </w:t>
            </w:r>
          </w:p>
          <w:p w:rsidR="00000000" w:rsidDel="00000000" w:rsidP="00000000" w:rsidRDefault="00000000" w:rsidRPr="00000000" w14:paraId="00000031">
            <w:pPr>
              <w:ind w:right="34"/>
              <w:jc w:val="both"/>
              <w:rPr>
                <w:rFonts w:ascii="Tahoma" w:cs="Tahoma" w:eastAsia="Tahoma" w:hAnsi="Tahoma"/>
                <w:i w:val="1"/>
                <w:iCs w:val="1"/>
              </w:rPr>
            </w:pPr>
            <w:r w:rsidDel="00000000" w:rsidR="00000000" w:rsidRPr="00000000">
              <w:rPr>
                <w:rtl w:val="0"/>
              </w:rPr>
            </w:r>
          </w:p>
        </w:tc>
        <w:tc>
          <w:tcPr/>
          <w:p w:rsidR="00000000" w:rsidDel="00000000" w:rsidP="00000000" w:rsidRDefault="00000000" w:rsidRPr="00000000" w14:paraId="00000032">
            <w:pPr>
              <w:rPr>
                <w:rFonts w:ascii="Tahoma" w:cs="Tahoma" w:eastAsia="Tahoma" w:hAnsi="Tahoma"/>
                <w:b w:val="1"/>
                <w:bCs w:val="1"/>
              </w:rPr>
            </w:pPr>
            <w:r w:rsidDel="00000000" w:rsidR="00000000" w:rsidRPr="00000000">
              <w:rPr>
                <w:rFonts w:ascii="Tahoma" w:cs="Tahoma" w:eastAsia="Tahoma" w:hAnsi="Tahoma"/>
                <w:b w:val="1"/>
                <w:bCs w:val="1"/>
                <w:rtl w:val="0"/>
              </w:rPr>
              <w:t xml:space="preserve">Answer to Q(b):</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DGH/MoP&amp;NG may kindly suitably reply.</w:t>
            </w:r>
          </w:p>
          <w:p w:rsidR="00000000" w:rsidDel="00000000" w:rsidP="00000000" w:rsidRDefault="00000000" w:rsidRPr="00000000" w14:paraId="00000033">
            <w:pPr>
              <w:rPr>
                <w:rFonts w:ascii="Tahoma" w:cs="Tahoma" w:eastAsia="Tahoma" w:hAnsi="Tahoma"/>
              </w:rPr>
            </w:pPr>
            <w:r w:rsidDel="00000000" w:rsidR="00000000" w:rsidRPr="00000000">
              <w:rPr>
                <w:rtl w:val="0"/>
              </w:rPr>
            </w:r>
          </w:p>
        </w:tc>
      </w:tr>
      <w:tr>
        <w:trPr>
          <w:cantSplit w:val="0"/>
          <w:trHeight w:val="1169" w:hRule="atLeast"/>
          <w:tblHeader w:val="0"/>
        </w:trPr>
        <w:tc>
          <w:tcPr/>
          <w:p w:rsidR="00000000" w:rsidDel="00000000" w:rsidP="00000000" w:rsidRDefault="00000000" w:rsidRPr="00000000" w14:paraId="00000034">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Q.(c) The reasons as to why hydrocarbon exploratory drilling was greenlit in the Eco-Sensitive Zone of the notified Hollongopar Gibbon Sanctuary and the criteria for choosing the firm involved? </w:t>
            </w:r>
          </w:p>
        </w:tc>
        <w:tc>
          <w:tcPr/>
          <w:p w:rsidR="00000000" w:rsidDel="00000000" w:rsidP="00000000" w:rsidRDefault="00000000" w:rsidRPr="00000000" w14:paraId="00000035">
            <w:pPr>
              <w:rPr>
                <w:rFonts w:ascii="Tahoma" w:cs="Tahoma" w:eastAsia="Tahoma" w:hAnsi="Tahoma"/>
                <w:b w:val="1"/>
                <w:bCs w:val="1"/>
              </w:rPr>
            </w:pPr>
            <w:r w:rsidDel="00000000" w:rsidR="00000000" w:rsidRPr="00000000">
              <w:rPr>
                <w:rFonts w:ascii="Tahoma" w:cs="Tahoma" w:eastAsia="Tahoma" w:hAnsi="Tahoma"/>
                <w:b w:val="1"/>
                <w:bCs w:val="1"/>
                <w:rtl w:val="0"/>
              </w:rPr>
              <w:t xml:space="preserve">Answer to Q(c):DGH/</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MoP&amp;NG may kindly suitably reply.</w:t>
            </w:r>
          </w:p>
          <w:p w:rsidR="00000000" w:rsidDel="00000000" w:rsidP="00000000" w:rsidRDefault="00000000" w:rsidRPr="00000000" w14:paraId="00000036">
            <w:pPr>
              <w:rPr>
                <w:rFonts w:ascii="Tahoma" w:cs="Tahoma" w:eastAsia="Tahoma" w:hAnsi="Tahoma"/>
              </w:rPr>
            </w:pPr>
            <w:r w:rsidDel="00000000" w:rsidR="00000000" w:rsidRPr="00000000">
              <w:rPr>
                <w:rFonts w:ascii="Tahoma" w:cs="Tahoma" w:eastAsia="Tahoma" w:hAnsi="Tahoma"/>
                <w:rtl w:val="0"/>
              </w:rPr>
              <w:t xml:space="preserve">As far Oil India Limited is concerned, OIL do not have any exploratory block in the Eco-Sensitive Zone of the notified Hollongapar Gibbon Sanctuary.</w:t>
            </w:r>
          </w:p>
          <w:p w:rsidR="00000000" w:rsidDel="00000000" w:rsidP="00000000" w:rsidRDefault="00000000" w:rsidRPr="00000000" w14:paraId="00000037">
            <w:pPr>
              <w:rPr>
                <w:rFonts w:ascii="Tahoma" w:cs="Tahoma" w:eastAsia="Tahoma" w:hAnsi="Tahoma"/>
              </w:rPr>
            </w:pPr>
            <w:r w:rsidDel="00000000" w:rsidR="00000000" w:rsidRPr="00000000">
              <w:rPr>
                <w:rtl w:val="0"/>
              </w:rPr>
            </w:r>
          </w:p>
        </w:tc>
      </w:tr>
    </w:tbl>
    <w:p w:rsidR="00000000" w:rsidDel="00000000" w:rsidP="00000000" w:rsidRDefault="00000000" w:rsidRPr="00000000" w14:paraId="00000038">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9">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A">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B">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C">
      <w:pPr>
        <w:spacing w:after="0" w:lineRule="auto"/>
        <w:ind w:right="-482"/>
        <w:jc w:val="right"/>
        <w:rPr>
          <w:rFonts w:ascii="Tahoma" w:cs="Tahoma" w:eastAsia="Tahoma" w:hAnsi="Tahoma"/>
        </w:rPr>
      </w:pPr>
      <w:r w:rsidDel="00000000" w:rsidR="00000000" w:rsidRPr="00000000">
        <w:rPr>
          <w:rFonts w:ascii="Tahoma" w:cs="Tahoma" w:eastAsia="Tahoma" w:hAnsi="Tahoma"/>
          <w:rtl w:val="0"/>
        </w:rPr>
        <w:t xml:space="preserve">Yours faithfully,</w:t>
      </w:r>
    </w:p>
    <w:p w:rsidR="00000000" w:rsidDel="00000000" w:rsidP="00000000" w:rsidRDefault="00000000" w:rsidRPr="00000000" w14:paraId="0000003D">
      <w:pPr>
        <w:spacing w:after="0" w:line="240" w:lineRule="auto"/>
        <w:ind w:right="-482"/>
        <w:jc w:val="right"/>
        <w:rPr>
          <w:rFonts w:ascii="Tahoma" w:cs="Tahoma" w:eastAsia="Tahoma" w:hAnsi="Tahoma"/>
          <w:u w:val="single"/>
        </w:rPr>
      </w:pPr>
      <w:r w:rsidDel="00000000" w:rsidR="00000000" w:rsidRPr="00000000">
        <w:rPr>
          <w:rFonts w:ascii="Tahoma" w:cs="Tahoma" w:eastAsia="Tahoma" w:hAnsi="Tahoma"/>
          <w:u w:val="single"/>
          <w:rtl w:val="0"/>
        </w:rPr>
        <w:t xml:space="preserve">OIL INDIA LIMITED</w:t>
      </w:r>
    </w:p>
    <w:p w:rsidR="00000000" w:rsidDel="00000000" w:rsidP="00000000" w:rsidRDefault="00000000" w:rsidRPr="00000000" w14:paraId="0000003E">
      <w:pPr>
        <w:spacing w:after="0" w:line="24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3F">
      <w:pPr>
        <w:spacing w:after="0" w:line="24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40">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1">
      <w:pPr>
        <w:spacing w:after="0" w:line="240" w:lineRule="auto"/>
        <w:ind w:right="-482"/>
        <w:jc w:val="right"/>
        <w:rPr>
          <w:rFonts w:ascii="Tahoma" w:cs="Tahoma" w:eastAsia="Tahoma" w:hAnsi="Tahoma"/>
          <w:b w:val="1"/>
          <w:bCs w:val="1"/>
        </w:rPr>
      </w:pPr>
      <w:r w:rsidDel="00000000" w:rsidR="00000000" w:rsidRPr="00000000">
        <w:rPr>
          <w:rFonts w:ascii="Tahoma" w:cs="Tahoma" w:eastAsia="Tahoma" w:hAnsi="Tahoma"/>
          <w:b w:val="1"/>
          <w:bCs w:val="1"/>
          <w:rtl w:val="0"/>
        </w:rPr>
        <w:t xml:space="preserve">(Kishore Kumar Das)</w:t>
      </w:r>
    </w:p>
    <w:p w:rsidR="00000000" w:rsidDel="00000000" w:rsidP="00000000" w:rsidRDefault="00000000" w:rsidRPr="00000000" w14:paraId="00000042">
      <w:pPr>
        <w:spacing w:after="0" w:line="240" w:lineRule="auto"/>
        <w:ind w:right="-482"/>
        <w:jc w:val="right"/>
        <w:rPr>
          <w:rFonts w:ascii="Tahoma" w:cs="Tahoma" w:eastAsia="Tahoma" w:hAnsi="Tahoma"/>
        </w:rPr>
      </w:pPr>
      <w:r w:rsidDel="00000000" w:rsidR="00000000" w:rsidRPr="00000000">
        <w:rPr>
          <w:rFonts w:ascii="Tahoma" w:cs="Tahoma" w:eastAsia="Tahoma" w:hAnsi="Tahoma"/>
          <w:rtl w:val="0"/>
        </w:rPr>
        <w:t xml:space="preserve">Chief General Manager (Planning)</w:t>
      </w:r>
    </w:p>
    <w:p w:rsidR="00000000" w:rsidDel="00000000" w:rsidP="00000000" w:rsidRDefault="00000000" w:rsidRPr="00000000" w14:paraId="00000043">
      <w:pPr>
        <w:spacing w:after="0" w:line="240" w:lineRule="auto"/>
        <w:ind w:right="-482"/>
        <w:jc w:val="right"/>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For Chairman &amp; Managing Director</w:t>
      </w:r>
    </w:p>
    <w:sectPr>
      <w:pgSz w:h="16838" w:w="11906" w:orient="portrait"/>
      <w:pgMar w:bottom="864" w:top="1008" w:left="1440" w:right="113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QV/aJcuwKNfotDWS6FfQAYH47w==">CgMxLjAyDmguaWp6Z3d5aWRiejZsMg5oLjNlYnB0ZHhwZzRnMjgAciExdVdla1VJUVVtbk9HN3dNMklmNkdJV1RvZDhXekdjeDM=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