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02CD6" w:rsidRDefault="00562579" w:rsidP="00F270A6">
      <w:pPr>
        <w:spacing w:after="0"/>
        <w:ind w:right="-392"/>
        <w:rPr>
          <w:rFonts w:ascii="Tahoma" w:hAnsi="Tahoma" w:cs="Tahoma"/>
          <w:b/>
          <w:lang w:val="en-US"/>
        </w:rPr>
      </w:pPr>
    </w:p>
    <w:p w14:paraId="398EF5FC" w14:textId="16015482" w:rsidR="00562579" w:rsidRPr="00E02CD6" w:rsidRDefault="00562579" w:rsidP="00F270A6">
      <w:pPr>
        <w:spacing w:after="0"/>
        <w:ind w:right="-392"/>
        <w:rPr>
          <w:rFonts w:ascii="Tahoma" w:hAnsi="Tahoma" w:cs="Tahoma"/>
          <w:b/>
          <w:lang w:val="en-US"/>
        </w:rPr>
      </w:pPr>
    </w:p>
    <w:p w14:paraId="04FDA3E2" w14:textId="35373272" w:rsidR="00562579" w:rsidRPr="00E02CD6" w:rsidRDefault="00562579" w:rsidP="00F270A6">
      <w:pPr>
        <w:spacing w:after="0"/>
        <w:ind w:right="-392"/>
        <w:rPr>
          <w:rFonts w:ascii="Tahoma" w:hAnsi="Tahoma" w:cs="Tahoma"/>
          <w:b/>
          <w:lang w:val="en-US"/>
        </w:rPr>
      </w:pPr>
    </w:p>
    <w:p w14:paraId="21971356" w14:textId="77777777" w:rsidR="00EB6DB5" w:rsidRPr="00E02CD6" w:rsidRDefault="00EB6DB5" w:rsidP="00F270A6">
      <w:pPr>
        <w:spacing w:after="0"/>
        <w:ind w:right="-392"/>
        <w:rPr>
          <w:rFonts w:ascii="Tahoma" w:hAnsi="Tahoma" w:cs="Tahoma"/>
          <w:b/>
          <w:lang w:val="en-US"/>
        </w:rPr>
      </w:pPr>
    </w:p>
    <w:p w14:paraId="0C934999" w14:textId="02B05E95" w:rsidR="00BC4C9F" w:rsidRPr="00E02CD6" w:rsidRDefault="00654ECF" w:rsidP="00F270A6">
      <w:pPr>
        <w:spacing w:after="0"/>
        <w:ind w:right="-392"/>
        <w:rPr>
          <w:rFonts w:ascii="Tahoma" w:hAnsi="Tahoma" w:cs="Tahoma"/>
          <w:b/>
          <w:lang w:val="en-US"/>
        </w:rPr>
      </w:pPr>
      <w:r w:rsidRPr="00E02CD6">
        <w:rPr>
          <w:rFonts w:ascii="Tahoma" w:hAnsi="Tahoma" w:cs="Tahoma"/>
          <w:b/>
          <w:lang w:val="en-US"/>
        </w:rPr>
        <w:t>OIL/</w:t>
      </w:r>
      <w:r w:rsidR="008B23B3" w:rsidRPr="00E02CD6">
        <w:rPr>
          <w:rFonts w:ascii="Tahoma" w:hAnsi="Tahoma" w:cs="Tahoma"/>
          <w:b/>
          <w:lang w:val="en-US"/>
        </w:rPr>
        <w:t>PLNG/</w:t>
      </w:r>
      <w:r w:rsidRPr="00E02CD6">
        <w:rPr>
          <w:rFonts w:ascii="Tahoma" w:hAnsi="Tahoma" w:cs="Tahoma"/>
          <w:b/>
          <w:lang w:val="en-US"/>
        </w:rPr>
        <w:t>54/2/</w:t>
      </w:r>
      <w:r w:rsidR="00F270A6" w:rsidRPr="00E02CD6">
        <w:rPr>
          <w:rFonts w:ascii="Tahoma" w:hAnsi="Tahoma" w:cs="Tahoma"/>
          <w:b/>
          <w:lang w:val="en-US"/>
        </w:rPr>
        <w:t>1</w:t>
      </w:r>
      <w:r w:rsidRPr="00E02CD6">
        <w:rPr>
          <w:rFonts w:ascii="Tahoma" w:hAnsi="Tahoma" w:cs="Tahoma"/>
          <w:b/>
          <w:lang w:val="en-US"/>
        </w:rPr>
        <w:t>/202</w:t>
      </w:r>
      <w:r w:rsidR="00F270A6" w:rsidRPr="00E02CD6">
        <w:rPr>
          <w:rFonts w:ascii="Tahoma" w:hAnsi="Tahoma" w:cs="Tahoma"/>
          <w:b/>
          <w:lang w:val="en-US"/>
        </w:rPr>
        <w:t>5</w:t>
      </w:r>
      <w:r w:rsidRPr="00E02CD6">
        <w:rPr>
          <w:rFonts w:ascii="Tahoma" w:hAnsi="Tahoma" w:cs="Tahoma"/>
          <w:b/>
          <w:lang w:val="en-US"/>
        </w:rPr>
        <w:t>/</w:t>
      </w:r>
      <w:r w:rsidR="00345A27" w:rsidRPr="00E02CD6">
        <w:rPr>
          <w:rFonts w:ascii="Tahoma" w:hAnsi="Tahoma" w:cs="Tahoma"/>
          <w:b/>
          <w:lang w:val="en-US"/>
        </w:rPr>
        <w:t>0</w:t>
      </w:r>
      <w:r w:rsidR="004A4DED" w:rsidRPr="00E02CD6">
        <w:rPr>
          <w:rFonts w:ascii="Tahoma" w:hAnsi="Tahoma" w:cs="Tahoma"/>
          <w:b/>
          <w:lang w:val="en-US"/>
        </w:rPr>
        <w:t>7</w:t>
      </w:r>
      <w:r w:rsidR="00F211B3" w:rsidRPr="00E02CD6">
        <w:rPr>
          <w:rFonts w:ascii="Tahoma" w:hAnsi="Tahoma" w:cs="Tahoma"/>
          <w:b/>
          <w:lang w:val="en-US"/>
        </w:rPr>
        <w:tab/>
      </w:r>
      <w:r w:rsidR="00F211B3" w:rsidRPr="00E02CD6">
        <w:rPr>
          <w:rFonts w:ascii="Tahoma" w:hAnsi="Tahoma" w:cs="Tahoma"/>
          <w:b/>
          <w:lang w:val="en-US"/>
        </w:rPr>
        <w:tab/>
      </w:r>
      <w:r w:rsidR="00F211B3" w:rsidRPr="00E02CD6">
        <w:rPr>
          <w:rFonts w:ascii="Tahoma" w:hAnsi="Tahoma" w:cs="Tahoma"/>
          <w:b/>
          <w:lang w:val="en-US"/>
        </w:rPr>
        <w:tab/>
      </w:r>
      <w:r w:rsidR="00F211B3" w:rsidRPr="00E02CD6">
        <w:rPr>
          <w:rFonts w:ascii="Tahoma" w:hAnsi="Tahoma" w:cs="Tahoma"/>
          <w:b/>
          <w:lang w:val="en-US"/>
        </w:rPr>
        <w:tab/>
      </w:r>
      <w:r w:rsidR="00F211B3" w:rsidRPr="00E02CD6">
        <w:rPr>
          <w:rFonts w:ascii="Tahoma" w:hAnsi="Tahoma" w:cs="Tahoma"/>
          <w:b/>
          <w:lang w:val="en-US"/>
        </w:rPr>
        <w:tab/>
      </w:r>
      <w:r w:rsidR="00506AF9" w:rsidRPr="00E02CD6">
        <w:rPr>
          <w:rFonts w:ascii="Tahoma" w:hAnsi="Tahoma" w:cs="Tahoma"/>
          <w:b/>
          <w:lang w:val="en-US"/>
        </w:rPr>
        <w:t xml:space="preserve">    </w:t>
      </w:r>
      <w:r w:rsidR="008B23B3" w:rsidRPr="00E02CD6">
        <w:rPr>
          <w:rFonts w:ascii="Tahoma" w:hAnsi="Tahoma" w:cs="Tahoma"/>
          <w:b/>
          <w:lang w:val="en-US"/>
        </w:rPr>
        <w:t xml:space="preserve">             </w:t>
      </w:r>
      <w:r w:rsidR="00F270A6" w:rsidRPr="00E02CD6">
        <w:rPr>
          <w:rFonts w:ascii="Tahoma" w:hAnsi="Tahoma" w:cs="Tahoma"/>
          <w:b/>
          <w:lang w:val="en-US"/>
        </w:rPr>
        <w:t>2</w:t>
      </w:r>
      <w:r w:rsidR="000A09A2" w:rsidRPr="00E02CD6">
        <w:rPr>
          <w:rFonts w:ascii="Tahoma" w:hAnsi="Tahoma" w:cs="Tahoma"/>
          <w:b/>
          <w:lang w:val="en-US"/>
        </w:rPr>
        <w:t>8</w:t>
      </w:r>
      <w:proofErr w:type="gramStart"/>
      <w:r w:rsidR="00562579" w:rsidRPr="00E02CD6">
        <w:rPr>
          <w:rFonts w:ascii="Tahoma" w:hAnsi="Tahoma" w:cs="Tahoma"/>
          <w:b/>
          <w:vertAlign w:val="superscript"/>
          <w:lang w:val="en-US"/>
        </w:rPr>
        <w:t>th</w:t>
      </w:r>
      <w:r w:rsidR="00562579" w:rsidRPr="00E02CD6">
        <w:rPr>
          <w:rFonts w:ascii="Tahoma" w:hAnsi="Tahoma" w:cs="Tahoma"/>
          <w:b/>
          <w:lang w:val="en-US"/>
        </w:rPr>
        <w:t xml:space="preserve"> </w:t>
      </w:r>
      <w:r w:rsidR="00F270A6" w:rsidRPr="00E02CD6">
        <w:rPr>
          <w:rFonts w:ascii="Tahoma" w:hAnsi="Tahoma" w:cs="Tahoma"/>
          <w:b/>
          <w:lang w:val="en-US"/>
        </w:rPr>
        <w:t xml:space="preserve"> January</w:t>
      </w:r>
      <w:proofErr w:type="gramEnd"/>
      <w:r w:rsidR="00F211B3" w:rsidRPr="00E02CD6">
        <w:rPr>
          <w:rFonts w:ascii="Tahoma" w:hAnsi="Tahoma" w:cs="Tahoma"/>
          <w:b/>
          <w:lang w:val="en-US"/>
        </w:rPr>
        <w:t>,</w:t>
      </w:r>
      <w:r w:rsidR="00D41C07" w:rsidRPr="00E02CD6">
        <w:rPr>
          <w:rFonts w:ascii="Tahoma" w:hAnsi="Tahoma" w:cs="Tahoma"/>
          <w:b/>
          <w:lang w:val="en-US"/>
        </w:rPr>
        <w:t xml:space="preserve"> </w:t>
      </w:r>
      <w:r w:rsidR="00F211B3" w:rsidRPr="00E02CD6">
        <w:rPr>
          <w:rFonts w:ascii="Tahoma" w:hAnsi="Tahoma" w:cs="Tahoma"/>
          <w:b/>
          <w:lang w:val="en-US"/>
        </w:rPr>
        <w:t>202</w:t>
      </w:r>
      <w:r w:rsidR="00F270A6" w:rsidRPr="00E02CD6">
        <w:rPr>
          <w:rFonts w:ascii="Tahoma" w:hAnsi="Tahoma" w:cs="Tahoma"/>
          <w:b/>
          <w:lang w:val="en-US"/>
        </w:rPr>
        <w:t>5</w:t>
      </w:r>
    </w:p>
    <w:p w14:paraId="097B29A8" w14:textId="77777777" w:rsidR="00C42C3F" w:rsidRPr="00E02CD6" w:rsidRDefault="00C42C3F" w:rsidP="001E301A">
      <w:pPr>
        <w:spacing w:after="0"/>
        <w:ind w:right="-28"/>
        <w:rPr>
          <w:rFonts w:ascii="Tahoma" w:hAnsi="Tahoma" w:cs="Tahoma"/>
          <w:lang w:val="en-US"/>
        </w:rPr>
      </w:pPr>
    </w:p>
    <w:p w14:paraId="54F9D8EA" w14:textId="77777777" w:rsidR="00654ECF" w:rsidRPr="00E02CD6" w:rsidRDefault="00654ECF" w:rsidP="00C42C3F">
      <w:pPr>
        <w:spacing w:after="0"/>
        <w:rPr>
          <w:rFonts w:ascii="Tahoma" w:hAnsi="Tahoma" w:cs="Tahoma"/>
          <w:lang w:val="en-US"/>
        </w:rPr>
      </w:pPr>
      <w:r w:rsidRPr="00E02CD6">
        <w:rPr>
          <w:rFonts w:ascii="Tahoma" w:hAnsi="Tahoma" w:cs="Tahoma"/>
          <w:lang w:val="en-US"/>
        </w:rPr>
        <w:t>Ministry of Petroleum and Natural Gas</w:t>
      </w:r>
    </w:p>
    <w:p w14:paraId="10035C68" w14:textId="77777777" w:rsidR="00506AF9" w:rsidRPr="00E02CD6" w:rsidRDefault="00506AF9" w:rsidP="00C42C3F">
      <w:pPr>
        <w:spacing w:after="0"/>
        <w:rPr>
          <w:rFonts w:ascii="Tahoma" w:hAnsi="Tahoma" w:cs="Tahoma"/>
          <w:lang w:val="en-US"/>
        </w:rPr>
      </w:pPr>
      <w:r w:rsidRPr="00E02CD6">
        <w:rPr>
          <w:rFonts w:ascii="Tahoma" w:hAnsi="Tahoma" w:cs="Tahoma"/>
          <w:lang w:val="en-US"/>
        </w:rPr>
        <w:t>Shastri Bhawan</w:t>
      </w:r>
    </w:p>
    <w:p w14:paraId="6BFCBBA0" w14:textId="77777777" w:rsidR="00654ECF" w:rsidRPr="00E02CD6" w:rsidRDefault="00654ECF" w:rsidP="00C42C3F">
      <w:pPr>
        <w:spacing w:after="0"/>
        <w:rPr>
          <w:rFonts w:ascii="Tahoma" w:hAnsi="Tahoma" w:cs="Tahoma"/>
          <w:u w:val="single"/>
          <w:lang w:val="en-US"/>
        </w:rPr>
      </w:pPr>
      <w:r w:rsidRPr="00E02CD6">
        <w:rPr>
          <w:rFonts w:ascii="Tahoma" w:hAnsi="Tahoma" w:cs="Tahoma"/>
          <w:u w:val="single"/>
          <w:lang w:val="en-US"/>
        </w:rPr>
        <w:t>New Delhi-110</w:t>
      </w:r>
      <w:r w:rsidR="00C63D71" w:rsidRPr="00E02CD6">
        <w:rPr>
          <w:rFonts w:ascii="Tahoma" w:hAnsi="Tahoma" w:cs="Tahoma"/>
          <w:u w:val="single"/>
          <w:lang w:val="en-US"/>
        </w:rPr>
        <w:t>001</w:t>
      </w:r>
    </w:p>
    <w:p w14:paraId="54AFC079" w14:textId="27AAB330" w:rsidR="00230158" w:rsidRPr="00E02CD6" w:rsidRDefault="00506AF9" w:rsidP="0044759C">
      <w:pPr>
        <w:spacing w:after="0"/>
        <w:ind w:right="-482"/>
        <w:jc w:val="center"/>
        <w:rPr>
          <w:rFonts w:ascii="Tahoma" w:hAnsi="Tahoma" w:cs="Tahoma"/>
          <w:b/>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E02CD6">
        <w:rPr>
          <w:rFonts w:ascii="Tahoma" w:hAnsi="Tahoma" w:cs="Tahoma"/>
          <w:b/>
          <w:lang w:val="en-US"/>
        </w:rPr>
        <w:t xml:space="preserve">Kind Attn: </w:t>
      </w:r>
      <w:r w:rsidR="00D90377" w:rsidRPr="00E02CD6">
        <w:rPr>
          <w:rFonts w:ascii="Tahoma" w:hAnsi="Tahoma" w:cs="Tahoma"/>
          <w:b/>
          <w:lang w:val="en-US"/>
        </w:rPr>
        <w:t xml:space="preserve">Shri </w:t>
      </w:r>
      <w:proofErr w:type="spellStart"/>
      <w:r w:rsidR="004E599F" w:rsidRPr="00E02CD6">
        <w:rPr>
          <w:rFonts w:ascii="Tahoma" w:hAnsi="Tahoma" w:cs="Tahoma"/>
          <w:b/>
          <w:lang w:val="en-US"/>
        </w:rPr>
        <w:t>Sa</w:t>
      </w:r>
      <w:r w:rsidR="00F977D6" w:rsidRPr="00E02CD6">
        <w:rPr>
          <w:rFonts w:ascii="Tahoma" w:hAnsi="Tahoma" w:cs="Tahoma"/>
          <w:b/>
          <w:lang w:val="en-US"/>
        </w:rPr>
        <w:t>tpal</w:t>
      </w:r>
      <w:proofErr w:type="spellEnd"/>
      <w:r w:rsidR="00F977D6" w:rsidRPr="00E02CD6">
        <w:rPr>
          <w:rFonts w:ascii="Tahoma" w:hAnsi="Tahoma" w:cs="Tahoma"/>
          <w:b/>
          <w:lang w:val="en-US"/>
        </w:rPr>
        <w:t xml:space="preserve"> Yadav</w:t>
      </w:r>
    </w:p>
    <w:p w14:paraId="7B68B911" w14:textId="1E42D092" w:rsidR="007C79E3" w:rsidRPr="00E02CD6" w:rsidRDefault="005068B1" w:rsidP="0044759C">
      <w:pPr>
        <w:spacing w:after="0"/>
        <w:ind w:right="-482"/>
        <w:jc w:val="center"/>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proofErr w:type="gramStart"/>
      <w:r w:rsidR="00C968B7" w:rsidRPr="00E02CD6">
        <w:rPr>
          <w:rFonts w:ascii="Tahoma" w:hAnsi="Tahoma" w:cs="Tahoma"/>
          <w:bCs/>
          <w:lang w:val="en-US"/>
        </w:rPr>
        <w:t>A</w:t>
      </w:r>
      <w:r w:rsidR="001352A6" w:rsidRPr="00E02CD6">
        <w:rPr>
          <w:rFonts w:ascii="Tahoma" w:hAnsi="Tahoma" w:cs="Tahoma"/>
          <w:bCs/>
          <w:u w:val="single"/>
          <w:lang w:val="en-US"/>
        </w:rPr>
        <w:t>S</w:t>
      </w:r>
      <w:r w:rsidR="00D86755" w:rsidRPr="00E02CD6">
        <w:rPr>
          <w:rFonts w:ascii="Tahoma" w:hAnsi="Tahoma" w:cs="Tahoma"/>
          <w:bCs/>
          <w:u w:val="single"/>
          <w:lang w:val="en-US"/>
        </w:rPr>
        <w:t>O(</w:t>
      </w:r>
      <w:proofErr w:type="gramEnd"/>
      <w:r w:rsidR="00C968B7" w:rsidRPr="00E02CD6">
        <w:rPr>
          <w:rFonts w:ascii="Tahoma" w:hAnsi="Tahoma" w:cs="Tahoma"/>
          <w:bCs/>
          <w:u w:val="single"/>
          <w:lang w:val="en-US"/>
        </w:rPr>
        <w:t>ONG</w:t>
      </w:r>
      <w:r w:rsidR="00F270A6" w:rsidRPr="00E02CD6">
        <w:rPr>
          <w:rFonts w:ascii="Tahoma" w:hAnsi="Tahoma" w:cs="Tahoma"/>
          <w:bCs/>
          <w:u w:val="single"/>
          <w:lang w:val="en-US"/>
        </w:rPr>
        <w:t xml:space="preserve"> I</w:t>
      </w:r>
      <w:r w:rsidR="00C968B7" w:rsidRPr="00E02CD6">
        <w:rPr>
          <w:rFonts w:ascii="Tahoma" w:hAnsi="Tahoma" w:cs="Tahoma"/>
          <w:bCs/>
          <w:u w:val="single"/>
          <w:lang w:val="en-US"/>
        </w:rPr>
        <w:t>&amp;V</w:t>
      </w:r>
      <w:r w:rsidR="00D86755" w:rsidRPr="00E02CD6">
        <w:rPr>
          <w:rFonts w:ascii="Tahoma" w:hAnsi="Tahoma" w:cs="Tahoma"/>
          <w:bCs/>
          <w:u w:val="single"/>
          <w:lang w:val="en-US"/>
        </w:rPr>
        <w:t>)</w:t>
      </w:r>
    </w:p>
    <w:p w14:paraId="24F1D845" w14:textId="53E3B87B" w:rsidR="004A407D" w:rsidRPr="00E02CD6"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4A4DED" w:rsidRPr="00E02CD6">
        <w:rPr>
          <w:rFonts w:ascii="Tahoma" w:hAnsi="Tahoma" w:cs="Tahoma"/>
          <w:lang w:val="en-US"/>
        </w:rPr>
        <w:t>Rajya</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4A4DED" w:rsidRPr="00E02CD6">
        <w:rPr>
          <w:rFonts w:ascii="Tahoma" w:hAnsi="Tahoma" w:cs="Tahoma"/>
          <w:lang w:val="en-US"/>
        </w:rPr>
        <w:t>Starred/</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 xml:space="preserve">Dy. No. </w:t>
      </w:r>
      <w:r w:rsidR="004A4DED" w:rsidRPr="00E02CD6">
        <w:rPr>
          <w:rFonts w:ascii="Tahoma" w:hAnsi="Tahoma" w:cs="Tahoma"/>
          <w:lang w:val="en-US"/>
        </w:rPr>
        <w:t>U416</w:t>
      </w:r>
      <w:r w:rsidR="006B5433" w:rsidRPr="00E02CD6">
        <w:rPr>
          <w:rFonts w:ascii="Tahoma" w:hAnsi="Tahoma" w:cs="Tahoma"/>
          <w:lang w:val="en-US"/>
        </w:rPr>
        <w:t xml:space="preserve"> </w:t>
      </w:r>
      <w:proofErr w:type="gramStart"/>
      <w:r w:rsidR="000029E2" w:rsidRPr="00E02CD6">
        <w:rPr>
          <w:rFonts w:ascii="Tahoma" w:hAnsi="Tahoma" w:cs="Tahoma"/>
          <w:lang w:val="en-US"/>
        </w:rPr>
        <w:t xml:space="preserve">for </w:t>
      </w:r>
      <w:r w:rsidR="008D1ADC" w:rsidRPr="00E02CD6">
        <w:rPr>
          <w:rFonts w:ascii="Tahoma" w:hAnsi="Tahoma" w:cs="Tahoma"/>
          <w:lang w:val="en-US"/>
        </w:rPr>
        <w:t xml:space="preserve"> </w:t>
      </w:r>
      <w:r w:rsidR="00F270A6" w:rsidRPr="00E02CD6">
        <w:rPr>
          <w:rFonts w:ascii="Tahoma" w:hAnsi="Tahoma" w:cs="Tahoma"/>
          <w:lang w:val="en-US"/>
        </w:rPr>
        <w:t>0</w:t>
      </w:r>
      <w:r w:rsidR="004A4DED" w:rsidRPr="00E02CD6">
        <w:rPr>
          <w:rFonts w:ascii="Tahoma" w:hAnsi="Tahoma" w:cs="Tahoma"/>
          <w:lang w:val="en-US"/>
        </w:rPr>
        <w:t>3</w:t>
      </w:r>
      <w:r w:rsidR="00345A27" w:rsidRPr="00E02CD6">
        <w:rPr>
          <w:rFonts w:ascii="Tahoma" w:hAnsi="Tahoma" w:cs="Tahoma"/>
          <w:lang w:val="en-US"/>
        </w:rPr>
        <w:t>.</w:t>
      </w:r>
      <w:r w:rsidR="00F270A6" w:rsidRPr="00E02CD6">
        <w:rPr>
          <w:rFonts w:ascii="Tahoma" w:hAnsi="Tahoma" w:cs="Tahoma"/>
          <w:lang w:val="en-US"/>
        </w:rPr>
        <w:t>02</w:t>
      </w:r>
      <w:r w:rsidR="000029E2" w:rsidRPr="00E02CD6">
        <w:rPr>
          <w:rFonts w:ascii="Tahoma" w:hAnsi="Tahoma" w:cs="Tahoma"/>
          <w:lang w:val="en-US"/>
        </w:rPr>
        <w:t>.202</w:t>
      </w:r>
      <w:r w:rsidR="00F270A6" w:rsidRPr="00E02CD6">
        <w:rPr>
          <w:rFonts w:ascii="Tahoma" w:hAnsi="Tahoma" w:cs="Tahoma"/>
          <w:lang w:val="en-US"/>
        </w:rPr>
        <w:t>5</w:t>
      </w:r>
      <w:proofErr w:type="gramEnd"/>
      <w:r w:rsidR="00F270A6" w:rsidRPr="00E02CD6">
        <w:rPr>
          <w:rFonts w:ascii="Tahoma" w:hAnsi="Tahoma" w:cs="Tahoma"/>
          <w:lang w:val="en-US"/>
        </w:rPr>
        <w:t xml:space="preserve"> </w:t>
      </w:r>
    </w:p>
    <w:p w14:paraId="6D88C26E" w14:textId="1251234E" w:rsidR="00F211B3" w:rsidRPr="00E02CD6" w:rsidRDefault="008D1ADC" w:rsidP="00F977D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F211B3" w:rsidRPr="00E02CD6">
        <w:rPr>
          <w:rFonts w:ascii="Tahoma" w:hAnsi="Tahoma" w:cs="Tahoma"/>
          <w:lang w:val="en-US"/>
        </w:rPr>
        <w:t>Regarding</w:t>
      </w:r>
      <w:r w:rsidR="0006232A" w:rsidRPr="00E02CD6">
        <w:rPr>
          <w:rFonts w:ascii="Tahoma" w:hAnsi="Tahoma" w:cs="Tahoma"/>
          <w:lang w:val="en-US"/>
        </w:rPr>
        <w:t xml:space="preserve"> </w:t>
      </w:r>
      <w:r w:rsidR="00B234E6" w:rsidRPr="00E02CD6">
        <w:rPr>
          <w:rFonts w:ascii="Tahoma" w:hAnsi="Tahoma" w:cs="Tahoma"/>
          <w:b/>
          <w:lang w:val="en-US"/>
        </w:rPr>
        <w:t>“</w:t>
      </w:r>
      <w:r w:rsidR="004A4DED" w:rsidRPr="00E02CD6">
        <w:rPr>
          <w:rFonts w:ascii="Tahoma" w:hAnsi="Tahoma" w:cs="Tahoma"/>
          <w:b/>
          <w:lang w:val="en-US"/>
        </w:rPr>
        <w:t>Fuel Prices at Global Level</w:t>
      </w:r>
      <w:r w:rsidR="00C07081" w:rsidRPr="00E02CD6">
        <w:rPr>
          <w:rFonts w:ascii="Tahoma" w:hAnsi="Tahoma" w:cs="Tahoma"/>
          <w:b/>
          <w:lang w:val="en-US"/>
        </w:rPr>
        <w:t>”</w:t>
      </w:r>
    </w:p>
    <w:p w14:paraId="3297E00F" w14:textId="026B3811" w:rsidR="00C42C3F" w:rsidRPr="00E02CD6" w:rsidRDefault="00C42C3F" w:rsidP="004C32CD">
      <w:pPr>
        <w:tabs>
          <w:tab w:val="left" w:pos="709"/>
          <w:tab w:val="center" w:pos="4817"/>
        </w:tabs>
        <w:spacing w:after="0"/>
        <w:ind w:right="-306"/>
        <w:rPr>
          <w:rFonts w:ascii="Tahoma" w:hAnsi="Tahoma" w:cs="Tahoma"/>
          <w:lang w:val="en-US"/>
        </w:rPr>
      </w:pPr>
      <w:r w:rsidRPr="00E02CD6">
        <w:rPr>
          <w:rFonts w:ascii="Tahoma" w:hAnsi="Tahoma" w:cs="Tahoma"/>
          <w:b/>
          <w:lang w:val="en-US"/>
        </w:rPr>
        <w:t>Ref.</w:t>
      </w:r>
      <w:r w:rsidRPr="00E02CD6">
        <w:rPr>
          <w:rFonts w:ascii="Tahoma" w:hAnsi="Tahoma" w:cs="Tahoma"/>
          <w:lang w:val="en-US"/>
        </w:rPr>
        <w:t xml:space="preserve"> </w:t>
      </w:r>
      <w:r w:rsidR="004C32CD" w:rsidRPr="00E02CD6">
        <w:rPr>
          <w:rFonts w:ascii="Tahoma" w:hAnsi="Tahoma" w:cs="Tahoma"/>
          <w:lang w:val="en-US"/>
        </w:rPr>
        <w:t xml:space="preserve"> </w:t>
      </w:r>
      <w:r w:rsidRPr="00E02CD6">
        <w:rPr>
          <w:rFonts w:ascii="Tahoma" w:hAnsi="Tahoma" w:cs="Tahoma"/>
          <w:lang w:val="en-US"/>
        </w:rPr>
        <w:t xml:space="preserve">Your email dated </w:t>
      </w:r>
      <w:r w:rsidR="00F270A6" w:rsidRPr="00E02CD6">
        <w:rPr>
          <w:rFonts w:ascii="Tahoma" w:hAnsi="Tahoma" w:cs="Tahoma"/>
          <w:lang w:val="en-US"/>
        </w:rPr>
        <w:t>2</w:t>
      </w:r>
      <w:r w:rsidR="004A4DED" w:rsidRPr="00E02CD6">
        <w:rPr>
          <w:rFonts w:ascii="Tahoma" w:hAnsi="Tahoma" w:cs="Tahoma"/>
          <w:lang w:val="en-US"/>
        </w:rPr>
        <w:t>7</w:t>
      </w:r>
      <w:r w:rsidRPr="00E02CD6">
        <w:rPr>
          <w:rFonts w:ascii="Tahoma" w:hAnsi="Tahoma" w:cs="Tahoma"/>
          <w:lang w:val="en-US"/>
        </w:rPr>
        <w:t>.</w:t>
      </w:r>
      <w:r w:rsidR="00F270A6" w:rsidRPr="00E02CD6">
        <w:rPr>
          <w:rFonts w:ascii="Tahoma" w:hAnsi="Tahoma" w:cs="Tahoma"/>
          <w:lang w:val="en-US"/>
        </w:rPr>
        <w:t>01</w:t>
      </w:r>
      <w:r w:rsidRPr="00E02CD6">
        <w:rPr>
          <w:rFonts w:ascii="Tahoma" w:hAnsi="Tahoma" w:cs="Tahoma"/>
          <w:lang w:val="en-US"/>
        </w:rPr>
        <w:t>.202</w:t>
      </w:r>
      <w:r w:rsidR="00F270A6" w:rsidRPr="00E02CD6">
        <w:rPr>
          <w:rFonts w:ascii="Tahoma" w:hAnsi="Tahoma" w:cs="Tahoma"/>
          <w:lang w:val="en-US"/>
        </w:rPr>
        <w:t>5</w:t>
      </w:r>
    </w:p>
    <w:p w14:paraId="02FF2837" w14:textId="77777777" w:rsidR="00C968B7" w:rsidRPr="00E02CD6" w:rsidRDefault="00C968B7" w:rsidP="004C32CD">
      <w:pPr>
        <w:tabs>
          <w:tab w:val="left" w:pos="709"/>
          <w:tab w:val="center" w:pos="4817"/>
        </w:tabs>
        <w:spacing w:after="0"/>
        <w:ind w:right="-306"/>
        <w:rPr>
          <w:rFonts w:ascii="Tahoma" w:hAnsi="Tahoma" w:cs="Tahoma"/>
          <w:lang w:val="en-US"/>
        </w:rPr>
      </w:pPr>
    </w:p>
    <w:p w14:paraId="077B8116" w14:textId="08FE58B5"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2813D01B" w14:textId="63C67206" w:rsidR="00C42C3F" w:rsidRPr="00E02CD6"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4A4DED" w:rsidRPr="00E02CD6">
        <w:rPr>
          <w:rFonts w:ascii="Tahoma" w:hAnsi="Tahoma" w:cs="Tahoma"/>
          <w:lang w:val="en-US"/>
        </w:rPr>
        <w:t>Rajya</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F47FDD" w:rsidRPr="00E02CD6" w14:paraId="55DD2EA1" w14:textId="77777777" w:rsidTr="004A4DED">
        <w:trPr>
          <w:trHeight w:val="1178"/>
        </w:trPr>
        <w:tc>
          <w:tcPr>
            <w:tcW w:w="3955" w:type="dxa"/>
          </w:tcPr>
          <w:p w14:paraId="4062B524" w14:textId="0A4A34FF" w:rsidR="00F47FDD" w:rsidRPr="00E02CD6" w:rsidRDefault="00F47FDD" w:rsidP="00803C64">
            <w:pPr>
              <w:ind w:right="34"/>
              <w:jc w:val="both"/>
              <w:rPr>
                <w:rFonts w:ascii="Tahoma" w:hAnsi="Tahoma" w:cs="Tahoma"/>
                <w:i/>
                <w:iCs/>
              </w:rPr>
            </w:pPr>
            <w:r w:rsidRPr="00E02CD6">
              <w:rPr>
                <w:rFonts w:ascii="Tahoma" w:hAnsi="Tahoma" w:cs="Tahoma"/>
                <w:i/>
                <w:iCs/>
              </w:rPr>
              <w:t xml:space="preserve">Q.(a) </w:t>
            </w:r>
            <w:r w:rsidR="00F977D6" w:rsidRPr="00E02CD6">
              <w:rPr>
                <w:rFonts w:ascii="Tahoma" w:hAnsi="Tahoma" w:cs="Tahoma"/>
                <w:i/>
                <w:iCs/>
                <w:lang w:val="en-US"/>
              </w:rPr>
              <w:t xml:space="preserve">The details </w:t>
            </w:r>
            <w:r w:rsidR="004A4DED" w:rsidRPr="00E02CD6">
              <w:rPr>
                <w:rFonts w:ascii="Tahoma" w:hAnsi="Tahoma" w:cs="Tahoma"/>
                <w:i/>
                <w:iCs/>
                <w:lang w:val="en-US"/>
              </w:rPr>
              <w:t>of progress made towards increasing India’s exploration area to 1 Million square kilometers by 2030 as announced in the Energy Dialogue 2024;</w:t>
            </w:r>
          </w:p>
        </w:tc>
        <w:tc>
          <w:tcPr>
            <w:tcW w:w="5940" w:type="dxa"/>
          </w:tcPr>
          <w:p w14:paraId="74BA7E13" w14:textId="77777777" w:rsidR="000A09A2" w:rsidRPr="00DD18E7" w:rsidRDefault="004A4DED" w:rsidP="00DD18E7">
            <w:pPr>
              <w:spacing w:after="120"/>
              <w:jc w:val="both"/>
              <w:rPr>
                <w:rFonts w:ascii="Tahoma" w:eastAsia="Times New Roman" w:hAnsi="Tahoma" w:cs="Tahoma"/>
                <w:b/>
                <w:bCs/>
                <w:kern w:val="2"/>
                <w14:ligatures w14:val="standardContextual"/>
              </w:rPr>
            </w:pPr>
            <w:r w:rsidRPr="00DD18E7">
              <w:rPr>
                <w:rFonts w:ascii="Tahoma" w:hAnsi="Tahoma" w:cs="Tahoma"/>
                <w:b/>
                <w:lang w:val="en-US"/>
              </w:rPr>
              <w:t>Answer to Q(a):</w:t>
            </w:r>
            <w:r w:rsidRPr="00DD18E7">
              <w:rPr>
                <w:rFonts w:ascii="Tahoma" w:hAnsi="Tahoma" w:cs="Tahoma"/>
                <w:lang w:val="en-US"/>
              </w:rPr>
              <w:t xml:space="preserve"> </w:t>
            </w:r>
            <w:r w:rsidR="000A09A2" w:rsidRPr="00DD18E7">
              <w:rPr>
                <w:rFonts w:ascii="Tahoma" w:eastAsia="Times New Roman" w:hAnsi="Tahoma" w:cs="Tahoma"/>
                <w:b/>
                <w:bCs/>
                <w:kern w:val="2"/>
                <w14:ligatures w14:val="standardContextual"/>
              </w:rPr>
              <w:t>DGH/</w:t>
            </w:r>
            <w:proofErr w:type="spellStart"/>
            <w:r w:rsidR="000A09A2" w:rsidRPr="00DD18E7">
              <w:rPr>
                <w:rFonts w:ascii="Tahoma" w:eastAsia="Times New Roman" w:hAnsi="Tahoma" w:cs="Tahoma"/>
                <w:b/>
                <w:bCs/>
                <w:kern w:val="2"/>
                <w14:ligatures w14:val="standardContextual"/>
              </w:rPr>
              <w:t>MoPNG</w:t>
            </w:r>
            <w:proofErr w:type="spellEnd"/>
            <w:r w:rsidR="000A09A2" w:rsidRPr="00DD18E7">
              <w:rPr>
                <w:rFonts w:ascii="Tahoma" w:eastAsia="Times New Roman" w:hAnsi="Tahoma" w:cs="Tahoma"/>
                <w:b/>
                <w:bCs/>
                <w:kern w:val="2"/>
                <w14:ligatures w14:val="standardContextual"/>
              </w:rPr>
              <w:t xml:space="preserve"> may kindly reply suitably. </w:t>
            </w:r>
          </w:p>
          <w:p w14:paraId="3183A0AE" w14:textId="77777777" w:rsidR="000A09A2" w:rsidRPr="000A09A2" w:rsidRDefault="000A09A2" w:rsidP="000A09A2">
            <w:pPr>
              <w:spacing w:after="120"/>
              <w:ind w:right="29"/>
              <w:jc w:val="both"/>
              <w:rPr>
                <w:rFonts w:ascii="Tahoma" w:eastAsia="Calibri" w:hAnsi="Tahoma" w:cs="Tahoma"/>
                <w:color w:val="242424"/>
                <w:kern w:val="2"/>
                <w:bdr w:val="none" w:sz="0" w:space="0" w:color="auto" w:frame="1"/>
                <w14:ligatures w14:val="standardContextual"/>
              </w:rPr>
            </w:pPr>
            <w:proofErr w:type="spellStart"/>
            <w:r w:rsidRPr="000A09A2">
              <w:rPr>
                <w:rFonts w:ascii="Tahoma" w:eastAsia="Calibri" w:hAnsi="Tahoma" w:cs="Tahoma"/>
                <w:color w:val="242424"/>
                <w:kern w:val="2"/>
                <w:bdr w:val="none" w:sz="0" w:space="0" w:color="auto" w:frame="1"/>
                <w14:ligatures w14:val="standardContextual"/>
              </w:rPr>
              <w:t>GoI</w:t>
            </w:r>
            <w:proofErr w:type="spellEnd"/>
            <w:r w:rsidRPr="000A09A2">
              <w:rPr>
                <w:rFonts w:ascii="Tahoma" w:eastAsia="Calibri" w:hAnsi="Tahoma" w:cs="Tahoma"/>
                <w:color w:val="242424"/>
                <w:kern w:val="2"/>
                <w:bdr w:val="none" w:sz="0" w:space="0" w:color="auto" w:frame="1"/>
                <w14:ligatures w14:val="standardContextual"/>
              </w:rPr>
              <w:t xml:space="preserve"> has significantly reduced the earlier "No-Go" areas by around 98% and this also includes 99% of area earlier prohibited for security reasons in </w:t>
            </w:r>
            <w:hyperlink r:id="rId6" w:tgtFrame="_blank" w:history="1">
              <w:r w:rsidRPr="00E02CD6">
                <w:rPr>
                  <w:rFonts w:ascii="Tahoma" w:eastAsia="Calibri" w:hAnsi="Tahoma" w:cs="Tahoma"/>
                  <w:color w:val="242424"/>
                  <w:kern w:val="2"/>
                  <w:bdr w:val="none" w:sz="0" w:space="0" w:color="auto" w:frame="1"/>
                  <w14:ligatures w14:val="standardContextual"/>
                </w:rPr>
                <w:t>India</w:t>
              </w:r>
            </w:hyperlink>
            <w:r w:rsidRPr="000A09A2">
              <w:rPr>
                <w:rFonts w:ascii="Tahoma" w:eastAsia="Calibri" w:hAnsi="Tahoma" w:cs="Tahoma"/>
                <w:color w:val="242424"/>
                <w:kern w:val="2"/>
                <w:bdr w:val="none" w:sz="0" w:space="0" w:color="auto" w:frame="1"/>
                <w14:ligatures w14:val="standardContextual"/>
              </w:rPr>
              <w:t xml:space="preserve">'s Exclusive Economic Zone (EEZ). The total exempted area from No-Go restriction is around 1 million Sq. Km. </w:t>
            </w:r>
          </w:p>
          <w:p w14:paraId="21B7FDC4" w14:textId="77777777" w:rsidR="000A09A2" w:rsidRPr="000A09A2" w:rsidRDefault="000A09A2" w:rsidP="000A09A2">
            <w:pPr>
              <w:spacing w:after="120"/>
              <w:ind w:right="29"/>
              <w:jc w:val="both"/>
              <w:rPr>
                <w:rFonts w:ascii="Tahoma" w:eastAsia="Calibri" w:hAnsi="Tahoma" w:cs="Tahoma"/>
                <w:color w:val="242424"/>
                <w:kern w:val="2"/>
                <w:bdr w:val="none" w:sz="0" w:space="0" w:color="auto" w:frame="1"/>
                <w14:ligatures w14:val="standardContextual"/>
              </w:rPr>
            </w:pPr>
            <w:r w:rsidRPr="000A09A2">
              <w:rPr>
                <w:rFonts w:ascii="Tahoma" w:eastAsia="Calibri" w:hAnsi="Tahoma" w:cs="Tahoma"/>
                <w:color w:val="242424"/>
                <w:kern w:val="2"/>
                <w:bdr w:val="none" w:sz="0" w:space="0" w:color="auto" w:frame="1"/>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0A09A2">
              <w:rPr>
                <w:rFonts w:ascii="Tahoma" w:eastAsia="Calibri" w:hAnsi="Tahoma" w:cs="Tahoma"/>
                <w:color w:val="242424"/>
                <w:kern w:val="2"/>
                <w:bdr w:val="none" w:sz="0" w:space="0" w:color="auto" w:frame="1"/>
                <w14:ligatures w14:val="standardContextual"/>
              </w:rPr>
              <w:t>ultra deep</w:t>
            </w:r>
            <w:proofErr w:type="spellEnd"/>
            <w:r w:rsidRPr="000A09A2">
              <w:rPr>
                <w:rFonts w:ascii="Tahoma" w:eastAsia="Calibri" w:hAnsi="Tahoma" w:cs="Tahoma"/>
                <w:color w:val="242424"/>
                <w:kern w:val="2"/>
                <w:bdr w:val="none" w:sz="0" w:space="0" w:color="auto" w:frame="1"/>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2A8F17C7" w14:textId="77777777" w:rsidR="000A09A2" w:rsidRPr="000A09A2" w:rsidRDefault="000A09A2" w:rsidP="000A09A2">
            <w:pPr>
              <w:spacing w:after="120"/>
              <w:jc w:val="both"/>
              <w:rPr>
                <w:rFonts w:ascii="Tahoma" w:eastAsia="Calibri" w:hAnsi="Tahoma" w:cs="Tahoma"/>
                <w:color w:val="242424"/>
                <w:kern w:val="2"/>
                <w:bdr w:val="none" w:sz="0" w:space="0" w:color="auto" w:frame="1"/>
                <w14:ligatures w14:val="standardContextual"/>
              </w:rPr>
            </w:pPr>
            <w:r w:rsidRPr="000A09A2">
              <w:rPr>
                <w:rFonts w:ascii="Tahoma" w:eastAsia="Calibri" w:hAnsi="Tahoma" w:cs="Tahoma"/>
                <w:color w:val="242424"/>
                <w:kern w:val="2"/>
                <w:bdr w:val="none" w:sz="0" w:space="0" w:color="auto" w:frame="1"/>
                <w14:ligatures w14:val="standardContextual"/>
              </w:rPr>
              <w:t>As far Oil India Limited is concerned, OIL also views this as a significant opportunity and intends to acquire exploration acreages through forthcoming OALP Bid Rounds in these newly opened-up areas. Under OALP Bid Round IX, basis bid opening, OIL has secured 4 blocks as Operator with a total area of 37,976 Sq. Km and 1 Block Jointly with ONGC with a total area of 9,467 Sq. Km in the recently opened-up "No-Go" areas in the Ultra-deep waters of Krishna-Godavari &amp; Mahanadi Basins. Official notification is awaited (Letter of Award &amp; RSC signing is awaited).</w:t>
            </w:r>
          </w:p>
          <w:p w14:paraId="1C2BC2CF" w14:textId="35E030BC" w:rsidR="00562579" w:rsidRPr="00E02CD6" w:rsidRDefault="00562579" w:rsidP="00803C64">
            <w:pPr>
              <w:ind w:right="34"/>
              <w:jc w:val="both"/>
              <w:rPr>
                <w:rFonts w:ascii="Tahoma" w:hAnsi="Tahoma" w:cs="Tahoma"/>
                <w:lang w:val="en-US"/>
              </w:rPr>
            </w:pPr>
          </w:p>
        </w:tc>
      </w:tr>
      <w:tr w:rsidR="00F47FDD" w:rsidRPr="00E02CD6" w14:paraId="65648DF5" w14:textId="77777777" w:rsidTr="00DD18E7">
        <w:trPr>
          <w:trHeight w:val="9710"/>
        </w:trPr>
        <w:tc>
          <w:tcPr>
            <w:tcW w:w="3955" w:type="dxa"/>
          </w:tcPr>
          <w:p w14:paraId="7C23B99B" w14:textId="4208C5D1" w:rsidR="00F47FDD" w:rsidRPr="00E02CD6" w:rsidRDefault="00F47FDD" w:rsidP="00803C64">
            <w:pPr>
              <w:ind w:right="34"/>
              <w:jc w:val="both"/>
              <w:rPr>
                <w:rFonts w:ascii="Tahoma" w:hAnsi="Tahoma" w:cs="Tahoma"/>
                <w:i/>
                <w:iCs/>
                <w:lang w:val="en-US"/>
              </w:rPr>
            </w:pPr>
            <w:r w:rsidRPr="00E02CD6">
              <w:rPr>
                <w:rFonts w:ascii="Tahoma" w:hAnsi="Tahoma" w:cs="Tahoma"/>
                <w:i/>
                <w:iCs/>
              </w:rPr>
              <w:lastRenderedPageBreak/>
              <w:t xml:space="preserve">Q.(b) </w:t>
            </w:r>
            <w:r w:rsidR="004A4DED" w:rsidRPr="00E02CD6">
              <w:rPr>
                <w:rFonts w:ascii="Tahoma" w:hAnsi="Tahoma" w:cs="Tahoma"/>
                <w:i/>
                <w:iCs/>
                <w:lang w:val="en-US"/>
              </w:rPr>
              <w:t xml:space="preserve">The details of specific steps taken to streamline the operational and regulatory processes to catalyze investment in Exploration and Production; and </w:t>
            </w:r>
          </w:p>
          <w:p w14:paraId="01947609" w14:textId="77777777" w:rsidR="00F47FDD" w:rsidRPr="00E02CD6" w:rsidRDefault="00F47FDD" w:rsidP="00803C64">
            <w:pPr>
              <w:ind w:right="34"/>
              <w:jc w:val="both"/>
              <w:rPr>
                <w:rFonts w:ascii="Tahoma" w:hAnsi="Tahoma" w:cs="Tahoma"/>
                <w:i/>
                <w:iCs/>
              </w:rPr>
            </w:pPr>
          </w:p>
        </w:tc>
        <w:tc>
          <w:tcPr>
            <w:tcW w:w="5940" w:type="dxa"/>
          </w:tcPr>
          <w:p w14:paraId="1C827AB5" w14:textId="77777777" w:rsidR="000A09A2" w:rsidRPr="00DD18E7" w:rsidRDefault="00FC22E2" w:rsidP="00DD18E7">
            <w:pPr>
              <w:spacing w:after="120"/>
              <w:jc w:val="both"/>
              <w:rPr>
                <w:rFonts w:ascii="Tahoma" w:eastAsia="Times New Roman" w:hAnsi="Tahoma" w:cs="Tahoma"/>
                <w:b/>
                <w:bCs/>
              </w:rPr>
            </w:pPr>
            <w:bookmarkStart w:id="0" w:name="_GoBack"/>
            <w:bookmarkEnd w:id="0"/>
            <w:r w:rsidRPr="00DD18E7">
              <w:rPr>
                <w:rFonts w:ascii="Tahoma" w:hAnsi="Tahoma" w:cs="Tahoma"/>
                <w:b/>
                <w:lang w:val="en-US"/>
              </w:rPr>
              <w:t>Answer to Q(b):</w:t>
            </w:r>
            <w:r w:rsidRPr="00DD18E7">
              <w:rPr>
                <w:rFonts w:ascii="Tahoma" w:hAnsi="Tahoma" w:cs="Tahoma"/>
                <w:lang w:val="en-US"/>
              </w:rPr>
              <w:t xml:space="preserve"> </w:t>
            </w:r>
            <w:r w:rsidR="000A09A2" w:rsidRPr="00DD18E7">
              <w:rPr>
                <w:rFonts w:ascii="Tahoma" w:eastAsia="Times New Roman" w:hAnsi="Tahoma" w:cs="Tahoma"/>
                <w:b/>
                <w:bCs/>
              </w:rPr>
              <w:t>DGH/</w:t>
            </w:r>
            <w:proofErr w:type="spellStart"/>
            <w:r w:rsidR="000A09A2" w:rsidRPr="00DD18E7">
              <w:rPr>
                <w:rFonts w:ascii="Tahoma" w:eastAsia="Times New Roman" w:hAnsi="Tahoma" w:cs="Tahoma"/>
                <w:b/>
                <w:bCs/>
              </w:rPr>
              <w:t>MoPNG</w:t>
            </w:r>
            <w:proofErr w:type="spellEnd"/>
            <w:r w:rsidR="000A09A2" w:rsidRPr="00DD18E7">
              <w:rPr>
                <w:rFonts w:ascii="Tahoma" w:eastAsia="Times New Roman" w:hAnsi="Tahoma" w:cs="Tahoma"/>
                <w:b/>
                <w:bCs/>
              </w:rPr>
              <w:t xml:space="preserve"> may kindly reply suitably. </w:t>
            </w:r>
          </w:p>
          <w:p w14:paraId="54AA352E" w14:textId="77777777" w:rsidR="000A09A2" w:rsidRPr="00E02CD6" w:rsidRDefault="000A09A2" w:rsidP="000A09A2">
            <w:pPr>
              <w:spacing w:after="120" w:line="276" w:lineRule="auto"/>
              <w:jc w:val="both"/>
              <w:rPr>
                <w:rFonts w:ascii="Tahoma" w:hAnsi="Tahoma" w:cs="Tahoma"/>
              </w:rPr>
            </w:pPr>
            <w:bookmarkStart w:id="1" w:name="_Hlk182400226"/>
            <w:r w:rsidRPr="00E02CD6">
              <w:rPr>
                <w:rFonts w:ascii="Tahoma" w:hAnsi="Tahoma" w:cs="Tahoma"/>
              </w:rPr>
              <w:t>The major initiatives taken by the Government to streamline the operational processes to catalyse investment in the country's oil and gas exploration and production sector include: -</w:t>
            </w:r>
          </w:p>
          <w:p w14:paraId="20C70296"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180"/>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0DBB009F"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90"/>
              <w:jc w:val="both"/>
              <w:rPr>
                <w:rFonts w:ascii="Tahoma" w:hAnsi="Tahoma" w:cs="Tahoma"/>
                <w:sz w:val="22"/>
                <w:szCs w:val="22"/>
                <w:shd w:val="clear" w:color="auto" w:fill="FFFFFF"/>
              </w:rPr>
            </w:pPr>
            <w:r w:rsidRPr="00E02CD6">
              <w:rPr>
                <w:rFonts w:ascii="Tahoma" w:hAnsi="Tahoma" w:cs="Tahoma"/>
                <w:sz w:val="22"/>
                <w:szCs w:val="22"/>
                <w:shd w:val="clear" w:color="auto" w:fill="FFFFFF"/>
              </w:rPr>
              <w:t>Single license for both conventional and unconventional hydrocarbons under Hydrocarbon Exploration and Licensing Policy (HELP).</w:t>
            </w:r>
          </w:p>
          <w:p w14:paraId="5A139C37"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90"/>
              <w:jc w:val="both"/>
              <w:rPr>
                <w:rFonts w:ascii="Tahoma" w:hAnsi="Tahoma" w:cs="Tahoma"/>
                <w:sz w:val="22"/>
                <w:szCs w:val="22"/>
                <w:shd w:val="clear" w:color="auto" w:fill="FFFFFF"/>
              </w:rPr>
            </w:pPr>
            <w:r w:rsidRPr="00E02CD6">
              <w:rPr>
                <w:rFonts w:ascii="Tahoma" w:hAnsi="Tahoma" w:cs="Tahoma"/>
                <w:sz w:val="22"/>
                <w:szCs w:val="22"/>
                <w:shd w:val="clear" w:color="auto" w:fill="FFFFFF"/>
              </w:rPr>
              <w:t>Open acreage Licensing policy (OALP):  Through this, any company can bid for any block in accordance with its competitive advantage.</w:t>
            </w:r>
          </w:p>
          <w:p w14:paraId="3D5CDC9F"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90"/>
              <w:jc w:val="both"/>
              <w:rPr>
                <w:rFonts w:ascii="Tahoma" w:hAnsi="Tahoma" w:cs="Tahoma"/>
                <w:sz w:val="22"/>
                <w:szCs w:val="22"/>
                <w:shd w:val="clear" w:color="auto" w:fill="FFFFFF"/>
              </w:rPr>
            </w:pPr>
            <w:r w:rsidRPr="00E02CD6">
              <w:rPr>
                <w:rFonts w:ascii="Tahoma" w:hAnsi="Tahoma" w:cs="Tahoma"/>
                <w:sz w:val="22"/>
                <w:szCs w:val="22"/>
                <w:shd w:val="clear" w:color="auto" w:fill="FFFFFF"/>
              </w:rPr>
              <w:t>Revenue sharing model: To encourages cost efficiency in mining operations by replacing the profit-sharing contract established by NELP. The contractor pays the government a share of its revenue (net of royalty) as per the contract.</w:t>
            </w:r>
          </w:p>
          <w:p w14:paraId="2E889628"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Discovered Small Field policy to incentivize production from marginal fields.</w:t>
            </w:r>
          </w:p>
          <w:p w14:paraId="48F54091"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Incentivization of Early production to motivate Operators to expedite development plans of new discoveries.</w:t>
            </w:r>
          </w:p>
          <w:p w14:paraId="03BAD1D2"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to Promote and Incentivize Enhanced Recovery Methods for Oil and Gas.</w:t>
            </w:r>
          </w:p>
          <w:p w14:paraId="31102248"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Natural Gas marketing reforms to move towards Gas based economy.</w:t>
            </w:r>
          </w:p>
          <w:p w14:paraId="52FFF873"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on Crude Oil Deregulations.</w:t>
            </w:r>
          </w:p>
          <w:p w14:paraId="40EB3AE1"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Guidelines for Early Monetization of Hydrocarbon Discoveries.</w:t>
            </w:r>
          </w:p>
          <w:p w14:paraId="1B3EA12F"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framework for exploration and exploitation of Unconventional Hydrocarbons under existing Production Sharing Contracts, Coal Bed Methane contracts and Nomination fields.</w:t>
            </w:r>
          </w:p>
          <w:p w14:paraId="4CBA3A93"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 xml:space="preserve">Fast tracking of regulatory clearance by active participation of DGH through portals like </w:t>
            </w:r>
            <w:proofErr w:type="spellStart"/>
            <w:r w:rsidRPr="00E02CD6">
              <w:rPr>
                <w:rFonts w:ascii="Tahoma" w:hAnsi="Tahoma" w:cs="Tahoma"/>
                <w:sz w:val="22"/>
                <w:szCs w:val="22"/>
                <w:shd w:val="clear" w:color="auto" w:fill="FFFFFF"/>
              </w:rPr>
              <w:t>Urja</w:t>
            </w:r>
            <w:proofErr w:type="spellEnd"/>
            <w:r w:rsidRPr="00E02CD6">
              <w:rPr>
                <w:rFonts w:ascii="Tahoma" w:hAnsi="Tahoma" w:cs="Tahoma"/>
                <w:sz w:val="22"/>
                <w:szCs w:val="22"/>
                <w:shd w:val="clear" w:color="auto" w:fill="FFFFFF"/>
              </w:rPr>
              <w:t xml:space="preserve"> Pragati, has helped expedite E&amp;P activities.</w:t>
            </w:r>
          </w:p>
          <w:bookmarkEnd w:id="1"/>
          <w:p w14:paraId="1F660394" w14:textId="77777777" w:rsidR="000A09A2" w:rsidRPr="00E02CD6" w:rsidRDefault="000A09A2" w:rsidP="000A09A2">
            <w:pPr>
              <w:spacing w:after="120" w:line="276" w:lineRule="auto"/>
              <w:jc w:val="both"/>
              <w:rPr>
                <w:rFonts w:ascii="Tahoma" w:hAnsi="Tahoma" w:cs="Tahoma"/>
              </w:rPr>
            </w:pPr>
            <w:r w:rsidRPr="00E02CD6">
              <w:rPr>
                <w:rFonts w:ascii="Tahoma" w:hAnsi="Tahoma" w:cs="Tahoma"/>
              </w:rPr>
              <w:lastRenderedPageBreak/>
              <w:t>The Government has also brought major reforms in and regulatory processes for Ease of Doing Business (EODB) which primarily include: -</w:t>
            </w:r>
          </w:p>
          <w:p w14:paraId="27A40701"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Single License Management: Streamlines administrative processes and reduces the need for multiple licenses, easing regulatory compliance.</w:t>
            </w:r>
          </w:p>
          <w:p w14:paraId="5AAD7AB7"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Flexibility in Operations: Facilitates seamless transition between conventional and unconventional hydrocarbon projects, optimizing resource use and operational planning.</w:t>
            </w:r>
          </w:p>
          <w:p w14:paraId="4C49B804"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Cost Savings: Eliminates the need for multiple license fees and associated administrative costs.</w:t>
            </w:r>
          </w:p>
          <w:p w14:paraId="43253CC2"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Incentivizes Exploration and Development: Facilitates exploration of both types of resources in a single block, potentially increasing discovery rates and production.</w:t>
            </w:r>
          </w:p>
          <w:p w14:paraId="0698A703"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 xml:space="preserve">Accelerates Development: Enables faster development of resources by avoiding the delays associated with obtaining separate licenses for different types of hydrocarbons. </w:t>
            </w:r>
          </w:p>
          <w:p w14:paraId="294BCAF9"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Reducing Compliance Burden: Simplification of Procedures and Processes for submission of Documents on Self Certification basis.</w:t>
            </w:r>
          </w:p>
          <w:p w14:paraId="5BB684BA"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Setting up of Dispute Resolution Committee.</w:t>
            </w:r>
          </w:p>
          <w:p w14:paraId="040EBE59"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Delegation of powers to DGH for Contract Management.</w:t>
            </w:r>
          </w:p>
          <w:p w14:paraId="3780DB29" w14:textId="517A5435" w:rsidR="00F47FDD" w:rsidRPr="00E02CD6" w:rsidRDefault="000A09A2" w:rsidP="00DD18E7">
            <w:pPr>
              <w:pStyle w:val="xmsolistparagraph"/>
              <w:numPr>
                <w:ilvl w:val="0"/>
                <w:numId w:val="32"/>
              </w:numPr>
              <w:shd w:val="clear" w:color="auto" w:fill="FFFFFF"/>
              <w:spacing w:before="0" w:beforeAutospacing="0" w:after="240" w:afterAutospacing="0" w:line="276" w:lineRule="auto"/>
              <w:ind w:left="720" w:hanging="187"/>
              <w:jc w:val="both"/>
              <w:rPr>
                <w:rFonts w:ascii="Tahoma" w:hAnsi="Tahoma" w:cs="Tahoma"/>
                <w:sz w:val="22"/>
                <w:szCs w:val="22"/>
                <w:lang w:val="en-US"/>
              </w:rPr>
            </w:pPr>
            <w:r w:rsidRPr="00E02CD6">
              <w:rPr>
                <w:rFonts w:ascii="Tahoma" w:hAnsi="Tahoma" w:cs="Tahoma"/>
                <w:sz w:val="22"/>
                <w:szCs w:val="22"/>
              </w:rPr>
              <w:t>Implementation of Single Window Clearance System.</w:t>
            </w:r>
          </w:p>
        </w:tc>
      </w:tr>
      <w:tr w:rsidR="00F47FDD" w:rsidRPr="00E02CD6" w14:paraId="1E711E51" w14:textId="77777777" w:rsidTr="004A4DED">
        <w:trPr>
          <w:trHeight w:val="1169"/>
        </w:trPr>
        <w:tc>
          <w:tcPr>
            <w:tcW w:w="3955" w:type="dxa"/>
          </w:tcPr>
          <w:p w14:paraId="663AAB5E" w14:textId="08AD775B" w:rsidR="00F47FDD" w:rsidRPr="00E02CD6" w:rsidRDefault="00F47FDD" w:rsidP="006F2F7A">
            <w:pPr>
              <w:ind w:right="34"/>
              <w:jc w:val="both"/>
              <w:rPr>
                <w:rFonts w:ascii="Tahoma" w:hAnsi="Tahoma" w:cs="Tahoma"/>
                <w:i/>
                <w:iCs/>
              </w:rPr>
            </w:pPr>
            <w:r w:rsidRPr="00E02CD6">
              <w:rPr>
                <w:rFonts w:ascii="Tahoma" w:hAnsi="Tahoma" w:cs="Tahoma"/>
                <w:i/>
                <w:iCs/>
              </w:rPr>
              <w:lastRenderedPageBreak/>
              <w:t xml:space="preserve">Q.(c) </w:t>
            </w:r>
            <w:r w:rsidR="004A4DED" w:rsidRPr="00E02CD6">
              <w:rPr>
                <w:rFonts w:ascii="Tahoma" w:hAnsi="Tahoma" w:cs="Tahoma"/>
                <w:i/>
                <w:iCs/>
              </w:rPr>
              <w:t xml:space="preserve">The detailed data regarding the ways through which the domestic prices of petrol and diesel are compared with that of other major economies in view of the honourable Minister’s recent statement that fuel prices </w:t>
            </w:r>
            <w:proofErr w:type="gramStart"/>
            <w:r w:rsidR="004A4DED" w:rsidRPr="00E02CD6">
              <w:rPr>
                <w:rFonts w:ascii="Tahoma" w:hAnsi="Tahoma" w:cs="Tahoma"/>
                <w:i/>
                <w:iCs/>
              </w:rPr>
              <w:t>in  India</w:t>
            </w:r>
            <w:proofErr w:type="gramEnd"/>
            <w:r w:rsidR="004A4DED" w:rsidRPr="00E02CD6">
              <w:rPr>
                <w:rFonts w:ascii="Tahoma" w:hAnsi="Tahoma" w:cs="Tahoma"/>
                <w:i/>
                <w:iCs/>
              </w:rPr>
              <w:t xml:space="preserve"> are the lowest at global level?</w:t>
            </w:r>
            <w:r w:rsidR="00C53EE1" w:rsidRPr="00E02CD6">
              <w:rPr>
                <w:rFonts w:ascii="Tahoma" w:hAnsi="Tahoma" w:cs="Tahoma"/>
                <w:i/>
                <w:iCs/>
              </w:rPr>
              <w:t xml:space="preserve"> </w:t>
            </w:r>
          </w:p>
        </w:tc>
        <w:tc>
          <w:tcPr>
            <w:tcW w:w="5940" w:type="dxa"/>
          </w:tcPr>
          <w:p w14:paraId="41D83889" w14:textId="15787E8C" w:rsidR="00FC22E2" w:rsidRPr="00E02CD6" w:rsidRDefault="00FC22E2" w:rsidP="00E02CD6">
            <w:pPr>
              <w:jc w:val="both"/>
              <w:rPr>
                <w:rFonts w:ascii="Tahoma" w:hAnsi="Tahoma" w:cs="Tahoma"/>
                <w:b/>
                <w:lang w:val="en-US"/>
              </w:rPr>
            </w:pPr>
            <w:r w:rsidRPr="00E02CD6">
              <w:rPr>
                <w:rFonts w:ascii="Tahoma" w:hAnsi="Tahoma" w:cs="Tahoma"/>
                <w:b/>
                <w:lang w:val="en-US"/>
              </w:rPr>
              <w:t>Answer to Q(c):</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kindly suitably reply.</w:t>
            </w:r>
          </w:p>
          <w:p w14:paraId="22CB48C2" w14:textId="5CFD4FB1" w:rsidR="00E02CD6" w:rsidRPr="00E02CD6" w:rsidRDefault="00E02CD6" w:rsidP="00E02CD6">
            <w:pPr>
              <w:jc w:val="both"/>
              <w:rPr>
                <w:rFonts w:ascii="Tahoma" w:hAnsi="Tahoma" w:cs="Tahoma"/>
                <w:lang w:val="en-US"/>
              </w:rPr>
            </w:pPr>
            <w:r w:rsidRPr="00E02CD6">
              <w:rPr>
                <w:rFonts w:ascii="Tahoma" w:hAnsi="Tahoma" w:cs="Tahoma"/>
                <w:lang w:val="en-US"/>
              </w:rPr>
              <w:t xml:space="preserve">However, </w:t>
            </w:r>
            <w:proofErr w:type="spellStart"/>
            <w:r w:rsidRPr="00E02CD6">
              <w:rPr>
                <w:rFonts w:ascii="Tahoma" w:hAnsi="Tahoma" w:cs="Tahoma"/>
                <w:lang w:val="en-US"/>
              </w:rPr>
              <w:t>Numaligarh</w:t>
            </w:r>
            <w:proofErr w:type="spellEnd"/>
            <w:r w:rsidRPr="00E02CD6">
              <w:rPr>
                <w:rFonts w:ascii="Tahoma" w:hAnsi="Tahoma" w:cs="Tahoma"/>
                <w:lang w:val="en-US"/>
              </w:rPr>
              <w:t xml:space="preserve"> Refinery Limited a material subsidiary of Oil India Limited (OIL) sells majority of its products to Oil Marketing Companies (OMC’s) at Refinery Transfer Price (RTP) which is based on trade parity pricing mechanism. The prices of petroleum products are linked to the prices of respective products in the international market. A small percentage of its products are sold to Direct Customers at market driven prices.</w:t>
            </w:r>
          </w:p>
          <w:p w14:paraId="73CD1A26" w14:textId="04428C09" w:rsidR="00F47FDD" w:rsidRPr="00E02CD6" w:rsidRDefault="00F47FDD" w:rsidP="00E02CD6">
            <w:pPr>
              <w:jc w:val="both"/>
              <w:rPr>
                <w:rFonts w:ascii="Tahoma" w:hAnsi="Tahoma" w:cs="Tahoma"/>
                <w:lang w:val="en-US"/>
              </w:rPr>
            </w:pPr>
          </w:p>
        </w:tc>
      </w:tr>
    </w:tbl>
    <w:p w14:paraId="23352F1B" w14:textId="46D7BDB3" w:rsidR="00F211B3" w:rsidRPr="00E02CD6" w:rsidRDefault="00931D33" w:rsidP="0044759C">
      <w:pPr>
        <w:spacing w:after="0"/>
        <w:ind w:right="-482"/>
        <w:jc w:val="right"/>
        <w:rPr>
          <w:rFonts w:ascii="Tahoma" w:hAnsi="Tahoma" w:cs="Tahoma"/>
          <w:lang w:val="en-US"/>
        </w:rPr>
      </w:pPr>
      <w:r w:rsidRPr="00E02CD6">
        <w:rPr>
          <w:rFonts w:ascii="Tahoma" w:hAnsi="Tahoma" w:cs="Tahoma"/>
          <w:lang w:val="en-US"/>
        </w:rPr>
        <w:t>Yours faithfully,</w:t>
      </w:r>
    </w:p>
    <w:p w14:paraId="4A5CE863" w14:textId="77777777" w:rsidR="00931D33" w:rsidRPr="00E02CD6" w:rsidRDefault="00931D33" w:rsidP="0044759C">
      <w:pPr>
        <w:spacing w:after="0" w:line="240" w:lineRule="auto"/>
        <w:ind w:right="-482"/>
        <w:jc w:val="right"/>
        <w:rPr>
          <w:rFonts w:ascii="Tahoma" w:hAnsi="Tahoma" w:cs="Tahoma"/>
          <w:u w:val="single"/>
          <w:lang w:val="en-US"/>
        </w:rPr>
      </w:pPr>
      <w:r w:rsidRPr="00E02CD6">
        <w:rPr>
          <w:rFonts w:ascii="Tahoma" w:hAnsi="Tahoma" w:cs="Tahoma"/>
          <w:u w:val="single"/>
          <w:lang w:val="en-US"/>
        </w:rPr>
        <w:t>OIL INDIA LIMITED</w:t>
      </w:r>
    </w:p>
    <w:p w14:paraId="694C060A" w14:textId="77777777" w:rsidR="00506AF9" w:rsidRPr="00E02CD6" w:rsidRDefault="00506AF9" w:rsidP="0044759C">
      <w:pPr>
        <w:spacing w:after="0" w:line="240" w:lineRule="auto"/>
        <w:ind w:right="-482"/>
        <w:jc w:val="right"/>
        <w:rPr>
          <w:rFonts w:ascii="Tahoma" w:hAnsi="Tahoma" w:cs="Tahoma"/>
          <w:lang w:val="en-US"/>
        </w:rPr>
      </w:pPr>
    </w:p>
    <w:p w14:paraId="249092F0" w14:textId="77777777" w:rsidR="00612609" w:rsidRPr="00E02CD6" w:rsidRDefault="00612609" w:rsidP="0044759C">
      <w:pPr>
        <w:spacing w:after="0" w:line="240" w:lineRule="auto"/>
        <w:ind w:right="-482"/>
        <w:jc w:val="right"/>
        <w:rPr>
          <w:rFonts w:ascii="Tahoma" w:hAnsi="Tahoma" w:cs="Tahoma"/>
          <w:lang w:val="en-US"/>
        </w:rPr>
      </w:pPr>
    </w:p>
    <w:p w14:paraId="5961CAD7" w14:textId="77777777" w:rsidR="00F26CC7" w:rsidRPr="00E02CD6" w:rsidRDefault="00F26CC7" w:rsidP="0044759C">
      <w:pPr>
        <w:spacing w:after="0" w:line="240" w:lineRule="auto"/>
        <w:ind w:right="-482"/>
        <w:jc w:val="right"/>
        <w:rPr>
          <w:rFonts w:ascii="Tahoma" w:hAnsi="Tahoma" w:cs="Tahoma"/>
          <w:b/>
          <w:lang w:val="en-US"/>
        </w:rPr>
      </w:pPr>
    </w:p>
    <w:p w14:paraId="17AF8927" w14:textId="713C4C82" w:rsidR="00506AF9" w:rsidRPr="00E02CD6" w:rsidRDefault="00506AF9" w:rsidP="0044759C">
      <w:pPr>
        <w:spacing w:after="0" w:line="240" w:lineRule="auto"/>
        <w:ind w:right="-482"/>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42D57FD" w14:textId="0F40448F" w:rsidR="00F26CC7" w:rsidRPr="00E02CD6" w:rsidRDefault="00345A27" w:rsidP="0044759C">
      <w:pPr>
        <w:spacing w:after="0" w:line="240" w:lineRule="auto"/>
        <w:ind w:right="-482"/>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1A954EF1" w14:textId="77777777" w:rsidR="00F26CC7" w:rsidRPr="00E02CD6" w:rsidRDefault="00F26CC7" w:rsidP="0044759C">
      <w:pPr>
        <w:spacing w:after="0" w:line="240" w:lineRule="auto"/>
        <w:ind w:right="-482"/>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74050"/>
    <w:rsid w:val="00EB5F4C"/>
    <w:rsid w:val="00EB6DB5"/>
    <w:rsid w:val="00ED2EBB"/>
    <w:rsid w:val="00EE37B2"/>
    <w:rsid w:val="00EF357F"/>
    <w:rsid w:val="00EF4BEA"/>
    <w:rsid w:val="00F211B3"/>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34FA2-D1B0-4FB6-96A8-0D09FD070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2025-01-28T10:07:00Z</cp:lastPrinted>
  <dcterms:created xsi:type="dcterms:W3CDTF">2025-01-28T10:11:00Z</dcterms:created>
  <dcterms:modified xsi:type="dcterms:W3CDTF">2025-01-28T10:11:00Z</dcterms:modified>
</cp:coreProperties>
</file>