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D98BEC" w14:textId="77777777" w:rsidR="00562579" w:rsidRPr="00CE5DA4" w:rsidRDefault="00562579" w:rsidP="00F270A6">
      <w:pPr>
        <w:spacing w:after="0"/>
        <w:ind w:right="-392"/>
        <w:rPr>
          <w:rFonts w:ascii="Tahoma" w:hAnsi="Tahoma" w:cs="Tahoma"/>
          <w:b/>
          <w:lang w:val="en-US"/>
        </w:rPr>
      </w:pPr>
    </w:p>
    <w:p w14:paraId="398EF5FC" w14:textId="16015482" w:rsidR="00562579" w:rsidRPr="00CE5DA4" w:rsidRDefault="00562579" w:rsidP="00F270A6">
      <w:pPr>
        <w:spacing w:after="0"/>
        <w:ind w:right="-392"/>
        <w:rPr>
          <w:rFonts w:ascii="Tahoma" w:hAnsi="Tahoma" w:cs="Tahoma"/>
          <w:b/>
          <w:lang w:val="en-US"/>
        </w:rPr>
      </w:pPr>
    </w:p>
    <w:p w14:paraId="04FDA3E2" w14:textId="35373272" w:rsidR="00562579" w:rsidRPr="00CE5DA4" w:rsidRDefault="00562579" w:rsidP="00F270A6">
      <w:pPr>
        <w:spacing w:after="0"/>
        <w:ind w:right="-392"/>
        <w:rPr>
          <w:rFonts w:ascii="Tahoma" w:hAnsi="Tahoma" w:cs="Tahoma"/>
          <w:b/>
          <w:lang w:val="en-US"/>
        </w:rPr>
      </w:pPr>
    </w:p>
    <w:p w14:paraId="21971356" w14:textId="77777777" w:rsidR="00EB6DB5" w:rsidRPr="00CE5DA4" w:rsidRDefault="00EB6DB5" w:rsidP="00F270A6">
      <w:pPr>
        <w:spacing w:after="0"/>
        <w:ind w:right="-392"/>
        <w:rPr>
          <w:rFonts w:ascii="Tahoma" w:hAnsi="Tahoma" w:cs="Tahoma"/>
          <w:b/>
          <w:lang w:val="en-US"/>
        </w:rPr>
      </w:pPr>
    </w:p>
    <w:p w14:paraId="198CDFCD" w14:textId="77777777" w:rsidR="00B3384E" w:rsidRDefault="00B3384E" w:rsidP="00F270A6">
      <w:pPr>
        <w:spacing w:after="0"/>
        <w:ind w:right="-392"/>
        <w:rPr>
          <w:rFonts w:ascii="Tahoma" w:hAnsi="Tahoma" w:cs="Tahoma"/>
          <w:b/>
          <w:lang w:val="en-US"/>
        </w:rPr>
      </w:pPr>
    </w:p>
    <w:p w14:paraId="5E6782D1" w14:textId="77777777" w:rsidR="00B3384E" w:rsidRDefault="00B3384E" w:rsidP="00F270A6">
      <w:pPr>
        <w:spacing w:after="0"/>
        <w:ind w:right="-392"/>
        <w:rPr>
          <w:rFonts w:ascii="Tahoma" w:hAnsi="Tahoma" w:cs="Tahoma"/>
          <w:b/>
          <w:lang w:val="en-US"/>
        </w:rPr>
      </w:pPr>
    </w:p>
    <w:p w14:paraId="0C934999" w14:textId="317E7956" w:rsidR="00BC4C9F" w:rsidRDefault="00654ECF" w:rsidP="00F270A6">
      <w:pPr>
        <w:spacing w:after="0"/>
        <w:ind w:right="-392"/>
        <w:rPr>
          <w:rFonts w:ascii="Tahoma" w:hAnsi="Tahoma" w:cs="Tahoma"/>
          <w:b/>
          <w:lang w:val="en-US"/>
        </w:rPr>
      </w:pPr>
      <w:r w:rsidRPr="00CE5DA4">
        <w:rPr>
          <w:rFonts w:ascii="Tahoma" w:hAnsi="Tahoma" w:cs="Tahoma"/>
          <w:b/>
          <w:lang w:val="en-US"/>
        </w:rPr>
        <w:t>OIL/</w:t>
      </w:r>
      <w:r w:rsidR="008B23B3" w:rsidRPr="00CE5DA4">
        <w:rPr>
          <w:rFonts w:ascii="Tahoma" w:hAnsi="Tahoma" w:cs="Tahoma"/>
          <w:b/>
          <w:lang w:val="en-US"/>
        </w:rPr>
        <w:t>PLNG/</w:t>
      </w:r>
      <w:r w:rsidRPr="00CE5DA4">
        <w:rPr>
          <w:rFonts w:ascii="Tahoma" w:hAnsi="Tahoma" w:cs="Tahoma"/>
          <w:b/>
          <w:lang w:val="en-US"/>
        </w:rPr>
        <w:t>54/2/</w:t>
      </w:r>
      <w:r w:rsidR="00F270A6" w:rsidRPr="00CE5DA4">
        <w:rPr>
          <w:rFonts w:ascii="Tahoma" w:hAnsi="Tahoma" w:cs="Tahoma"/>
          <w:b/>
          <w:lang w:val="en-US"/>
        </w:rPr>
        <w:t>1</w:t>
      </w:r>
      <w:r w:rsidRPr="00CE5DA4">
        <w:rPr>
          <w:rFonts w:ascii="Tahoma" w:hAnsi="Tahoma" w:cs="Tahoma"/>
          <w:b/>
          <w:lang w:val="en-US"/>
        </w:rPr>
        <w:t>/202</w:t>
      </w:r>
      <w:r w:rsidR="00F270A6" w:rsidRPr="00CE5DA4">
        <w:rPr>
          <w:rFonts w:ascii="Tahoma" w:hAnsi="Tahoma" w:cs="Tahoma"/>
          <w:b/>
          <w:lang w:val="en-US"/>
        </w:rPr>
        <w:t>5</w:t>
      </w:r>
      <w:r w:rsidRPr="00CE5DA4">
        <w:rPr>
          <w:rFonts w:ascii="Tahoma" w:hAnsi="Tahoma" w:cs="Tahoma"/>
          <w:b/>
          <w:lang w:val="en-US"/>
        </w:rPr>
        <w:t>/</w:t>
      </w:r>
      <w:r w:rsidR="00E569DB">
        <w:rPr>
          <w:rFonts w:ascii="Tahoma" w:hAnsi="Tahoma" w:cs="Tahoma"/>
          <w:b/>
          <w:lang w:val="en-US"/>
        </w:rPr>
        <w:t>70</w:t>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F211B3" w:rsidRPr="00CE5DA4">
        <w:rPr>
          <w:rFonts w:ascii="Tahoma" w:hAnsi="Tahoma" w:cs="Tahoma"/>
          <w:b/>
          <w:lang w:val="en-US"/>
        </w:rPr>
        <w:tab/>
      </w:r>
      <w:r w:rsidR="00506AF9" w:rsidRPr="00CE5DA4">
        <w:rPr>
          <w:rFonts w:ascii="Tahoma" w:hAnsi="Tahoma" w:cs="Tahoma"/>
          <w:b/>
          <w:lang w:val="en-US"/>
        </w:rPr>
        <w:t xml:space="preserve">    </w:t>
      </w:r>
      <w:r w:rsidR="008B23B3" w:rsidRPr="00CE5DA4">
        <w:rPr>
          <w:rFonts w:ascii="Tahoma" w:hAnsi="Tahoma" w:cs="Tahoma"/>
          <w:b/>
          <w:lang w:val="en-US"/>
        </w:rPr>
        <w:t xml:space="preserve">           </w:t>
      </w:r>
      <w:r w:rsidR="00985256">
        <w:rPr>
          <w:rFonts w:ascii="Tahoma" w:hAnsi="Tahoma" w:cs="Tahoma"/>
          <w:b/>
          <w:lang w:val="en-US"/>
        </w:rPr>
        <w:t xml:space="preserve">    </w:t>
      </w:r>
      <w:r w:rsidR="005063D6">
        <w:rPr>
          <w:rFonts w:ascii="Tahoma" w:hAnsi="Tahoma" w:cs="Tahoma"/>
          <w:b/>
          <w:lang w:val="en-US"/>
        </w:rPr>
        <w:t>2</w:t>
      </w:r>
      <w:r w:rsidR="00985256">
        <w:rPr>
          <w:rFonts w:ascii="Tahoma" w:hAnsi="Tahoma" w:cs="Tahoma"/>
          <w:b/>
          <w:lang w:val="en-US"/>
        </w:rPr>
        <w:t>7</w:t>
      </w:r>
      <w:bookmarkStart w:id="0" w:name="_GoBack"/>
      <w:bookmarkEnd w:id="0"/>
      <w:r w:rsidR="00ED36D4" w:rsidRPr="00ED36D4">
        <w:rPr>
          <w:rFonts w:ascii="Tahoma" w:hAnsi="Tahoma" w:cs="Tahoma"/>
          <w:b/>
          <w:vertAlign w:val="superscript"/>
          <w:lang w:val="en-US"/>
        </w:rPr>
        <w:t>th</w:t>
      </w:r>
      <w:r w:rsidR="00ED36D4">
        <w:rPr>
          <w:rFonts w:ascii="Tahoma" w:hAnsi="Tahoma" w:cs="Tahoma"/>
          <w:b/>
          <w:lang w:val="en-US"/>
        </w:rPr>
        <w:t xml:space="preserve"> </w:t>
      </w:r>
      <w:r w:rsidR="005063D6">
        <w:rPr>
          <w:rFonts w:ascii="Tahoma" w:hAnsi="Tahoma" w:cs="Tahoma"/>
          <w:b/>
          <w:lang w:val="en-US"/>
        </w:rPr>
        <w:t xml:space="preserve"> </w:t>
      </w:r>
      <w:r w:rsidR="00EB0203" w:rsidRPr="00CE5DA4">
        <w:rPr>
          <w:rFonts w:ascii="Tahoma" w:hAnsi="Tahoma" w:cs="Tahoma"/>
          <w:b/>
          <w:lang w:val="en-US"/>
        </w:rPr>
        <w:t xml:space="preserve"> </w:t>
      </w:r>
      <w:r w:rsidR="00D42DA1" w:rsidRPr="00CE5DA4">
        <w:rPr>
          <w:rFonts w:ascii="Tahoma" w:hAnsi="Tahoma" w:cs="Tahoma"/>
          <w:b/>
          <w:lang w:val="en-US"/>
        </w:rPr>
        <w:t>March</w:t>
      </w:r>
      <w:r w:rsidR="00F211B3" w:rsidRPr="00CE5DA4">
        <w:rPr>
          <w:rFonts w:ascii="Tahoma" w:hAnsi="Tahoma" w:cs="Tahoma"/>
          <w:b/>
          <w:lang w:val="en-US"/>
        </w:rPr>
        <w:t>,</w:t>
      </w:r>
      <w:r w:rsidR="00D41C07" w:rsidRPr="00CE5DA4">
        <w:rPr>
          <w:rFonts w:ascii="Tahoma" w:hAnsi="Tahoma" w:cs="Tahoma"/>
          <w:b/>
          <w:lang w:val="en-US"/>
        </w:rPr>
        <w:t xml:space="preserve"> </w:t>
      </w:r>
      <w:r w:rsidR="00F211B3" w:rsidRPr="00CE5DA4">
        <w:rPr>
          <w:rFonts w:ascii="Tahoma" w:hAnsi="Tahoma" w:cs="Tahoma"/>
          <w:b/>
          <w:lang w:val="en-US"/>
        </w:rPr>
        <w:t>202</w:t>
      </w:r>
      <w:r w:rsidR="00F270A6" w:rsidRPr="00CE5DA4">
        <w:rPr>
          <w:rFonts w:ascii="Tahoma" w:hAnsi="Tahoma" w:cs="Tahoma"/>
          <w:b/>
          <w:lang w:val="en-US"/>
        </w:rPr>
        <w:t>5</w:t>
      </w:r>
    </w:p>
    <w:p w14:paraId="520218A9" w14:textId="3578ED67" w:rsidR="008B7CBA" w:rsidRDefault="008B7CBA" w:rsidP="00F270A6">
      <w:pPr>
        <w:spacing w:after="0"/>
        <w:ind w:right="-392"/>
        <w:rPr>
          <w:rFonts w:ascii="Tahoma" w:hAnsi="Tahoma" w:cs="Tahoma"/>
          <w:b/>
          <w:lang w:val="en-US"/>
        </w:rPr>
      </w:pPr>
    </w:p>
    <w:p w14:paraId="7B38525E" w14:textId="77777777" w:rsidR="008B7CBA" w:rsidRPr="00CE5DA4" w:rsidRDefault="008B7CBA" w:rsidP="00F270A6">
      <w:pPr>
        <w:spacing w:after="0"/>
        <w:ind w:right="-392"/>
        <w:rPr>
          <w:rFonts w:ascii="Tahoma" w:hAnsi="Tahoma" w:cs="Tahoma"/>
          <w:b/>
          <w:lang w:val="en-US"/>
        </w:rPr>
      </w:pPr>
    </w:p>
    <w:p w14:paraId="097B29A8" w14:textId="77777777" w:rsidR="00C42C3F" w:rsidRPr="00CE5DA4" w:rsidRDefault="00C42C3F" w:rsidP="001E301A">
      <w:pPr>
        <w:spacing w:after="0"/>
        <w:ind w:right="-28"/>
        <w:rPr>
          <w:rFonts w:ascii="Tahoma" w:hAnsi="Tahoma" w:cs="Tahoma"/>
          <w:lang w:val="en-US"/>
        </w:rPr>
      </w:pPr>
    </w:p>
    <w:p w14:paraId="54F9D8EA" w14:textId="77777777" w:rsidR="00654ECF" w:rsidRPr="00CE5DA4" w:rsidRDefault="00654ECF" w:rsidP="00C42C3F">
      <w:pPr>
        <w:spacing w:after="0"/>
        <w:rPr>
          <w:rFonts w:ascii="Tahoma" w:hAnsi="Tahoma" w:cs="Tahoma"/>
          <w:lang w:val="en-US"/>
        </w:rPr>
      </w:pPr>
      <w:r w:rsidRPr="00CE5DA4">
        <w:rPr>
          <w:rFonts w:ascii="Tahoma" w:hAnsi="Tahoma" w:cs="Tahoma"/>
          <w:lang w:val="en-US"/>
        </w:rPr>
        <w:t>Ministry of Petroleum and Natural Gas</w:t>
      </w:r>
    </w:p>
    <w:p w14:paraId="10035C68" w14:textId="77777777" w:rsidR="00506AF9" w:rsidRPr="00CE5DA4" w:rsidRDefault="00506AF9" w:rsidP="00C42C3F">
      <w:pPr>
        <w:spacing w:after="0"/>
        <w:rPr>
          <w:rFonts w:ascii="Tahoma" w:hAnsi="Tahoma" w:cs="Tahoma"/>
          <w:lang w:val="en-US"/>
        </w:rPr>
      </w:pPr>
      <w:r w:rsidRPr="00CE5DA4">
        <w:rPr>
          <w:rFonts w:ascii="Tahoma" w:hAnsi="Tahoma" w:cs="Tahoma"/>
          <w:lang w:val="en-US"/>
        </w:rPr>
        <w:t>Shastri Bhawan</w:t>
      </w:r>
    </w:p>
    <w:p w14:paraId="6BFCBBA0" w14:textId="77777777" w:rsidR="00654ECF" w:rsidRPr="00CE5DA4" w:rsidRDefault="00654ECF" w:rsidP="00C42C3F">
      <w:pPr>
        <w:spacing w:after="0"/>
        <w:rPr>
          <w:rFonts w:ascii="Tahoma" w:hAnsi="Tahoma" w:cs="Tahoma"/>
          <w:u w:val="single"/>
          <w:lang w:val="en-US"/>
        </w:rPr>
      </w:pPr>
      <w:r w:rsidRPr="00CE5DA4">
        <w:rPr>
          <w:rFonts w:ascii="Tahoma" w:hAnsi="Tahoma" w:cs="Tahoma"/>
          <w:u w:val="single"/>
          <w:lang w:val="en-US"/>
        </w:rPr>
        <w:t>New Delhi-110</w:t>
      </w:r>
      <w:r w:rsidR="00C63D71" w:rsidRPr="00CE5DA4">
        <w:rPr>
          <w:rFonts w:ascii="Tahoma" w:hAnsi="Tahoma" w:cs="Tahoma"/>
          <w:u w:val="single"/>
          <w:lang w:val="en-US"/>
        </w:rPr>
        <w:t>001</w:t>
      </w:r>
    </w:p>
    <w:p w14:paraId="54AFC079" w14:textId="2F40C645" w:rsidR="00230158" w:rsidRPr="00CE5DA4" w:rsidRDefault="00506AF9" w:rsidP="0044759C">
      <w:pPr>
        <w:spacing w:after="0"/>
        <w:ind w:right="-482"/>
        <w:jc w:val="center"/>
        <w:rPr>
          <w:rFonts w:ascii="Tahoma" w:hAnsi="Tahoma" w:cs="Tahoma"/>
          <w:b/>
          <w:u w:val="single"/>
          <w:lang w:val="en-US"/>
        </w:rPr>
      </w:pPr>
      <w:r w:rsidRPr="00CE5DA4">
        <w:rPr>
          <w:rFonts w:ascii="Tahoma" w:hAnsi="Tahoma" w:cs="Tahoma"/>
          <w:b/>
          <w:lang w:val="en-US"/>
        </w:rPr>
        <w:t xml:space="preserve">              </w:t>
      </w:r>
      <w:r w:rsidR="002F2731" w:rsidRPr="00CE5DA4">
        <w:rPr>
          <w:rFonts w:ascii="Tahoma" w:hAnsi="Tahoma" w:cs="Tahoma"/>
          <w:b/>
          <w:lang w:val="en-US"/>
        </w:rPr>
        <w:t xml:space="preserve">                       </w:t>
      </w:r>
      <w:r w:rsidR="00106CAF" w:rsidRPr="00CE5DA4">
        <w:rPr>
          <w:rFonts w:ascii="Tahoma" w:hAnsi="Tahoma" w:cs="Tahoma"/>
          <w:b/>
          <w:lang w:val="en-US"/>
        </w:rPr>
        <w:t xml:space="preserve">                       </w:t>
      </w:r>
      <w:r w:rsidR="0044759C" w:rsidRPr="00CE5DA4">
        <w:rPr>
          <w:rFonts w:ascii="Tahoma" w:hAnsi="Tahoma" w:cs="Tahoma"/>
          <w:b/>
          <w:lang w:val="en-US"/>
        </w:rPr>
        <w:t xml:space="preserve">                       </w:t>
      </w:r>
      <w:r w:rsidR="004B1CCA" w:rsidRPr="00CE5DA4">
        <w:rPr>
          <w:rFonts w:ascii="Tahoma" w:hAnsi="Tahoma" w:cs="Tahoma"/>
          <w:b/>
          <w:lang w:val="en-US"/>
        </w:rPr>
        <w:t xml:space="preserve"> </w:t>
      </w:r>
      <w:r w:rsidR="000C6679" w:rsidRPr="00CE5DA4">
        <w:rPr>
          <w:rFonts w:ascii="Tahoma" w:hAnsi="Tahoma" w:cs="Tahoma"/>
          <w:b/>
          <w:lang w:val="en-US"/>
        </w:rPr>
        <w:t xml:space="preserve">Kind Attn: </w:t>
      </w:r>
      <w:r w:rsidR="00D90377" w:rsidRPr="00CE5DA4">
        <w:rPr>
          <w:rFonts w:ascii="Tahoma" w:hAnsi="Tahoma" w:cs="Tahoma"/>
          <w:b/>
          <w:lang w:val="en-US"/>
        </w:rPr>
        <w:t xml:space="preserve">Shri </w:t>
      </w:r>
      <w:r w:rsidR="00ED36D4">
        <w:rPr>
          <w:rFonts w:ascii="Tahoma" w:hAnsi="Tahoma" w:cs="Tahoma"/>
          <w:b/>
          <w:lang w:val="en-US"/>
        </w:rPr>
        <w:t>Rakesh Kumar Malhotra</w:t>
      </w:r>
    </w:p>
    <w:p w14:paraId="7B68B911" w14:textId="35C67541" w:rsidR="007C79E3" w:rsidRPr="00CE5DA4" w:rsidRDefault="005068B1" w:rsidP="0044759C">
      <w:pPr>
        <w:spacing w:after="0"/>
        <w:ind w:right="-482"/>
        <w:jc w:val="center"/>
        <w:rPr>
          <w:rFonts w:ascii="Tahoma" w:hAnsi="Tahoma" w:cs="Tahoma"/>
          <w:bCs/>
          <w:u w:val="single"/>
          <w:lang w:val="en-US"/>
        </w:rPr>
      </w:pPr>
      <w:r w:rsidRPr="00CE5DA4">
        <w:rPr>
          <w:rFonts w:ascii="Tahoma" w:hAnsi="Tahoma" w:cs="Tahoma"/>
          <w:bCs/>
          <w:lang w:val="en-US"/>
        </w:rPr>
        <w:t xml:space="preserve">                                                    </w:t>
      </w:r>
      <w:r w:rsidR="006F5F9D" w:rsidRPr="00CE5DA4">
        <w:rPr>
          <w:rFonts w:ascii="Tahoma" w:hAnsi="Tahoma" w:cs="Tahoma"/>
          <w:bCs/>
          <w:lang w:val="en-US"/>
        </w:rPr>
        <w:t xml:space="preserve">      </w:t>
      </w:r>
      <w:r w:rsidR="00D90377" w:rsidRPr="00CE5DA4">
        <w:rPr>
          <w:rFonts w:ascii="Tahoma" w:hAnsi="Tahoma" w:cs="Tahoma"/>
          <w:bCs/>
          <w:lang w:val="en-US"/>
        </w:rPr>
        <w:t xml:space="preserve">  </w:t>
      </w:r>
      <w:r w:rsidR="00920CFB" w:rsidRPr="00CE5DA4">
        <w:rPr>
          <w:rFonts w:ascii="Tahoma" w:hAnsi="Tahoma" w:cs="Tahoma"/>
          <w:bCs/>
          <w:lang w:val="en-US"/>
        </w:rPr>
        <w:t xml:space="preserve"> </w:t>
      </w:r>
      <w:r w:rsidR="00CF1922" w:rsidRPr="00CE5DA4">
        <w:rPr>
          <w:rFonts w:ascii="Tahoma" w:hAnsi="Tahoma" w:cs="Tahoma"/>
          <w:bCs/>
          <w:lang w:val="en-US"/>
        </w:rPr>
        <w:t xml:space="preserve">         </w:t>
      </w:r>
      <w:r w:rsidR="0044759C" w:rsidRPr="00CE5DA4">
        <w:rPr>
          <w:rFonts w:ascii="Tahoma" w:hAnsi="Tahoma" w:cs="Tahoma"/>
          <w:bCs/>
          <w:lang w:val="en-US"/>
        </w:rPr>
        <w:t xml:space="preserve">                                   </w:t>
      </w:r>
      <w:r w:rsidR="00ED36D4">
        <w:rPr>
          <w:rFonts w:ascii="Tahoma" w:hAnsi="Tahoma" w:cs="Tahoma"/>
          <w:bCs/>
          <w:u w:val="single"/>
          <w:lang w:val="en-US"/>
        </w:rPr>
        <w:t xml:space="preserve">Section </w:t>
      </w:r>
      <w:proofErr w:type="gramStart"/>
      <w:r w:rsidR="00ED36D4">
        <w:rPr>
          <w:rFonts w:ascii="Tahoma" w:hAnsi="Tahoma" w:cs="Tahoma"/>
          <w:bCs/>
          <w:u w:val="single"/>
          <w:lang w:val="en-US"/>
        </w:rPr>
        <w:t>Officer</w:t>
      </w:r>
      <w:r w:rsidR="00D86755" w:rsidRPr="00CE5DA4">
        <w:rPr>
          <w:rFonts w:ascii="Tahoma" w:hAnsi="Tahoma" w:cs="Tahoma"/>
          <w:bCs/>
          <w:u w:val="single"/>
          <w:lang w:val="en-US"/>
        </w:rPr>
        <w:t>(</w:t>
      </w:r>
      <w:proofErr w:type="gramEnd"/>
      <w:r w:rsidR="00ED36D4">
        <w:rPr>
          <w:rFonts w:ascii="Tahoma" w:hAnsi="Tahoma" w:cs="Tahoma"/>
          <w:bCs/>
          <w:u w:val="single"/>
          <w:lang w:val="en-US"/>
        </w:rPr>
        <w:t>ONG-III</w:t>
      </w:r>
      <w:r w:rsidR="00D86755" w:rsidRPr="00CE5DA4">
        <w:rPr>
          <w:rFonts w:ascii="Tahoma" w:hAnsi="Tahoma" w:cs="Tahoma"/>
          <w:bCs/>
          <w:u w:val="single"/>
          <w:lang w:val="en-US"/>
        </w:rPr>
        <w:t>)</w:t>
      </w:r>
    </w:p>
    <w:p w14:paraId="3C7886B8" w14:textId="77777777" w:rsidR="00BE6EAD" w:rsidRPr="00CE5DA4" w:rsidRDefault="00BE6EAD" w:rsidP="0044759C">
      <w:pPr>
        <w:spacing w:after="0"/>
        <w:ind w:right="-482"/>
        <w:jc w:val="center"/>
        <w:rPr>
          <w:rFonts w:ascii="Tahoma" w:hAnsi="Tahoma" w:cs="Tahoma"/>
          <w:bCs/>
          <w:u w:val="single"/>
          <w:lang w:val="en-US"/>
        </w:rPr>
      </w:pPr>
    </w:p>
    <w:p w14:paraId="24F1D845" w14:textId="0FE81636" w:rsidR="004A407D" w:rsidRPr="00CE5DA4" w:rsidRDefault="00F211B3" w:rsidP="004A4DED">
      <w:pPr>
        <w:tabs>
          <w:tab w:val="left" w:pos="1440"/>
        </w:tabs>
        <w:spacing w:after="0" w:line="360" w:lineRule="auto"/>
        <w:ind w:right="-392"/>
        <w:rPr>
          <w:rFonts w:ascii="Tahoma" w:hAnsi="Tahoma" w:cs="Tahoma"/>
          <w:lang w:val="en-US"/>
        </w:rPr>
      </w:pPr>
      <w:r w:rsidRPr="00CE5DA4">
        <w:rPr>
          <w:rFonts w:ascii="Tahoma" w:hAnsi="Tahoma" w:cs="Tahoma"/>
          <w:b/>
          <w:lang w:val="en-US"/>
        </w:rPr>
        <w:t>Sub</w:t>
      </w:r>
      <w:r w:rsidR="000029E2" w:rsidRPr="00CE5DA4">
        <w:rPr>
          <w:rFonts w:ascii="Tahoma" w:hAnsi="Tahoma" w:cs="Tahoma"/>
          <w:lang w:val="en-US"/>
        </w:rPr>
        <w:t>:</w:t>
      </w:r>
      <w:r w:rsidR="003C0FC2" w:rsidRPr="00CE5DA4">
        <w:rPr>
          <w:rFonts w:ascii="Tahoma" w:hAnsi="Tahoma" w:cs="Tahoma"/>
          <w:lang w:val="en-US"/>
        </w:rPr>
        <w:t xml:space="preserve"> </w:t>
      </w:r>
      <w:r w:rsidR="00ED36D4">
        <w:rPr>
          <w:rFonts w:ascii="Tahoma" w:hAnsi="Tahoma" w:cs="Tahoma"/>
          <w:lang w:val="en-US"/>
        </w:rPr>
        <w:t xml:space="preserve">Lok </w:t>
      </w:r>
      <w:r w:rsidR="00EB0203" w:rsidRPr="00CE5DA4">
        <w:rPr>
          <w:rFonts w:ascii="Tahoma" w:hAnsi="Tahoma" w:cs="Tahoma"/>
          <w:lang w:val="en-US"/>
        </w:rPr>
        <w:t>Sabha</w:t>
      </w:r>
      <w:r w:rsidR="00520031" w:rsidRPr="00CE5DA4">
        <w:rPr>
          <w:rFonts w:ascii="Tahoma" w:hAnsi="Tahoma" w:cs="Tahoma"/>
          <w:lang w:val="en-US"/>
        </w:rPr>
        <w:t xml:space="preserve"> Provisionally Admitted</w:t>
      </w:r>
      <w:r w:rsidR="00EB0203" w:rsidRPr="00CE5DA4">
        <w:rPr>
          <w:rFonts w:ascii="Tahoma" w:hAnsi="Tahoma" w:cs="Tahoma"/>
          <w:lang w:val="en-US"/>
        </w:rPr>
        <w:t xml:space="preserve"> </w:t>
      </w:r>
      <w:r w:rsidR="00ED36D4">
        <w:rPr>
          <w:rFonts w:ascii="Tahoma" w:hAnsi="Tahoma" w:cs="Tahoma"/>
          <w:lang w:val="en-US"/>
        </w:rPr>
        <w:t>S</w:t>
      </w:r>
      <w:r w:rsidR="00FC22E2" w:rsidRPr="00CE5DA4">
        <w:rPr>
          <w:rFonts w:ascii="Tahoma" w:hAnsi="Tahoma" w:cs="Tahoma"/>
          <w:lang w:val="en-US"/>
        </w:rPr>
        <w:t xml:space="preserve">tarred </w:t>
      </w:r>
      <w:r w:rsidR="004F7AD1" w:rsidRPr="00CE5DA4">
        <w:rPr>
          <w:rFonts w:ascii="Tahoma" w:hAnsi="Tahoma" w:cs="Tahoma"/>
          <w:lang w:val="en-US"/>
        </w:rPr>
        <w:t>Question</w:t>
      </w:r>
      <w:r w:rsidR="001352A6" w:rsidRPr="00CE5DA4">
        <w:rPr>
          <w:rFonts w:ascii="Tahoma" w:hAnsi="Tahoma" w:cs="Tahoma"/>
          <w:lang w:val="en-US"/>
        </w:rPr>
        <w:t xml:space="preserve"> </w:t>
      </w:r>
      <w:r w:rsidR="00EF357F" w:rsidRPr="00CE5DA4">
        <w:rPr>
          <w:rFonts w:ascii="Tahoma" w:hAnsi="Tahoma" w:cs="Tahoma"/>
          <w:lang w:val="en-US"/>
        </w:rPr>
        <w:t xml:space="preserve">Dy. No. </w:t>
      </w:r>
      <w:r w:rsidR="00E569DB">
        <w:rPr>
          <w:rFonts w:ascii="Tahoma" w:hAnsi="Tahoma" w:cs="Tahoma"/>
          <w:lang w:val="en-US"/>
        </w:rPr>
        <w:t>14526</w:t>
      </w:r>
      <w:r w:rsidR="00D42DA1" w:rsidRPr="00CE5DA4">
        <w:rPr>
          <w:rFonts w:ascii="Tahoma" w:hAnsi="Tahoma" w:cs="Tahoma"/>
          <w:lang w:val="en-US"/>
        </w:rPr>
        <w:t xml:space="preserve"> </w:t>
      </w:r>
      <w:r w:rsidR="000029E2" w:rsidRPr="00CE5DA4">
        <w:rPr>
          <w:rFonts w:ascii="Tahoma" w:hAnsi="Tahoma" w:cs="Tahoma"/>
          <w:lang w:val="en-US"/>
        </w:rPr>
        <w:t xml:space="preserve">for </w:t>
      </w:r>
      <w:r w:rsidR="005063D6">
        <w:rPr>
          <w:rFonts w:ascii="Tahoma" w:hAnsi="Tahoma" w:cs="Tahoma"/>
          <w:lang w:val="en-US"/>
        </w:rPr>
        <w:t>0</w:t>
      </w:r>
      <w:r w:rsidR="00ED36D4">
        <w:rPr>
          <w:rFonts w:ascii="Tahoma" w:hAnsi="Tahoma" w:cs="Tahoma"/>
          <w:lang w:val="en-US"/>
        </w:rPr>
        <w:t>3</w:t>
      </w:r>
      <w:r w:rsidR="00345A27" w:rsidRPr="00CE5DA4">
        <w:rPr>
          <w:rFonts w:ascii="Tahoma" w:hAnsi="Tahoma" w:cs="Tahoma"/>
          <w:lang w:val="en-US"/>
        </w:rPr>
        <w:t>.</w:t>
      </w:r>
      <w:r w:rsidR="00F270A6" w:rsidRPr="00CE5DA4">
        <w:rPr>
          <w:rFonts w:ascii="Tahoma" w:hAnsi="Tahoma" w:cs="Tahoma"/>
          <w:lang w:val="en-US"/>
        </w:rPr>
        <w:t>0</w:t>
      </w:r>
      <w:r w:rsidR="005063D6">
        <w:rPr>
          <w:rFonts w:ascii="Tahoma" w:hAnsi="Tahoma" w:cs="Tahoma"/>
          <w:lang w:val="en-US"/>
        </w:rPr>
        <w:t>4</w:t>
      </w:r>
      <w:r w:rsidR="000029E2" w:rsidRPr="00CE5DA4">
        <w:rPr>
          <w:rFonts w:ascii="Tahoma" w:hAnsi="Tahoma" w:cs="Tahoma"/>
          <w:lang w:val="en-US"/>
        </w:rPr>
        <w:t>.202</w:t>
      </w:r>
      <w:r w:rsidR="00F270A6" w:rsidRPr="00CE5DA4">
        <w:rPr>
          <w:rFonts w:ascii="Tahoma" w:hAnsi="Tahoma" w:cs="Tahoma"/>
          <w:lang w:val="en-US"/>
        </w:rPr>
        <w:t xml:space="preserve">5 </w:t>
      </w:r>
    </w:p>
    <w:p w14:paraId="6D88C26E" w14:textId="6154CFE7" w:rsidR="00F211B3" w:rsidRPr="00CE5DA4" w:rsidRDefault="008D1ADC" w:rsidP="00F977D6">
      <w:pPr>
        <w:tabs>
          <w:tab w:val="left" w:pos="1440"/>
        </w:tabs>
        <w:spacing w:after="0" w:line="360" w:lineRule="auto"/>
        <w:ind w:left="810" w:right="-572" w:hanging="810"/>
        <w:rPr>
          <w:rFonts w:ascii="Tahoma" w:hAnsi="Tahoma" w:cs="Tahoma"/>
          <w:lang w:val="en-US"/>
        </w:rPr>
      </w:pPr>
      <w:r w:rsidRPr="00CE5DA4">
        <w:rPr>
          <w:rFonts w:ascii="Tahoma" w:hAnsi="Tahoma" w:cs="Tahoma"/>
          <w:lang w:val="en-US"/>
        </w:rPr>
        <w:t xml:space="preserve">       </w:t>
      </w:r>
      <w:r w:rsidR="00F211B3" w:rsidRPr="00CE5DA4">
        <w:rPr>
          <w:rFonts w:ascii="Tahoma" w:hAnsi="Tahoma" w:cs="Tahoma"/>
          <w:lang w:val="en-US"/>
        </w:rPr>
        <w:t>Regarding</w:t>
      </w:r>
      <w:r w:rsidR="0006232A" w:rsidRPr="00CE5DA4">
        <w:rPr>
          <w:rFonts w:ascii="Tahoma" w:hAnsi="Tahoma" w:cs="Tahoma"/>
          <w:lang w:val="en-US"/>
        </w:rPr>
        <w:t xml:space="preserve"> </w:t>
      </w:r>
      <w:r w:rsidR="00B234E6" w:rsidRPr="00CE5DA4">
        <w:rPr>
          <w:rFonts w:ascii="Tahoma" w:hAnsi="Tahoma" w:cs="Tahoma"/>
          <w:b/>
          <w:lang w:val="en-US"/>
        </w:rPr>
        <w:t>“</w:t>
      </w:r>
      <w:r w:rsidR="00E569DB">
        <w:rPr>
          <w:rFonts w:ascii="Tahoma" w:hAnsi="Tahoma" w:cs="Tahoma"/>
          <w:b/>
          <w:lang w:val="en-US"/>
        </w:rPr>
        <w:t>Exploration and Production of Crude Oil and Gas</w:t>
      </w:r>
      <w:r w:rsidR="0032755B" w:rsidRPr="00CE5DA4">
        <w:rPr>
          <w:rFonts w:ascii="Tahoma" w:hAnsi="Tahoma" w:cs="Tahoma"/>
          <w:b/>
          <w:lang w:val="en-US"/>
        </w:rPr>
        <w:t>”</w:t>
      </w:r>
    </w:p>
    <w:p w14:paraId="3297E00F" w14:textId="3AEB1AC4" w:rsidR="00C42C3F" w:rsidRPr="00CE5DA4" w:rsidRDefault="00C42C3F" w:rsidP="004C32CD">
      <w:pPr>
        <w:tabs>
          <w:tab w:val="left" w:pos="709"/>
          <w:tab w:val="center" w:pos="4817"/>
        </w:tabs>
        <w:spacing w:after="0"/>
        <w:ind w:right="-306"/>
        <w:rPr>
          <w:rFonts w:ascii="Tahoma" w:hAnsi="Tahoma" w:cs="Tahoma"/>
          <w:lang w:val="en-US"/>
        </w:rPr>
      </w:pPr>
      <w:r w:rsidRPr="00CE5DA4">
        <w:rPr>
          <w:rFonts w:ascii="Tahoma" w:hAnsi="Tahoma" w:cs="Tahoma"/>
          <w:b/>
          <w:lang w:val="en-US"/>
        </w:rPr>
        <w:t>Ref.</w:t>
      </w:r>
      <w:r w:rsidRPr="00CE5DA4">
        <w:rPr>
          <w:rFonts w:ascii="Tahoma" w:hAnsi="Tahoma" w:cs="Tahoma"/>
          <w:lang w:val="en-US"/>
        </w:rPr>
        <w:t xml:space="preserve"> </w:t>
      </w:r>
      <w:r w:rsidR="004C32CD" w:rsidRPr="00CE5DA4">
        <w:rPr>
          <w:rFonts w:ascii="Tahoma" w:hAnsi="Tahoma" w:cs="Tahoma"/>
          <w:lang w:val="en-US"/>
        </w:rPr>
        <w:t xml:space="preserve"> </w:t>
      </w:r>
      <w:r w:rsidRPr="00CE5DA4">
        <w:rPr>
          <w:rFonts w:ascii="Tahoma" w:hAnsi="Tahoma" w:cs="Tahoma"/>
          <w:lang w:val="en-US"/>
        </w:rPr>
        <w:t xml:space="preserve">Your email dated </w:t>
      </w:r>
      <w:r w:rsidR="005063D6">
        <w:rPr>
          <w:rFonts w:ascii="Tahoma" w:hAnsi="Tahoma" w:cs="Tahoma"/>
          <w:lang w:val="en-US"/>
        </w:rPr>
        <w:t>2</w:t>
      </w:r>
      <w:r w:rsidR="00ED36D4">
        <w:rPr>
          <w:rFonts w:ascii="Tahoma" w:hAnsi="Tahoma" w:cs="Tahoma"/>
          <w:lang w:val="en-US"/>
        </w:rPr>
        <w:t>5</w:t>
      </w:r>
      <w:r w:rsidRPr="00CE5DA4">
        <w:rPr>
          <w:rFonts w:ascii="Tahoma" w:hAnsi="Tahoma" w:cs="Tahoma"/>
          <w:lang w:val="en-US"/>
        </w:rPr>
        <w:t>.</w:t>
      </w:r>
      <w:r w:rsidR="00F270A6" w:rsidRPr="00CE5DA4">
        <w:rPr>
          <w:rFonts w:ascii="Tahoma" w:hAnsi="Tahoma" w:cs="Tahoma"/>
          <w:lang w:val="en-US"/>
        </w:rPr>
        <w:t>0</w:t>
      </w:r>
      <w:r w:rsidR="00D42DA1" w:rsidRPr="00CE5DA4">
        <w:rPr>
          <w:rFonts w:ascii="Tahoma" w:hAnsi="Tahoma" w:cs="Tahoma"/>
          <w:lang w:val="en-US"/>
        </w:rPr>
        <w:t>3</w:t>
      </w:r>
      <w:r w:rsidRPr="00CE5DA4">
        <w:rPr>
          <w:rFonts w:ascii="Tahoma" w:hAnsi="Tahoma" w:cs="Tahoma"/>
          <w:lang w:val="en-US"/>
        </w:rPr>
        <w:t>.202</w:t>
      </w:r>
      <w:r w:rsidR="00F270A6" w:rsidRPr="00CE5DA4">
        <w:rPr>
          <w:rFonts w:ascii="Tahoma" w:hAnsi="Tahoma" w:cs="Tahoma"/>
          <w:lang w:val="en-US"/>
        </w:rPr>
        <w:t>5</w:t>
      </w:r>
    </w:p>
    <w:p w14:paraId="02FF2837" w14:textId="77777777" w:rsidR="00C968B7" w:rsidRPr="00CE5DA4" w:rsidRDefault="00C968B7" w:rsidP="004C32CD">
      <w:pPr>
        <w:tabs>
          <w:tab w:val="left" w:pos="709"/>
          <w:tab w:val="center" w:pos="4817"/>
        </w:tabs>
        <w:spacing w:after="0"/>
        <w:ind w:right="-306"/>
        <w:rPr>
          <w:rFonts w:ascii="Tahoma" w:hAnsi="Tahoma" w:cs="Tahoma"/>
          <w:lang w:val="en-US"/>
        </w:rPr>
      </w:pPr>
    </w:p>
    <w:p w14:paraId="077B8116" w14:textId="08FE58B5" w:rsidR="00F211B3" w:rsidRPr="00CE5DA4" w:rsidRDefault="00D90377" w:rsidP="00C42C3F">
      <w:pPr>
        <w:spacing w:after="0"/>
        <w:ind w:right="-613"/>
        <w:rPr>
          <w:rFonts w:ascii="Tahoma" w:hAnsi="Tahoma" w:cs="Tahoma"/>
          <w:lang w:val="en-US"/>
        </w:rPr>
      </w:pPr>
      <w:r w:rsidRPr="00CE5DA4">
        <w:rPr>
          <w:rFonts w:ascii="Tahoma" w:hAnsi="Tahoma" w:cs="Tahoma"/>
          <w:lang w:val="en-US"/>
        </w:rPr>
        <w:t>Sir</w:t>
      </w:r>
      <w:r w:rsidR="00F211B3" w:rsidRPr="00CE5DA4">
        <w:rPr>
          <w:rFonts w:ascii="Tahoma" w:hAnsi="Tahoma" w:cs="Tahoma"/>
          <w:lang w:val="en-US"/>
        </w:rPr>
        <w:t>,</w:t>
      </w:r>
    </w:p>
    <w:p w14:paraId="2813D01B" w14:textId="3869C8B4" w:rsidR="00C42C3F" w:rsidRPr="00CE5DA4" w:rsidRDefault="00F211B3" w:rsidP="00C42C3F">
      <w:pPr>
        <w:spacing w:after="0"/>
        <w:rPr>
          <w:rFonts w:ascii="Tahoma" w:hAnsi="Tahoma" w:cs="Tahoma"/>
          <w:lang w:val="en-US"/>
        </w:rPr>
      </w:pPr>
      <w:r w:rsidRPr="00CE5DA4">
        <w:rPr>
          <w:rFonts w:ascii="Tahoma" w:hAnsi="Tahoma" w:cs="Tahoma"/>
          <w:lang w:val="en-US"/>
        </w:rPr>
        <w:t xml:space="preserve">       </w:t>
      </w:r>
      <w:r w:rsidR="00C721F8" w:rsidRPr="00CE5DA4">
        <w:rPr>
          <w:rFonts w:ascii="Tahoma" w:hAnsi="Tahoma" w:cs="Tahoma"/>
          <w:lang w:val="en-US"/>
        </w:rPr>
        <w:tab/>
      </w:r>
      <w:r w:rsidRPr="00CE5DA4">
        <w:rPr>
          <w:rFonts w:ascii="Tahoma" w:hAnsi="Tahoma" w:cs="Tahoma"/>
          <w:lang w:val="en-US"/>
        </w:rPr>
        <w:t>Reference above</w:t>
      </w:r>
      <w:r w:rsidR="00C42C3F" w:rsidRPr="00CE5DA4">
        <w:rPr>
          <w:rFonts w:ascii="Tahoma" w:hAnsi="Tahoma" w:cs="Tahoma"/>
          <w:lang w:val="en-US"/>
        </w:rPr>
        <w:t>, our reply to the above</w:t>
      </w:r>
      <w:r w:rsidR="007420CA" w:rsidRPr="00CE5DA4">
        <w:rPr>
          <w:rFonts w:ascii="Tahoma" w:hAnsi="Tahoma" w:cs="Tahoma"/>
          <w:lang w:val="en-US"/>
        </w:rPr>
        <w:t xml:space="preserve"> </w:t>
      </w:r>
      <w:r w:rsidR="00532449">
        <w:rPr>
          <w:rFonts w:ascii="Tahoma" w:hAnsi="Tahoma" w:cs="Tahoma"/>
          <w:lang w:val="en-US"/>
        </w:rPr>
        <w:t>Lok</w:t>
      </w:r>
      <w:r w:rsidR="008875A6" w:rsidRPr="00CE5DA4">
        <w:rPr>
          <w:rFonts w:ascii="Tahoma" w:hAnsi="Tahoma" w:cs="Tahoma"/>
          <w:lang w:val="en-US"/>
        </w:rPr>
        <w:t xml:space="preserve"> </w:t>
      </w:r>
      <w:r w:rsidR="003C0FC2" w:rsidRPr="00CE5DA4">
        <w:rPr>
          <w:rFonts w:ascii="Tahoma" w:hAnsi="Tahoma" w:cs="Tahoma"/>
          <w:lang w:val="en-US"/>
        </w:rPr>
        <w:t>Sabha</w:t>
      </w:r>
      <w:r w:rsidR="00C42C3F" w:rsidRPr="00CE5DA4">
        <w:rPr>
          <w:rFonts w:ascii="Tahoma" w:hAnsi="Tahoma" w:cs="Tahoma"/>
          <w:lang w:val="en-US"/>
        </w:rPr>
        <w:t xml:space="preserve"> Question</w:t>
      </w:r>
      <w:r w:rsidR="00EF357F" w:rsidRPr="00CE5DA4">
        <w:rPr>
          <w:rFonts w:ascii="Tahoma" w:hAnsi="Tahoma" w:cs="Tahoma"/>
          <w:lang w:val="en-US"/>
        </w:rPr>
        <w:t xml:space="preserve"> </w:t>
      </w:r>
      <w:r w:rsidR="00C42C3F" w:rsidRPr="00CE5DA4">
        <w:rPr>
          <w:rFonts w:ascii="Tahoma" w:hAnsi="Tahoma" w:cs="Tahoma"/>
          <w:lang w:val="en-US"/>
        </w:rPr>
        <w:t>is as follows:</w:t>
      </w:r>
    </w:p>
    <w:p w14:paraId="18F0CF4E" w14:textId="77777777" w:rsidR="00A92834" w:rsidRDefault="00A92834" w:rsidP="0044759C">
      <w:pPr>
        <w:spacing w:after="0"/>
        <w:ind w:right="-482"/>
        <w:jc w:val="right"/>
        <w:rPr>
          <w:rFonts w:ascii="Tahoma" w:hAnsi="Tahoma" w:cs="Tahoma"/>
          <w:lang w:val="en-US"/>
        </w:rPr>
      </w:pPr>
    </w:p>
    <w:p w14:paraId="7A2392B0" w14:textId="77777777" w:rsidR="00A92834" w:rsidRDefault="00A92834" w:rsidP="0044759C">
      <w:pPr>
        <w:spacing w:after="0"/>
        <w:ind w:right="-482"/>
        <w:jc w:val="right"/>
        <w:rPr>
          <w:rFonts w:ascii="Tahoma" w:hAnsi="Tahoma" w:cs="Tahoma"/>
          <w:lang w:val="en-US"/>
        </w:rPr>
      </w:pPr>
    </w:p>
    <w:tbl>
      <w:tblPr>
        <w:tblStyle w:val="TableGrid"/>
        <w:tblW w:w="9895" w:type="dxa"/>
        <w:tblLayout w:type="fixed"/>
        <w:tblLook w:val="04A0" w:firstRow="1" w:lastRow="0" w:firstColumn="1" w:lastColumn="0" w:noHBand="0" w:noVBand="1"/>
      </w:tblPr>
      <w:tblGrid>
        <w:gridCol w:w="1696"/>
        <w:gridCol w:w="8199"/>
      </w:tblGrid>
      <w:tr w:rsidR="008B7CBA" w:rsidRPr="00CE5DA4" w14:paraId="0CD4232B" w14:textId="77777777" w:rsidTr="00861653">
        <w:trPr>
          <w:trHeight w:val="4384"/>
        </w:trPr>
        <w:tc>
          <w:tcPr>
            <w:tcW w:w="1696" w:type="dxa"/>
          </w:tcPr>
          <w:p w14:paraId="292A4F58" w14:textId="77777777" w:rsidR="008B7CBA" w:rsidRPr="00CE5DA4" w:rsidRDefault="008B7CBA" w:rsidP="00842D98">
            <w:pPr>
              <w:ind w:right="34"/>
              <w:jc w:val="both"/>
              <w:rPr>
                <w:rFonts w:ascii="Tahoma" w:hAnsi="Tahoma" w:cs="Tahoma"/>
                <w:i/>
                <w:iCs/>
              </w:rPr>
            </w:pPr>
            <w:r w:rsidRPr="00CE5DA4">
              <w:rPr>
                <w:rFonts w:ascii="Tahoma" w:hAnsi="Tahoma" w:cs="Tahoma"/>
                <w:i/>
                <w:iCs/>
              </w:rPr>
              <w:t xml:space="preserve">Q.(a) </w:t>
            </w:r>
            <w:r>
              <w:rPr>
                <w:rFonts w:ascii="Tahoma" w:hAnsi="Tahoma" w:cs="Tahoma"/>
                <w:i/>
                <w:iCs/>
              </w:rPr>
              <w:t>The</w:t>
            </w:r>
            <w:r w:rsidRPr="008B7CBA">
              <w:rPr>
                <w:rFonts w:ascii="Tahoma" w:hAnsi="Tahoma" w:cs="Tahoma"/>
              </w:rPr>
              <w:t xml:space="preserve"> total quantum of crude oil and gas production in the country at present along with the data for the last 10 years and the current year, year-wise;</w:t>
            </w:r>
            <w:r>
              <w:t xml:space="preserve"> </w:t>
            </w:r>
          </w:p>
        </w:tc>
        <w:tc>
          <w:tcPr>
            <w:tcW w:w="8199" w:type="dxa"/>
          </w:tcPr>
          <w:p w14:paraId="57329B63" w14:textId="77777777" w:rsidR="008B7CBA" w:rsidRPr="00CE5DA4" w:rsidRDefault="008B7CBA" w:rsidP="00842D9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Q(a</w:t>
            </w:r>
            <w:r>
              <w:rPr>
                <w:rFonts w:ascii="Tahoma" w:hAnsi="Tahoma" w:cs="Tahoma"/>
                <w:b/>
                <w:lang w:val="en-US"/>
              </w:rPr>
              <w:t>):</w:t>
            </w:r>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0CB12142" w14:textId="0A45799D" w:rsidR="008B7CBA" w:rsidRDefault="008B7CBA" w:rsidP="00842D98">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00D10942">
              <w:rPr>
                <w:rFonts w:ascii="Tahoma" w:hAnsi="Tahoma" w:cs="Tahoma"/>
                <w:i/>
                <w:iCs/>
              </w:rPr>
              <w:t>t</w:t>
            </w:r>
            <w:r w:rsidR="00D10942">
              <w:rPr>
                <w:rFonts w:ascii="Tahoma" w:hAnsi="Tahoma" w:cs="Tahoma"/>
                <w:i/>
                <w:iCs/>
              </w:rPr>
              <w:t>he</w:t>
            </w:r>
            <w:r w:rsidR="00D10942" w:rsidRPr="008B7CBA">
              <w:rPr>
                <w:rFonts w:ascii="Tahoma" w:hAnsi="Tahoma" w:cs="Tahoma"/>
              </w:rPr>
              <w:t xml:space="preserve"> total quantum of crude oil and gas production in the country at present along with the data for the last 10 years and the current year, year-wise</w:t>
            </w:r>
            <w:r w:rsidR="00D10942">
              <w:rPr>
                <w:rFonts w:ascii="Tahoma" w:hAnsi="Tahoma" w:cs="Tahoma"/>
              </w:rPr>
              <w:t xml:space="preserve"> is given below:</w:t>
            </w:r>
          </w:p>
          <w:p w14:paraId="4F547F93" w14:textId="77AF0F8D" w:rsidR="008B7CBA" w:rsidRDefault="008B7CBA" w:rsidP="00842D98">
            <w:pPr>
              <w:jc w:val="both"/>
              <w:rPr>
                <w:rFonts w:ascii="Tahoma" w:hAnsi="Tahoma" w:cs="Tahoma"/>
                <w:lang w:val="en-US"/>
              </w:rPr>
            </w:pPr>
          </w:p>
          <w:p w14:paraId="11F49CAC" w14:textId="77777777" w:rsidR="008B7CBA" w:rsidRDefault="008B7CBA" w:rsidP="00842D98">
            <w:pPr>
              <w:jc w:val="both"/>
              <w:rPr>
                <w:rFonts w:ascii="Tahoma" w:hAnsi="Tahoma" w:cs="Tahoma"/>
                <w:lang w:val="en-US"/>
              </w:rPr>
            </w:pPr>
          </w:p>
          <w:tbl>
            <w:tblPr>
              <w:tblW w:w="7961" w:type="dxa"/>
              <w:tblLayout w:type="fixed"/>
              <w:tblLook w:val="04A0" w:firstRow="1" w:lastRow="0" w:firstColumn="1" w:lastColumn="0" w:noHBand="0" w:noVBand="1"/>
            </w:tblPr>
            <w:tblGrid>
              <w:gridCol w:w="2291"/>
              <w:gridCol w:w="992"/>
              <w:gridCol w:w="851"/>
              <w:gridCol w:w="850"/>
              <w:gridCol w:w="993"/>
              <w:gridCol w:w="992"/>
              <w:gridCol w:w="992"/>
            </w:tblGrid>
            <w:tr w:rsidR="008B7CBA" w:rsidRPr="001E319D" w14:paraId="538CF8E4" w14:textId="77777777" w:rsidTr="008B7CBA">
              <w:trPr>
                <w:trHeight w:val="945"/>
              </w:trPr>
              <w:tc>
                <w:tcPr>
                  <w:tcW w:w="229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2558818" w14:textId="77777777" w:rsidR="008B7CBA" w:rsidRPr="001E319D" w:rsidRDefault="008B7CBA" w:rsidP="008B7CBA">
                  <w:pPr>
                    <w:spacing w:after="0" w:line="240" w:lineRule="auto"/>
                    <w:jc w:val="center"/>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Year</w:t>
                  </w:r>
                </w:p>
              </w:tc>
              <w:tc>
                <w:tcPr>
                  <w:tcW w:w="992" w:type="dxa"/>
                  <w:tcBorders>
                    <w:top w:val="single" w:sz="4" w:space="0" w:color="auto"/>
                    <w:left w:val="nil"/>
                    <w:bottom w:val="single" w:sz="4" w:space="0" w:color="auto"/>
                    <w:right w:val="single" w:sz="4" w:space="0" w:color="auto"/>
                  </w:tcBorders>
                  <w:shd w:val="clear" w:color="000000" w:fill="F1A983"/>
                  <w:vAlign w:val="center"/>
                  <w:hideMark/>
                </w:tcPr>
                <w:p w14:paraId="2652AD27"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2014-15</w:t>
                  </w:r>
                </w:p>
              </w:tc>
              <w:tc>
                <w:tcPr>
                  <w:tcW w:w="851" w:type="dxa"/>
                  <w:tcBorders>
                    <w:top w:val="single" w:sz="4" w:space="0" w:color="auto"/>
                    <w:left w:val="nil"/>
                    <w:bottom w:val="single" w:sz="4" w:space="0" w:color="auto"/>
                    <w:right w:val="single" w:sz="4" w:space="0" w:color="auto"/>
                  </w:tcBorders>
                  <w:shd w:val="clear" w:color="000000" w:fill="F1A983"/>
                  <w:vAlign w:val="center"/>
                  <w:hideMark/>
                </w:tcPr>
                <w:p w14:paraId="4CC97FFF"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 xml:space="preserve"> FY 2015-16</w:t>
                  </w:r>
                </w:p>
              </w:tc>
              <w:tc>
                <w:tcPr>
                  <w:tcW w:w="850" w:type="dxa"/>
                  <w:tcBorders>
                    <w:top w:val="single" w:sz="4" w:space="0" w:color="auto"/>
                    <w:left w:val="nil"/>
                    <w:bottom w:val="single" w:sz="4" w:space="0" w:color="auto"/>
                    <w:right w:val="single" w:sz="4" w:space="0" w:color="auto"/>
                  </w:tcBorders>
                  <w:shd w:val="clear" w:color="000000" w:fill="F1A983"/>
                  <w:vAlign w:val="center"/>
                  <w:hideMark/>
                </w:tcPr>
                <w:p w14:paraId="69402769"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2016-17</w:t>
                  </w:r>
                </w:p>
              </w:tc>
              <w:tc>
                <w:tcPr>
                  <w:tcW w:w="993" w:type="dxa"/>
                  <w:tcBorders>
                    <w:top w:val="single" w:sz="4" w:space="0" w:color="auto"/>
                    <w:left w:val="nil"/>
                    <w:bottom w:val="single" w:sz="4" w:space="0" w:color="auto"/>
                    <w:right w:val="single" w:sz="4" w:space="0" w:color="auto"/>
                  </w:tcBorders>
                  <w:shd w:val="clear" w:color="000000" w:fill="F1A983"/>
                  <w:vAlign w:val="center"/>
                  <w:hideMark/>
                </w:tcPr>
                <w:p w14:paraId="5D34D5D0"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2017-18</w:t>
                  </w:r>
                </w:p>
              </w:tc>
              <w:tc>
                <w:tcPr>
                  <w:tcW w:w="992" w:type="dxa"/>
                  <w:tcBorders>
                    <w:top w:val="single" w:sz="4" w:space="0" w:color="auto"/>
                    <w:left w:val="nil"/>
                    <w:bottom w:val="single" w:sz="4" w:space="0" w:color="auto"/>
                    <w:right w:val="single" w:sz="4" w:space="0" w:color="auto"/>
                  </w:tcBorders>
                  <w:shd w:val="clear" w:color="000000" w:fill="F1A983"/>
                  <w:vAlign w:val="center"/>
                  <w:hideMark/>
                </w:tcPr>
                <w:p w14:paraId="4EFB7144"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2018-19</w:t>
                  </w:r>
                </w:p>
              </w:tc>
              <w:tc>
                <w:tcPr>
                  <w:tcW w:w="992" w:type="dxa"/>
                  <w:tcBorders>
                    <w:top w:val="single" w:sz="4" w:space="0" w:color="auto"/>
                    <w:left w:val="nil"/>
                    <w:bottom w:val="single" w:sz="4" w:space="0" w:color="auto"/>
                    <w:right w:val="single" w:sz="4" w:space="0" w:color="auto"/>
                  </w:tcBorders>
                  <w:shd w:val="clear" w:color="000000" w:fill="F1A983"/>
                  <w:vAlign w:val="center"/>
                  <w:hideMark/>
                </w:tcPr>
                <w:p w14:paraId="1F351C57"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2019-20</w:t>
                  </w:r>
                </w:p>
              </w:tc>
            </w:tr>
            <w:tr w:rsidR="008B7CBA" w:rsidRPr="001E319D" w14:paraId="063179FA" w14:textId="77777777" w:rsidTr="008B7CBA">
              <w:trPr>
                <w:trHeight w:val="1260"/>
              </w:trPr>
              <w:tc>
                <w:tcPr>
                  <w:tcW w:w="2291" w:type="dxa"/>
                  <w:tcBorders>
                    <w:top w:val="nil"/>
                    <w:left w:val="single" w:sz="4" w:space="0" w:color="auto"/>
                    <w:bottom w:val="single" w:sz="4" w:space="0" w:color="auto"/>
                    <w:right w:val="single" w:sz="4" w:space="0" w:color="auto"/>
                  </w:tcBorders>
                  <w:shd w:val="clear" w:color="auto" w:fill="auto"/>
                  <w:vAlign w:val="bottom"/>
                  <w:hideMark/>
                </w:tcPr>
                <w:p w14:paraId="62352103"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Crude Oil (MMT)</w:t>
                  </w:r>
                </w:p>
              </w:tc>
              <w:tc>
                <w:tcPr>
                  <w:tcW w:w="992" w:type="dxa"/>
                  <w:tcBorders>
                    <w:top w:val="nil"/>
                    <w:left w:val="nil"/>
                    <w:bottom w:val="single" w:sz="4" w:space="0" w:color="auto"/>
                    <w:right w:val="single" w:sz="4" w:space="0" w:color="auto"/>
                  </w:tcBorders>
                  <w:shd w:val="clear" w:color="auto" w:fill="auto"/>
                  <w:vAlign w:val="bottom"/>
                  <w:hideMark/>
                </w:tcPr>
                <w:p w14:paraId="2B40564B"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3.44</w:t>
                  </w:r>
                </w:p>
              </w:tc>
              <w:tc>
                <w:tcPr>
                  <w:tcW w:w="851" w:type="dxa"/>
                  <w:tcBorders>
                    <w:top w:val="nil"/>
                    <w:left w:val="nil"/>
                    <w:bottom w:val="single" w:sz="4" w:space="0" w:color="auto"/>
                    <w:right w:val="single" w:sz="4" w:space="0" w:color="auto"/>
                  </w:tcBorders>
                  <w:shd w:val="clear" w:color="auto" w:fill="auto"/>
                  <w:vAlign w:val="bottom"/>
                  <w:hideMark/>
                </w:tcPr>
                <w:p w14:paraId="5E3B4BCB"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3.25</w:t>
                  </w:r>
                </w:p>
              </w:tc>
              <w:tc>
                <w:tcPr>
                  <w:tcW w:w="850" w:type="dxa"/>
                  <w:tcBorders>
                    <w:top w:val="nil"/>
                    <w:left w:val="nil"/>
                    <w:bottom w:val="single" w:sz="4" w:space="0" w:color="auto"/>
                    <w:right w:val="single" w:sz="4" w:space="0" w:color="auto"/>
                  </w:tcBorders>
                  <w:shd w:val="clear" w:color="auto" w:fill="auto"/>
                  <w:vAlign w:val="bottom"/>
                  <w:hideMark/>
                </w:tcPr>
                <w:p w14:paraId="23D78EB4"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3.28</w:t>
                  </w:r>
                </w:p>
              </w:tc>
              <w:tc>
                <w:tcPr>
                  <w:tcW w:w="993" w:type="dxa"/>
                  <w:tcBorders>
                    <w:top w:val="nil"/>
                    <w:left w:val="nil"/>
                    <w:bottom w:val="single" w:sz="4" w:space="0" w:color="auto"/>
                    <w:right w:val="single" w:sz="4" w:space="0" w:color="auto"/>
                  </w:tcBorders>
                  <w:shd w:val="clear" w:color="auto" w:fill="auto"/>
                  <w:vAlign w:val="bottom"/>
                  <w:hideMark/>
                </w:tcPr>
                <w:p w14:paraId="1F8A4EB5"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3.39</w:t>
                  </w:r>
                </w:p>
              </w:tc>
              <w:tc>
                <w:tcPr>
                  <w:tcW w:w="992" w:type="dxa"/>
                  <w:tcBorders>
                    <w:top w:val="nil"/>
                    <w:left w:val="nil"/>
                    <w:bottom w:val="single" w:sz="4" w:space="0" w:color="auto"/>
                    <w:right w:val="single" w:sz="4" w:space="0" w:color="auto"/>
                  </w:tcBorders>
                  <w:shd w:val="clear" w:color="auto" w:fill="auto"/>
                  <w:vAlign w:val="bottom"/>
                  <w:hideMark/>
                </w:tcPr>
                <w:p w14:paraId="17FA3BE4"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3.32</w:t>
                  </w:r>
                </w:p>
              </w:tc>
              <w:tc>
                <w:tcPr>
                  <w:tcW w:w="992" w:type="dxa"/>
                  <w:tcBorders>
                    <w:top w:val="nil"/>
                    <w:left w:val="nil"/>
                    <w:bottom w:val="single" w:sz="4" w:space="0" w:color="auto"/>
                    <w:right w:val="single" w:sz="4" w:space="0" w:color="auto"/>
                  </w:tcBorders>
                  <w:shd w:val="clear" w:color="auto" w:fill="auto"/>
                  <w:vAlign w:val="bottom"/>
                  <w:hideMark/>
                </w:tcPr>
                <w:p w14:paraId="75D84DE6"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3.13</w:t>
                  </w:r>
                </w:p>
              </w:tc>
            </w:tr>
            <w:tr w:rsidR="008B7CBA" w:rsidRPr="001E319D" w14:paraId="74C08B4D" w14:textId="77777777" w:rsidTr="008B7CBA">
              <w:trPr>
                <w:trHeight w:val="945"/>
              </w:trPr>
              <w:tc>
                <w:tcPr>
                  <w:tcW w:w="2291" w:type="dxa"/>
                  <w:tcBorders>
                    <w:top w:val="nil"/>
                    <w:left w:val="single" w:sz="4" w:space="0" w:color="auto"/>
                    <w:bottom w:val="single" w:sz="4" w:space="0" w:color="auto"/>
                    <w:right w:val="single" w:sz="4" w:space="0" w:color="auto"/>
                  </w:tcBorders>
                  <w:shd w:val="clear" w:color="auto" w:fill="auto"/>
                  <w:vAlign w:val="bottom"/>
                  <w:hideMark/>
                </w:tcPr>
                <w:p w14:paraId="33212464"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Natural Gas (BCM)</w:t>
                  </w:r>
                </w:p>
              </w:tc>
              <w:tc>
                <w:tcPr>
                  <w:tcW w:w="992" w:type="dxa"/>
                  <w:tcBorders>
                    <w:top w:val="nil"/>
                    <w:left w:val="nil"/>
                    <w:bottom w:val="single" w:sz="4" w:space="0" w:color="auto"/>
                    <w:right w:val="single" w:sz="4" w:space="0" w:color="auto"/>
                  </w:tcBorders>
                  <w:shd w:val="clear" w:color="auto" w:fill="auto"/>
                  <w:vAlign w:val="bottom"/>
                  <w:hideMark/>
                </w:tcPr>
                <w:p w14:paraId="197DEF7D"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2.72</w:t>
                  </w:r>
                </w:p>
              </w:tc>
              <w:tc>
                <w:tcPr>
                  <w:tcW w:w="851" w:type="dxa"/>
                  <w:tcBorders>
                    <w:top w:val="nil"/>
                    <w:left w:val="nil"/>
                    <w:bottom w:val="single" w:sz="4" w:space="0" w:color="auto"/>
                    <w:right w:val="single" w:sz="4" w:space="0" w:color="auto"/>
                  </w:tcBorders>
                  <w:shd w:val="clear" w:color="auto" w:fill="auto"/>
                  <w:vAlign w:val="bottom"/>
                  <w:hideMark/>
                </w:tcPr>
                <w:p w14:paraId="0F595C1D"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2.84</w:t>
                  </w:r>
                </w:p>
              </w:tc>
              <w:tc>
                <w:tcPr>
                  <w:tcW w:w="850" w:type="dxa"/>
                  <w:tcBorders>
                    <w:top w:val="nil"/>
                    <w:left w:val="nil"/>
                    <w:bottom w:val="single" w:sz="4" w:space="0" w:color="auto"/>
                    <w:right w:val="single" w:sz="4" w:space="0" w:color="auto"/>
                  </w:tcBorders>
                  <w:shd w:val="clear" w:color="auto" w:fill="auto"/>
                  <w:vAlign w:val="bottom"/>
                  <w:hideMark/>
                </w:tcPr>
                <w:p w14:paraId="722F85D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2.94</w:t>
                  </w:r>
                </w:p>
              </w:tc>
              <w:tc>
                <w:tcPr>
                  <w:tcW w:w="993" w:type="dxa"/>
                  <w:tcBorders>
                    <w:top w:val="nil"/>
                    <w:left w:val="nil"/>
                    <w:bottom w:val="single" w:sz="4" w:space="0" w:color="auto"/>
                    <w:right w:val="single" w:sz="4" w:space="0" w:color="auto"/>
                  </w:tcBorders>
                  <w:shd w:val="clear" w:color="auto" w:fill="auto"/>
                  <w:vAlign w:val="bottom"/>
                  <w:hideMark/>
                </w:tcPr>
                <w:p w14:paraId="242FA4D7"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2.90</w:t>
                  </w:r>
                </w:p>
              </w:tc>
              <w:tc>
                <w:tcPr>
                  <w:tcW w:w="992" w:type="dxa"/>
                  <w:tcBorders>
                    <w:top w:val="nil"/>
                    <w:left w:val="nil"/>
                    <w:bottom w:val="single" w:sz="4" w:space="0" w:color="auto"/>
                    <w:right w:val="single" w:sz="4" w:space="0" w:color="auto"/>
                  </w:tcBorders>
                  <w:shd w:val="clear" w:color="auto" w:fill="auto"/>
                  <w:vAlign w:val="bottom"/>
                  <w:hideMark/>
                </w:tcPr>
                <w:p w14:paraId="52D38413"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2.86</w:t>
                  </w:r>
                </w:p>
              </w:tc>
              <w:tc>
                <w:tcPr>
                  <w:tcW w:w="992" w:type="dxa"/>
                  <w:tcBorders>
                    <w:top w:val="nil"/>
                    <w:left w:val="nil"/>
                    <w:bottom w:val="single" w:sz="4" w:space="0" w:color="auto"/>
                    <w:right w:val="single" w:sz="4" w:space="0" w:color="auto"/>
                  </w:tcBorders>
                  <w:shd w:val="clear" w:color="auto" w:fill="auto"/>
                  <w:vAlign w:val="bottom"/>
                  <w:hideMark/>
                </w:tcPr>
                <w:p w14:paraId="177EC10B"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2.80</w:t>
                  </w:r>
                </w:p>
              </w:tc>
            </w:tr>
            <w:tr w:rsidR="008B7CBA" w:rsidRPr="001E319D" w14:paraId="0AFDEA52" w14:textId="77777777" w:rsidTr="008B7CBA">
              <w:trPr>
                <w:trHeight w:val="1676"/>
              </w:trPr>
              <w:tc>
                <w:tcPr>
                  <w:tcW w:w="2291" w:type="dxa"/>
                  <w:tcBorders>
                    <w:top w:val="nil"/>
                    <w:left w:val="nil"/>
                    <w:bottom w:val="single" w:sz="4" w:space="0" w:color="auto"/>
                    <w:right w:val="nil"/>
                  </w:tcBorders>
                  <w:shd w:val="clear" w:color="auto" w:fill="auto"/>
                  <w:vAlign w:val="bottom"/>
                  <w:hideMark/>
                </w:tcPr>
                <w:p w14:paraId="19ACEDAE"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p>
              </w:tc>
              <w:tc>
                <w:tcPr>
                  <w:tcW w:w="992" w:type="dxa"/>
                  <w:tcBorders>
                    <w:top w:val="nil"/>
                    <w:left w:val="nil"/>
                    <w:bottom w:val="nil"/>
                    <w:right w:val="nil"/>
                  </w:tcBorders>
                  <w:shd w:val="clear" w:color="auto" w:fill="auto"/>
                  <w:vAlign w:val="bottom"/>
                  <w:hideMark/>
                </w:tcPr>
                <w:p w14:paraId="1A26E47C"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851" w:type="dxa"/>
                  <w:tcBorders>
                    <w:top w:val="nil"/>
                    <w:left w:val="nil"/>
                    <w:bottom w:val="nil"/>
                    <w:right w:val="nil"/>
                  </w:tcBorders>
                  <w:shd w:val="clear" w:color="auto" w:fill="auto"/>
                  <w:vAlign w:val="bottom"/>
                  <w:hideMark/>
                </w:tcPr>
                <w:p w14:paraId="61182C55"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850" w:type="dxa"/>
                  <w:tcBorders>
                    <w:top w:val="nil"/>
                    <w:left w:val="nil"/>
                    <w:bottom w:val="nil"/>
                    <w:right w:val="nil"/>
                  </w:tcBorders>
                  <w:shd w:val="clear" w:color="auto" w:fill="auto"/>
                  <w:vAlign w:val="bottom"/>
                  <w:hideMark/>
                </w:tcPr>
                <w:p w14:paraId="77699710"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993" w:type="dxa"/>
                  <w:tcBorders>
                    <w:top w:val="nil"/>
                    <w:left w:val="nil"/>
                    <w:bottom w:val="nil"/>
                    <w:right w:val="nil"/>
                  </w:tcBorders>
                  <w:shd w:val="clear" w:color="auto" w:fill="auto"/>
                  <w:vAlign w:val="bottom"/>
                  <w:hideMark/>
                </w:tcPr>
                <w:p w14:paraId="28D52704"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992" w:type="dxa"/>
                  <w:tcBorders>
                    <w:top w:val="nil"/>
                    <w:left w:val="nil"/>
                    <w:bottom w:val="nil"/>
                    <w:right w:val="nil"/>
                  </w:tcBorders>
                  <w:shd w:val="clear" w:color="auto" w:fill="auto"/>
                  <w:vAlign w:val="bottom"/>
                  <w:hideMark/>
                </w:tcPr>
                <w:p w14:paraId="14469501" w14:textId="77777777"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c>
                <w:tcPr>
                  <w:tcW w:w="992" w:type="dxa"/>
                  <w:tcBorders>
                    <w:top w:val="nil"/>
                    <w:left w:val="nil"/>
                    <w:bottom w:val="nil"/>
                    <w:right w:val="nil"/>
                  </w:tcBorders>
                  <w:shd w:val="clear" w:color="auto" w:fill="auto"/>
                  <w:vAlign w:val="bottom"/>
                  <w:hideMark/>
                </w:tcPr>
                <w:p w14:paraId="2002695B"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20A2FD1F"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3B4AA134"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46C67C7F"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4DECDFE2"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5C4791D5"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1A027270" w14:textId="77777777" w:rsidR="008B7CBA" w:rsidRDefault="008B7CBA" w:rsidP="008B7CBA">
                  <w:pPr>
                    <w:spacing w:after="0" w:line="240" w:lineRule="auto"/>
                    <w:rPr>
                      <w:rFonts w:ascii="Times New Roman" w:eastAsia="Times New Roman" w:hAnsi="Times New Roman" w:cs="Times New Roman"/>
                      <w:sz w:val="20"/>
                      <w:szCs w:val="20"/>
                      <w:lang w:eastAsia="en-IN" w:bidi="hi-IN"/>
                    </w:rPr>
                  </w:pPr>
                </w:p>
                <w:p w14:paraId="72CF04F4" w14:textId="40B27A16"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p>
              </w:tc>
            </w:tr>
            <w:tr w:rsidR="008B7CBA" w:rsidRPr="001E319D" w14:paraId="1273030F" w14:textId="77777777" w:rsidTr="008B7CBA">
              <w:trPr>
                <w:trHeight w:val="1890"/>
              </w:trPr>
              <w:tc>
                <w:tcPr>
                  <w:tcW w:w="2291" w:type="dxa"/>
                  <w:tcBorders>
                    <w:top w:val="single" w:sz="4" w:space="0" w:color="auto"/>
                    <w:left w:val="single" w:sz="4" w:space="0" w:color="auto"/>
                    <w:bottom w:val="nil"/>
                    <w:right w:val="nil"/>
                  </w:tcBorders>
                  <w:shd w:val="clear" w:color="auto" w:fill="auto"/>
                  <w:hideMark/>
                </w:tcPr>
                <w:p w14:paraId="4A1311FF" w14:textId="593E959C" w:rsidR="008B7CBA" w:rsidRPr="001E319D" w:rsidRDefault="008B7CBA" w:rsidP="008B7CBA">
                  <w:pPr>
                    <w:spacing w:after="0" w:line="240" w:lineRule="auto"/>
                    <w:rPr>
                      <w:rFonts w:ascii="Times New Roman" w:eastAsia="Times New Roman" w:hAnsi="Times New Roman" w:cs="Times New Roman"/>
                      <w:sz w:val="20"/>
                      <w:szCs w:val="20"/>
                      <w:lang w:eastAsia="en-IN" w:bidi="hi-IN"/>
                    </w:rPr>
                  </w:pPr>
                  <w:r>
                    <w:rPr>
                      <w:rFonts w:ascii="Times New Roman" w:eastAsia="Times New Roman" w:hAnsi="Times New Roman" w:cs="Times New Roman"/>
                      <w:sz w:val="20"/>
                      <w:szCs w:val="20"/>
                      <w:lang w:eastAsia="en-IN" w:bidi="hi-IN"/>
                    </w:rPr>
                    <w:lastRenderedPageBreak/>
                    <w:t>Year</w:t>
                  </w:r>
                </w:p>
              </w:tc>
              <w:tc>
                <w:tcPr>
                  <w:tcW w:w="992" w:type="dxa"/>
                  <w:tcBorders>
                    <w:top w:val="single" w:sz="4" w:space="0" w:color="auto"/>
                    <w:left w:val="single" w:sz="4" w:space="0" w:color="auto"/>
                    <w:bottom w:val="single" w:sz="4" w:space="0" w:color="auto"/>
                    <w:right w:val="single" w:sz="4" w:space="0" w:color="auto"/>
                  </w:tcBorders>
                  <w:shd w:val="clear" w:color="000000" w:fill="F1A983"/>
                  <w:hideMark/>
                </w:tcPr>
                <w:p w14:paraId="58A6450B"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2020-21</w:t>
                  </w:r>
                </w:p>
              </w:tc>
              <w:tc>
                <w:tcPr>
                  <w:tcW w:w="851" w:type="dxa"/>
                  <w:tcBorders>
                    <w:top w:val="single" w:sz="4" w:space="0" w:color="auto"/>
                    <w:left w:val="nil"/>
                    <w:bottom w:val="single" w:sz="4" w:space="0" w:color="auto"/>
                    <w:right w:val="single" w:sz="4" w:space="0" w:color="auto"/>
                  </w:tcBorders>
                  <w:shd w:val="clear" w:color="000000" w:fill="F1A983"/>
                  <w:hideMark/>
                </w:tcPr>
                <w:p w14:paraId="7DB395ED"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2021-22</w:t>
                  </w:r>
                </w:p>
              </w:tc>
              <w:tc>
                <w:tcPr>
                  <w:tcW w:w="850" w:type="dxa"/>
                  <w:tcBorders>
                    <w:top w:val="single" w:sz="4" w:space="0" w:color="auto"/>
                    <w:left w:val="nil"/>
                    <w:bottom w:val="single" w:sz="4" w:space="0" w:color="auto"/>
                    <w:right w:val="single" w:sz="4" w:space="0" w:color="auto"/>
                  </w:tcBorders>
                  <w:shd w:val="clear" w:color="000000" w:fill="F1A983"/>
                  <w:hideMark/>
                </w:tcPr>
                <w:p w14:paraId="6D8BAA9E"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2022-23</w:t>
                  </w:r>
                </w:p>
              </w:tc>
              <w:tc>
                <w:tcPr>
                  <w:tcW w:w="993" w:type="dxa"/>
                  <w:tcBorders>
                    <w:top w:val="single" w:sz="4" w:space="0" w:color="auto"/>
                    <w:left w:val="nil"/>
                    <w:bottom w:val="single" w:sz="4" w:space="0" w:color="auto"/>
                    <w:right w:val="single" w:sz="4" w:space="0" w:color="auto"/>
                  </w:tcBorders>
                  <w:shd w:val="clear" w:color="000000" w:fill="F1A983"/>
                  <w:hideMark/>
                </w:tcPr>
                <w:p w14:paraId="221D639D"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2023-24</w:t>
                  </w:r>
                </w:p>
              </w:tc>
              <w:tc>
                <w:tcPr>
                  <w:tcW w:w="992" w:type="dxa"/>
                  <w:tcBorders>
                    <w:top w:val="single" w:sz="4" w:space="0" w:color="auto"/>
                    <w:left w:val="nil"/>
                    <w:bottom w:val="single" w:sz="4" w:space="0" w:color="auto"/>
                    <w:right w:val="single" w:sz="4" w:space="0" w:color="auto"/>
                  </w:tcBorders>
                  <w:shd w:val="clear" w:color="000000" w:fill="F1A983"/>
                  <w:hideMark/>
                </w:tcPr>
                <w:p w14:paraId="5C834D62" w14:textId="77777777" w:rsidR="008B7CBA" w:rsidRPr="001E319D" w:rsidRDefault="008B7CBA" w:rsidP="008B7CBA">
                  <w:pPr>
                    <w:spacing w:after="0" w:line="240" w:lineRule="auto"/>
                    <w:rPr>
                      <w:rFonts w:ascii="Times New Roman" w:eastAsia="Times New Roman" w:hAnsi="Times New Roman" w:cs="Times New Roman"/>
                      <w:b/>
                      <w:bCs/>
                      <w:color w:val="000000"/>
                      <w:sz w:val="24"/>
                      <w:szCs w:val="24"/>
                      <w:lang w:eastAsia="en-IN" w:bidi="hi-IN"/>
                    </w:rPr>
                  </w:pPr>
                  <w:r w:rsidRPr="001E319D">
                    <w:rPr>
                      <w:rFonts w:ascii="Times New Roman" w:eastAsia="Times New Roman" w:hAnsi="Times New Roman" w:cs="Times New Roman"/>
                      <w:b/>
                      <w:bCs/>
                      <w:color w:val="000000"/>
                      <w:sz w:val="24"/>
                      <w:szCs w:val="24"/>
                      <w:lang w:eastAsia="en-IN" w:bidi="hi-IN"/>
                    </w:rPr>
                    <w:t>FY 2024-25 (Till Feb-25)</w:t>
                  </w:r>
                </w:p>
              </w:tc>
              <w:tc>
                <w:tcPr>
                  <w:tcW w:w="992" w:type="dxa"/>
                  <w:tcBorders>
                    <w:top w:val="nil"/>
                    <w:left w:val="nil"/>
                    <w:bottom w:val="nil"/>
                    <w:right w:val="nil"/>
                  </w:tcBorders>
                  <w:shd w:val="clear" w:color="auto" w:fill="auto"/>
                  <w:vAlign w:val="bottom"/>
                  <w:hideMark/>
                </w:tcPr>
                <w:p w14:paraId="343C9027" w14:textId="77777777" w:rsidR="008B7CBA" w:rsidRPr="001E319D" w:rsidRDefault="008B7CBA" w:rsidP="008B7CBA">
                  <w:pPr>
                    <w:spacing w:after="0" w:line="240" w:lineRule="auto"/>
                    <w:jc w:val="center"/>
                    <w:rPr>
                      <w:rFonts w:ascii="Times New Roman" w:eastAsia="Times New Roman" w:hAnsi="Times New Roman" w:cs="Times New Roman"/>
                      <w:b/>
                      <w:bCs/>
                      <w:color w:val="000000"/>
                      <w:sz w:val="24"/>
                      <w:szCs w:val="24"/>
                      <w:lang w:eastAsia="en-IN" w:bidi="hi-IN"/>
                    </w:rPr>
                  </w:pPr>
                </w:p>
              </w:tc>
            </w:tr>
            <w:tr w:rsidR="008B7CBA" w:rsidRPr="001E319D" w14:paraId="5B23990E" w14:textId="77777777" w:rsidTr="008B7CBA">
              <w:trPr>
                <w:trHeight w:val="1260"/>
              </w:trPr>
              <w:tc>
                <w:tcPr>
                  <w:tcW w:w="2291"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61491696"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Crude Oil (MMT)</w:t>
                  </w:r>
                </w:p>
              </w:tc>
              <w:tc>
                <w:tcPr>
                  <w:tcW w:w="992" w:type="dxa"/>
                  <w:tcBorders>
                    <w:top w:val="nil"/>
                    <w:left w:val="nil"/>
                    <w:bottom w:val="single" w:sz="4" w:space="0" w:color="auto"/>
                    <w:right w:val="single" w:sz="4" w:space="0" w:color="auto"/>
                  </w:tcBorders>
                  <w:shd w:val="clear" w:color="auto" w:fill="auto"/>
                  <w:vAlign w:val="bottom"/>
                  <w:hideMark/>
                </w:tcPr>
                <w:p w14:paraId="4BF464EA"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2.96</w:t>
                  </w:r>
                </w:p>
              </w:tc>
              <w:tc>
                <w:tcPr>
                  <w:tcW w:w="851" w:type="dxa"/>
                  <w:tcBorders>
                    <w:top w:val="nil"/>
                    <w:left w:val="nil"/>
                    <w:bottom w:val="single" w:sz="4" w:space="0" w:color="auto"/>
                    <w:right w:val="single" w:sz="4" w:space="0" w:color="auto"/>
                  </w:tcBorders>
                  <w:shd w:val="clear" w:color="auto" w:fill="auto"/>
                  <w:vAlign w:val="bottom"/>
                  <w:hideMark/>
                </w:tcPr>
                <w:p w14:paraId="79D0387A"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3.01</w:t>
                  </w:r>
                </w:p>
              </w:tc>
              <w:tc>
                <w:tcPr>
                  <w:tcW w:w="850" w:type="dxa"/>
                  <w:tcBorders>
                    <w:top w:val="nil"/>
                    <w:left w:val="nil"/>
                    <w:bottom w:val="single" w:sz="4" w:space="0" w:color="auto"/>
                    <w:right w:val="single" w:sz="4" w:space="0" w:color="auto"/>
                  </w:tcBorders>
                  <w:shd w:val="clear" w:color="auto" w:fill="auto"/>
                  <w:vAlign w:val="bottom"/>
                  <w:hideMark/>
                </w:tcPr>
                <w:p w14:paraId="4413877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3.18</w:t>
                  </w:r>
                </w:p>
              </w:tc>
              <w:tc>
                <w:tcPr>
                  <w:tcW w:w="993" w:type="dxa"/>
                  <w:tcBorders>
                    <w:top w:val="nil"/>
                    <w:left w:val="nil"/>
                    <w:bottom w:val="single" w:sz="4" w:space="0" w:color="auto"/>
                    <w:right w:val="single" w:sz="4" w:space="0" w:color="auto"/>
                  </w:tcBorders>
                  <w:shd w:val="clear" w:color="auto" w:fill="auto"/>
                  <w:vAlign w:val="bottom"/>
                  <w:hideMark/>
                </w:tcPr>
                <w:p w14:paraId="3C41F19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3.36</w:t>
                  </w:r>
                </w:p>
              </w:tc>
              <w:tc>
                <w:tcPr>
                  <w:tcW w:w="992" w:type="dxa"/>
                  <w:tcBorders>
                    <w:top w:val="nil"/>
                    <w:left w:val="nil"/>
                    <w:bottom w:val="single" w:sz="4" w:space="0" w:color="auto"/>
                    <w:right w:val="single" w:sz="4" w:space="0" w:color="auto"/>
                  </w:tcBorders>
                  <w:shd w:val="clear" w:color="auto" w:fill="auto"/>
                  <w:vAlign w:val="bottom"/>
                  <w:hideMark/>
                </w:tcPr>
                <w:p w14:paraId="48DF3C79"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3.17</w:t>
                  </w:r>
                </w:p>
              </w:tc>
              <w:tc>
                <w:tcPr>
                  <w:tcW w:w="992" w:type="dxa"/>
                  <w:tcBorders>
                    <w:top w:val="nil"/>
                    <w:left w:val="nil"/>
                    <w:bottom w:val="nil"/>
                    <w:right w:val="nil"/>
                  </w:tcBorders>
                  <w:shd w:val="clear" w:color="auto" w:fill="auto"/>
                  <w:vAlign w:val="bottom"/>
                  <w:hideMark/>
                </w:tcPr>
                <w:p w14:paraId="371FD463"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p>
              </w:tc>
            </w:tr>
            <w:tr w:rsidR="008B7CBA" w:rsidRPr="001E319D" w14:paraId="5A464A27" w14:textId="77777777" w:rsidTr="008B7CBA">
              <w:trPr>
                <w:trHeight w:val="945"/>
              </w:trPr>
              <w:tc>
                <w:tcPr>
                  <w:tcW w:w="2291" w:type="dxa"/>
                  <w:tcBorders>
                    <w:top w:val="nil"/>
                    <w:left w:val="single" w:sz="4" w:space="0" w:color="auto"/>
                    <w:bottom w:val="single" w:sz="4" w:space="0" w:color="auto"/>
                    <w:right w:val="single" w:sz="4" w:space="0" w:color="auto"/>
                  </w:tcBorders>
                  <w:shd w:val="clear" w:color="auto" w:fill="auto"/>
                  <w:vAlign w:val="bottom"/>
                  <w:hideMark/>
                </w:tcPr>
                <w:p w14:paraId="7FB385AC" w14:textId="77777777" w:rsidR="008B7CBA" w:rsidRPr="001E319D" w:rsidRDefault="008B7CBA" w:rsidP="008B7CBA">
                  <w:pPr>
                    <w:spacing w:after="0" w:line="240" w:lineRule="auto"/>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Natural Gas (BCM)</w:t>
                  </w:r>
                </w:p>
              </w:tc>
              <w:tc>
                <w:tcPr>
                  <w:tcW w:w="992" w:type="dxa"/>
                  <w:tcBorders>
                    <w:top w:val="nil"/>
                    <w:left w:val="nil"/>
                    <w:bottom w:val="single" w:sz="4" w:space="0" w:color="auto"/>
                    <w:right w:val="single" w:sz="4" w:space="0" w:color="auto"/>
                  </w:tcBorders>
                  <w:shd w:val="clear" w:color="auto" w:fill="auto"/>
                  <w:vAlign w:val="bottom"/>
                  <w:hideMark/>
                </w:tcPr>
                <w:p w14:paraId="251C24A7"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2.64</w:t>
                  </w:r>
                </w:p>
              </w:tc>
              <w:tc>
                <w:tcPr>
                  <w:tcW w:w="851" w:type="dxa"/>
                  <w:tcBorders>
                    <w:top w:val="nil"/>
                    <w:left w:val="nil"/>
                    <w:bottom w:val="single" w:sz="4" w:space="0" w:color="auto"/>
                    <w:right w:val="single" w:sz="4" w:space="0" w:color="auto"/>
                  </w:tcBorders>
                  <w:shd w:val="clear" w:color="auto" w:fill="auto"/>
                  <w:vAlign w:val="bottom"/>
                  <w:hideMark/>
                </w:tcPr>
                <w:p w14:paraId="43B6D63C"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3.05</w:t>
                  </w:r>
                </w:p>
              </w:tc>
              <w:tc>
                <w:tcPr>
                  <w:tcW w:w="850" w:type="dxa"/>
                  <w:tcBorders>
                    <w:top w:val="nil"/>
                    <w:left w:val="nil"/>
                    <w:bottom w:val="single" w:sz="4" w:space="0" w:color="auto"/>
                    <w:right w:val="single" w:sz="4" w:space="0" w:color="auto"/>
                  </w:tcBorders>
                  <w:shd w:val="clear" w:color="auto" w:fill="auto"/>
                  <w:vAlign w:val="bottom"/>
                  <w:hideMark/>
                </w:tcPr>
                <w:p w14:paraId="5845A525"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3.18</w:t>
                  </w:r>
                </w:p>
              </w:tc>
              <w:tc>
                <w:tcPr>
                  <w:tcW w:w="993" w:type="dxa"/>
                  <w:tcBorders>
                    <w:top w:val="nil"/>
                    <w:left w:val="nil"/>
                    <w:bottom w:val="single" w:sz="4" w:space="0" w:color="auto"/>
                    <w:right w:val="single" w:sz="4" w:space="0" w:color="auto"/>
                  </w:tcBorders>
                  <w:shd w:val="clear" w:color="auto" w:fill="auto"/>
                  <w:vAlign w:val="bottom"/>
                  <w:hideMark/>
                </w:tcPr>
                <w:p w14:paraId="02DD651F"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3.12</w:t>
                  </w:r>
                </w:p>
              </w:tc>
              <w:tc>
                <w:tcPr>
                  <w:tcW w:w="992" w:type="dxa"/>
                  <w:tcBorders>
                    <w:top w:val="nil"/>
                    <w:left w:val="nil"/>
                    <w:bottom w:val="single" w:sz="4" w:space="0" w:color="auto"/>
                    <w:right w:val="single" w:sz="4" w:space="0" w:color="auto"/>
                  </w:tcBorders>
                  <w:shd w:val="clear" w:color="auto" w:fill="auto"/>
                  <w:vAlign w:val="bottom"/>
                  <w:hideMark/>
                </w:tcPr>
                <w:p w14:paraId="027D003A"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r w:rsidRPr="001E319D">
                    <w:rPr>
                      <w:rFonts w:ascii="Times New Roman" w:eastAsia="Times New Roman" w:hAnsi="Times New Roman" w:cs="Times New Roman"/>
                      <w:color w:val="000000"/>
                      <w:sz w:val="24"/>
                      <w:szCs w:val="24"/>
                      <w:lang w:eastAsia="en-IN" w:bidi="hi-IN"/>
                    </w:rPr>
                    <w:t>2.97</w:t>
                  </w:r>
                </w:p>
              </w:tc>
              <w:tc>
                <w:tcPr>
                  <w:tcW w:w="992" w:type="dxa"/>
                  <w:tcBorders>
                    <w:top w:val="nil"/>
                    <w:left w:val="nil"/>
                    <w:bottom w:val="nil"/>
                    <w:right w:val="nil"/>
                  </w:tcBorders>
                  <w:shd w:val="clear" w:color="auto" w:fill="auto"/>
                  <w:vAlign w:val="bottom"/>
                  <w:hideMark/>
                </w:tcPr>
                <w:p w14:paraId="107E59C3" w14:textId="77777777" w:rsidR="008B7CBA" w:rsidRPr="001E319D" w:rsidRDefault="008B7CBA" w:rsidP="008B7CBA">
                  <w:pPr>
                    <w:spacing w:after="0" w:line="240" w:lineRule="auto"/>
                    <w:jc w:val="right"/>
                    <w:rPr>
                      <w:rFonts w:ascii="Times New Roman" w:eastAsia="Times New Roman" w:hAnsi="Times New Roman" w:cs="Times New Roman"/>
                      <w:color w:val="000000"/>
                      <w:sz w:val="24"/>
                      <w:szCs w:val="24"/>
                      <w:lang w:eastAsia="en-IN" w:bidi="hi-IN"/>
                    </w:rPr>
                  </w:pPr>
                </w:p>
              </w:tc>
            </w:tr>
          </w:tbl>
          <w:p w14:paraId="4B801C8D" w14:textId="04DC262C" w:rsidR="008B7CBA" w:rsidRPr="00CE5DA4" w:rsidRDefault="008B7CBA" w:rsidP="00842D98">
            <w:pPr>
              <w:jc w:val="both"/>
              <w:rPr>
                <w:rFonts w:ascii="Tahoma" w:hAnsi="Tahoma" w:cs="Tahoma"/>
                <w:lang w:val="en-US"/>
              </w:rPr>
            </w:pPr>
          </w:p>
        </w:tc>
      </w:tr>
      <w:tr w:rsidR="00985256" w:rsidRPr="00CE5DA4" w14:paraId="383631CB" w14:textId="77777777" w:rsidTr="008B7CBA">
        <w:trPr>
          <w:trHeight w:val="911"/>
        </w:trPr>
        <w:tc>
          <w:tcPr>
            <w:tcW w:w="1696" w:type="dxa"/>
          </w:tcPr>
          <w:p w14:paraId="4155E936" w14:textId="46783FEF" w:rsidR="00985256" w:rsidRPr="008B7CBA" w:rsidRDefault="00985256" w:rsidP="00842D98">
            <w:pPr>
              <w:jc w:val="both"/>
              <w:rPr>
                <w:rFonts w:ascii="Tahoma" w:eastAsia="Times New Roman" w:hAnsi="Tahoma" w:cs="Tahoma"/>
                <w:i/>
                <w:color w:val="000000"/>
                <w:lang w:val="en-US"/>
              </w:rPr>
            </w:pPr>
            <w:r w:rsidRPr="00CE5DA4">
              <w:rPr>
                <w:rFonts w:ascii="Tahoma" w:hAnsi="Tahoma" w:cs="Tahoma"/>
                <w:i/>
                <w:iCs/>
              </w:rPr>
              <w:lastRenderedPageBreak/>
              <w:t xml:space="preserve">Q.(b) </w:t>
            </w:r>
            <w:r>
              <w:rPr>
                <w:rFonts w:ascii="Tahoma" w:eastAsia="Times New Roman" w:hAnsi="Tahoma" w:cs="Tahoma"/>
                <w:i/>
                <w:color w:val="000000"/>
                <w:lang w:val="en-US"/>
              </w:rPr>
              <w:t>T</w:t>
            </w:r>
            <w:r w:rsidRPr="008B7CBA">
              <w:rPr>
                <w:rFonts w:ascii="Tahoma" w:eastAsia="Times New Roman" w:hAnsi="Tahoma" w:cs="Tahoma"/>
                <w:i/>
                <w:color w:val="000000"/>
                <w:lang w:val="en-US"/>
              </w:rPr>
              <w:t xml:space="preserve">he number of blocks allocated for exploration and production of oil and gas during the last </w:t>
            </w:r>
            <w:r>
              <w:rPr>
                <w:rFonts w:ascii="Tahoma" w:eastAsia="Times New Roman" w:hAnsi="Tahoma" w:cs="Tahoma"/>
                <w:i/>
                <w:color w:val="000000"/>
                <w:lang w:val="en-US"/>
              </w:rPr>
              <w:t>1</w:t>
            </w:r>
            <w:r w:rsidRPr="008B7CBA">
              <w:rPr>
                <w:rFonts w:ascii="Tahoma" w:eastAsia="Times New Roman" w:hAnsi="Tahoma" w:cs="Tahoma"/>
                <w:i/>
                <w:color w:val="000000"/>
                <w:lang w:val="en-US"/>
              </w:rPr>
              <w:t>0 years and the current</w:t>
            </w:r>
          </w:p>
          <w:p w14:paraId="0693E394" w14:textId="4EF6EFDF" w:rsidR="00985256" w:rsidRPr="00CE5DA4" w:rsidRDefault="00985256" w:rsidP="00861653">
            <w:pPr>
              <w:jc w:val="both"/>
              <w:rPr>
                <w:rFonts w:ascii="Tahoma" w:hAnsi="Tahoma" w:cs="Tahoma"/>
                <w:i/>
                <w:iCs/>
              </w:rPr>
            </w:pPr>
            <w:r w:rsidRPr="008B7CBA">
              <w:rPr>
                <w:rFonts w:ascii="Tahoma" w:eastAsia="Times New Roman" w:hAnsi="Tahoma" w:cs="Tahoma"/>
                <w:i/>
                <w:color w:val="000000"/>
                <w:lang w:val="en-US"/>
              </w:rPr>
              <w:t>year and the quantum of production thereof, year-wise; and</w:t>
            </w:r>
          </w:p>
        </w:tc>
        <w:tc>
          <w:tcPr>
            <w:tcW w:w="8199" w:type="dxa"/>
            <w:vMerge w:val="restart"/>
          </w:tcPr>
          <w:p w14:paraId="728E47AE" w14:textId="66AA84C4" w:rsidR="00985256" w:rsidRPr="00CE5DA4" w:rsidRDefault="00985256" w:rsidP="00842D98">
            <w:pPr>
              <w:spacing w:after="120"/>
              <w:jc w:val="both"/>
              <w:rPr>
                <w:rFonts w:ascii="Tahoma" w:eastAsia="Times New Roman" w:hAnsi="Tahoma" w:cs="Tahoma"/>
                <w:b/>
                <w:bCs/>
                <w:kern w:val="2"/>
                <w14:ligatures w14:val="standardContextual"/>
              </w:rPr>
            </w:pPr>
            <w:r w:rsidRPr="00CE5DA4">
              <w:rPr>
                <w:rFonts w:ascii="Tahoma" w:hAnsi="Tahoma" w:cs="Tahoma"/>
                <w:b/>
                <w:lang w:val="en-US"/>
              </w:rPr>
              <w:t>Answer to Q(</w:t>
            </w:r>
            <w:r>
              <w:rPr>
                <w:rFonts w:ascii="Tahoma" w:hAnsi="Tahoma" w:cs="Tahoma"/>
                <w:b/>
                <w:lang w:val="en-US"/>
              </w:rPr>
              <w:t>b)</w:t>
            </w:r>
            <w:r>
              <w:rPr>
                <w:rFonts w:ascii="Tahoma" w:hAnsi="Tahoma" w:cs="Tahoma"/>
                <w:b/>
                <w:lang w:val="en-US"/>
              </w:rPr>
              <w:t xml:space="preserve"> &amp; (c</w:t>
            </w:r>
            <w:proofErr w:type="gramStart"/>
            <w:r>
              <w:rPr>
                <w:rFonts w:ascii="Tahoma" w:hAnsi="Tahoma" w:cs="Tahoma"/>
                <w:b/>
                <w:lang w:val="en-US"/>
              </w:rPr>
              <w:t xml:space="preserve">) </w:t>
            </w:r>
            <w:r>
              <w:rPr>
                <w:rFonts w:ascii="Tahoma" w:hAnsi="Tahoma" w:cs="Tahoma"/>
                <w:b/>
                <w:lang w:val="en-US"/>
              </w:rPr>
              <w:t>:</w:t>
            </w:r>
            <w:proofErr w:type="gramEnd"/>
            <w:r w:rsidRPr="00CE5DA4">
              <w:rPr>
                <w:rFonts w:ascii="Tahoma" w:hAnsi="Tahoma" w:cs="Tahoma"/>
                <w:lang w:val="en-US"/>
              </w:rPr>
              <w:t xml:space="preserve"> </w:t>
            </w:r>
            <w:proofErr w:type="spellStart"/>
            <w:r w:rsidRPr="00CE5DA4">
              <w:rPr>
                <w:rFonts w:ascii="Tahoma" w:eastAsia="Times New Roman" w:hAnsi="Tahoma" w:cs="Tahoma"/>
                <w:b/>
                <w:bCs/>
                <w:kern w:val="2"/>
                <w14:ligatures w14:val="standardContextual"/>
              </w:rPr>
              <w:t>MoPNG</w:t>
            </w:r>
            <w:proofErr w:type="spellEnd"/>
            <w:r w:rsidRPr="00CE5DA4">
              <w:rPr>
                <w:rFonts w:ascii="Tahoma" w:eastAsia="Times New Roman" w:hAnsi="Tahoma" w:cs="Tahoma"/>
                <w:b/>
                <w:bCs/>
                <w:kern w:val="2"/>
                <w14:ligatures w14:val="standardContextual"/>
              </w:rPr>
              <w:t xml:space="preserve"> may reply suitably. </w:t>
            </w:r>
          </w:p>
          <w:p w14:paraId="4955490A" w14:textId="77777777" w:rsidR="00985256" w:rsidRPr="00861653" w:rsidRDefault="00985256" w:rsidP="00861653">
            <w:pPr>
              <w:jc w:val="both"/>
              <w:rPr>
                <w:rFonts w:ascii="Tahoma" w:hAnsi="Tahoma" w:cs="Tahoma"/>
                <w:lang w:val="en-US"/>
              </w:rPr>
            </w:pPr>
            <w:r w:rsidRPr="00CE5DA4">
              <w:rPr>
                <w:rFonts w:ascii="Tahoma" w:hAnsi="Tahoma" w:cs="Tahoma"/>
                <w:lang w:val="en-US"/>
              </w:rPr>
              <w:t>As far as Oil India Limited (OIL) is concerned,</w:t>
            </w:r>
            <w:r>
              <w:rPr>
                <w:rFonts w:ascii="Tahoma" w:hAnsi="Tahoma" w:cs="Tahoma"/>
                <w:lang w:val="en-US"/>
              </w:rPr>
              <w:t xml:space="preserve"> </w:t>
            </w:r>
            <w:r w:rsidRPr="00861653">
              <w:rPr>
                <w:rFonts w:ascii="Tahoma" w:hAnsi="Tahoma" w:cs="Tahoma"/>
                <w:lang w:val="en-US"/>
              </w:rPr>
              <w:t>Oil India Limited (OIL) during the last 10 years has been awarded a total of 30 exploration Blocks covering 55,916 SQKM in the OALP bidding Rounds I to VIII.</w:t>
            </w:r>
          </w:p>
          <w:p w14:paraId="67DFD7CD" w14:textId="77777777" w:rsidR="00985256" w:rsidRPr="00861653" w:rsidRDefault="00985256" w:rsidP="00861653">
            <w:pPr>
              <w:jc w:val="both"/>
              <w:rPr>
                <w:rFonts w:ascii="Tahoma" w:hAnsi="Tahoma" w:cs="Tahoma"/>
                <w:lang w:val="en-US"/>
              </w:rPr>
            </w:pPr>
            <w:r w:rsidRPr="00861653">
              <w:rPr>
                <w:rFonts w:ascii="Tahoma" w:hAnsi="Tahoma" w:cs="Tahoma"/>
                <w:lang w:val="en-US"/>
              </w:rPr>
              <w:t>In DSF (Discovered Small Fields) Rounds, OIL has been awarded 3 nos. of DSF blocks.</w:t>
            </w:r>
          </w:p>
          <w:p w14:paraId="4911CB46" w14:textId="36B4312A" w:rsidR="00985256" w:rsidRDefault="00985256" w:rsidP="00861653">
            <w:pPr>
              <w:jc w:val="both"/>
              <w:rPr>
                <w:rFonts w:ascii="Tahoma" w:hAnsi="Tahoma" w:cs="Tahoma"/>
                <w:lang w:val="en-US"/>
              </w:rPr>
            </w:pPr>
            <w:r w:rsidRPr="00861653">
              <w:rPr>
                <w:rFonts w:ascii="Tahoma" w:hAnsi="Tahoma" w:cs="Tahoma"/>
                <w:lang w:val="en-US"/>
              </w:rPr>
              <w:t>These blocks are in initial stages of E&amp;P activities. However, it is to be noted that OIL has established hydrocarbon potential in one of our OALP block situated on the North-bank of Brahmaputra.</w:t>
            </w:r>
          </w:p>
          <w:p w14:paraId="39CEE98E" w14:textId="51E2C97F" w:rsidR="00985256" w:rsidRDefault="00985256" w:rsidP="00861653">
            <w:pPr>
              <w:jc w:val="both"/>
              <w:rPr>
                <w:rFonts w:ascii="Tahoma" w:hAnsi="Tahoma" w:cs="Tahoma"/>
                <w:lang w:val="en-US"/>
              </w:rPr>
            </w:pPr>
          </w:p>
          <w:p w14:paraId="68B9418E" w14:textId="2614C851" w:rsidR="00985256" w:rsidRDefault="00985256" w:rsidP="00861653">
            <w:pPr>
              <w:jc w:val="both"/>
              <w:rPr>
                <w:rFonts w:ascii="Tahoma" w:hAnsi="Tahoma" w:cs="Tahoma"/>
                <w:lang w:val="en-US"/>
              </w:rPr>
            </w:pPr>
          </w:p>
          <w:p w14:paraId="390B68EA" w14:textId="77777777" w:rsidR="00985256" w:rsidRPr="00985256" w:rsidRDefault="00985256" w:rsidP="00985256">
            <w:pPr>
              <w:jc w:val="both"/>
              <w:rPr>
                <w:rFonts w:ascii="Tahoma" w:hAnsi="Tahoma" w:cs="Tahoma"/>
                <w:lang w:val="en-US"/>
              </w:rPr>
            </w:pPr>
            <w:r w:rsidRPr="00985256">
              <w:rPr>
                <w:rFonts w:ascii="Tahoma" w:hAnsi="Tahoma" w:cs="Tahoma"/>
                <w:lang w:val="en-US"/>
              </w:rPr>
              <w:t>Of the 30 blocks awarded in the OALP rounds 17 nos. of blocks are in North-east India (5 in Assam, 3 in Tripura, 1 in Nagaland &amp; 8 nos. of blocks spread across both Assam &amp; Arunachal Pradesh), 5 in Rajasthan, 5 in Odisha, 2 in Andaman shallow offshore, and 1 in Kerala Konkan shallow offshore and out 3 blocks awarded in DSF rounds 1 block each are in Tripura, Andhra Pradesh Offshore &amp; Rajasthan.</w:t>
            </w:r>
          </w:p>
          <w:p w14:paraId="05C4AC55" w14:textId="77777777" w:rsidR="00985256" w:rsidRPr="00985256" w:rsidRDefault="00985256" w:rsidP="00985256">
            <w:pPr>
              <w:jc w:val="both"/>
              <w:rPr>
                <w:rFonts w:ascii="Tahoma" w:hAnsi="Tahoma" w:cs="Tahoma"/>
                <w:lang w:val="en-US"/>
              </w:rPr>
            </w:pPr>
            <w:r w:rsidRPr="00985256">
              <w:rPr>
                <w:rFonts w:ascii="Tahoma" w:hAnsi="Tahoma" w:cs="Tahoma"/>
                <w:lang w:val="en-US"/>
              </w:rPr>
              <w:t>It is to be mentioned that 3 Blocks awarded on OALP rounds (2 in Rajasthan &amp; 1 in Assam) have been relinquished.</w:t>
            </w:r>
          </w:p>
          <w:p w14:paraId="06559C34" w14:textId="6513EBC1" w:rsidR="00985256" w:rsidRDefault="00985256" w:rsidP="00985256">
            <w:pPr>
              <w:jc w:val="both"/>
              <w:rPr>
                <w:rFonts w:ascii="Tahoma" w:hAnsi="Tahoma" w:cs="Tahoma"/>
                <w:lang w:val="en-US"/>
              </w:rPr>
            </w:pPr>
            <w:r w:rsidRPr="00985256">
              <w:rPr>
                <w:rFonts w:ascii="Tahoma" w:hAnsi="Tahoma" w:cs="Tahoma"/>
                <w:lang w:val="en-US"/>
              </w:rPr>
              <w:t>These blocks are in initial stages of E&amp;P activities.</w:t>
            </w:r>
          </w:p>
          <w:p w14:paraId="6089C448" w14:textId="77777777" w:rsidR="00985256" w:rsidRDefault="00985256" w:rsidP="00861653">
            <w:pPr>
              <w:jc w:val="both"/>
              <w:rPr>
                <w:rFonts w:ascii="Tahoma" w:hAnsi="Tahoma" w:cs="Tahoma"/>
                <w:lang w:val="en-US"/>
              </w:rPr>
            </w:pPr>
          </w:p>
          <w:p w14:paraId="5760D0C6" w14:textId="4AB017B1" w:rsidR="00985256" w:rsidRPr="00CE5DA4" w:rsidRDefault="00985256" w:rsidP="00861653">
            <w:pPr>
              <w:jc w:val="both"/>
              <w:rPr>
                <w:rFonts w:ascii="Tahoma" w:hAnsi="Tahoma" w:cs="Tahoma"/>
                <w:lang w:val="en-US"/>
              </w:rPr>
            </w:pPr>
          </w:p>
        </w:tc>
      </w:tr>
      <w:tr w:rsidR="00985256" w:rsidRPr="00CE5DA4" w14:paraId="0958FB8A" w14:textId="77777777" w:rsidTr="008B7CBA">
        <w:trPr>
          <w:trHeight w:val="911"/>
        </w:trPr>
        <w:tc>
          <w:tcPr>
            <w:tcW w:w="1696" w:type="dxa"/>
          </w:tcPr>
          <w:p w14:paraId="122107E0" w14:textId="77777777" w:rsidR="00985256" w:rsidRPr="00CE5DA4" w:rsidRDefault="00985256" w:rsidP="00842D98">
            <w:pPr>
              <w:jc w:val="both"/>
              <w:rPr>
                <w:rFonts w:ascii="Tahoma" w:hAnsi="Tahoma" w:cs="Tahoma"/>
                <w:i/>
                <w:iCs/>
              </w:rPr>
            </w:pPr>
            <w:r>
              <w:rPr>
                <w:rFonts w:ascii="Tahoma" w:hAnsi="Tahoma" w:cs="Tahoma"/>
                <w:i/>
                <w:iCs/>
              </w:rPr>
              <w:t>Q.(c)</w:t>
            </w:r>
            <w:r w:rsidRPr="008B7CBA">
              <w:rPr>
                <w:rFonts w:ascii="Tahoma" w:hAnsi="Tahoma" w:cs="Tahoma"/>
                <w:i/>
                <w:iCs/>
              </w:rPr>
              <w:t xml:space="preserve"> </w:t>
            </w:r>
            <w:r>
              <w:rPr>
                <w:rFonts w:ascii="Tahoma" w:hAnsi="Tahoma" w:cs="Tahoma"/>
                <w:i/>
                <w:iCs/>
              </w:rPr>
              <w:t>T</w:t>
            </w:r>
            <w:r w:rsidRPr="008B7CBA">
              <w:rPr>
                <w:rFonts w:ascii="Tahoma" w:hAnsi="Tahoma" w:cs="Tahoma"/>
                <w:i/>
                <w:iCs/>
              </w:rPr>
              <w:t xml:space="preserve">he details in this regard? </w:t>
            </w:r>
          </w:p>
        </w:tc>
        <w:tc>
          <w:tcPr>
            <w:tcW w:w="8199" w:type="dxa"/>
            <w:vMerge/>
          </w:tcPr>
          <w:p w14:paraId="2F19BC49" w14:textId="484831C4" w:rsidR="00985256" w:rsidRPr="00CE5DA4" w:rsidRDefault="00985256" w:rsidP="00861653">
            <w:pPr>
              <w:jc w:val="both"/>
              <w:rPr>
                <w:rFonts w:ascii="Tahoma" w:hAnsi="Tahoma" w:cs="Tahoma"/>
                <w:lang w:val="en-US"/>
              </w:rPr>
            </w:pPr>
          </w:p>
        </w:tc>
      </w:tr>
    </w:tbl>
    <w:p w14:paraId="3674F240" w14:textId="77777777" w:rsidR="008B7CBA" w:rsidRDefault="008B7CBA" w:rsidP="0044759C">
      <w:pPr>
        <w:spacing w:after="0"/>
        <w:ind w:right="-482"/>
        <w:jc w:val="right"/>
        <w:rPr>
          <w:rFonts w:ascii="Tahoma" w:hAnsi="Tahoma" w:cs="Tahoma"/>
          <w:lang w:val="en-US"/>
        </w:rPr>
      </w:pPr>
    </w:p>
    <w:p w14:paraId="6EA165B4" w14:textId="31F71055" w:rsidR="008B7CBA" w:rsidRPr="00861653" w:rsidRDefault="00861653" w:rsidP="00861653">
      <w:pPr>
        <w:spacing w:after="0"/>
        <w:ind w:right="-482"/>
        <w:rPr>
          <w:rFonts w:ascii="Tahoma" w:hAnsi="Tahoma" w:cs="Tahoma"/>
          <w:b/>
          <w:u w:val="single"/>
          <w:lang w:val="en-US"/>
        </w:rPr>
      </w:pPr>
      <w:r w:rsidRPr="00861653">
        <w:rPr>
          <w:rFonts w:ascii="Tahoma" w:hAnsi="Tahoma" w:cs="Tahoma"/>
          <w:b/>
          <w:u w:val="single"/>
          <w:lang w:val="en-US"/>
        </w:rPr>
        <w:t>Supplementary Inputs by OIL is attached as Annexure-I</w:t>
      </w:r>
    </w:p>
    <w:p w14:paraId="77AC2CF4" w14:textId="77777777" w:rsidR="00861653" w:rsidRDefault="00861653" w:rsidP="0044759C">
      <w:pPr>
        <w:spacing w:after="0"/>
        <w:ind w:right="-482"/>
        <w:jc w:val="right"/>
        <w:rPr>
          <w:rFonts w:ascii="Tahoma" w:hAnsi="Tahoma" w:cs="Tahoma"/>
          <w:lang w:val="en-US"/>
        </w:rPr>
      </w:pPr>
    </w:p>
    <w:p w14:paraId="32853E7D" w14:textId="77777777" w:rsidR="00985256" w:rsidRDefault="00985256" w:rsidP="0044759C">
      <w:pPr>
        <w:spacing w:after="0"/>
        <w:ind w:right="-482"/>
        <w:jc w:val="right"/>
        <w:rPr>
          <w:rFonts w:ascii="Tahoma" w:hAnsi="Tahoma" w:cs="Tahoma"/>
          <w:lang w:val="en-US"/>
        </w:rPr>
      </w:pPr>
    </w:p>
    <w:p w14:paraId="23352F1B" w14:textId="31700BE6" w:rsidR="00F211B3" w:rsidRPr="00CE5DA4" w:rsidRDefault="00931D33" w:rsidP="0044759C">
      <w:pPr>
        <w:spacing w:after="0"/>
        <w:ind w:right="-482"/>
        <w:jc w:val="right"/>
        <w:rPr>
          <w:rFonts w:ascii="Tahoma" w:hAnsi="Tahoma" w:cs="Tahoma"/>
          <w:lang w:val="en-US"/>
        </w:rPr>
      </w:pPr>
      <w:r w:rsidRPr="00CE5DA4">
        <w:rPr>
          <w:rFonts w:ascii="Tahoma" w:hAnsi="Tahoma" w:cs="Tahoma"/>
          <w:lang w:val="en-US"/>
        </w:rPr>
        <w:t>Yours faithfully,</w:t>
      </w:r>
    </w:p>
    <w:p w14:paraId="4A5CE863" w14:textId="77777777" w:rsidR="00931D33" w:rsidRPr="00CE5DA4" w:rsidRDefault="00931D33" w:rsidP="0044759C">
      <w:pPr>
        <w:spacing w:after="0" w:line="240" w:lineRule="auto"/>
        <w:ind w:right="-482"/>
        <w:jc w:val="right"/>
        <w:rPr>
          <w:rFonts w:ascii="Tahoma" w:hAnsi="Tahoma" w:cs="Tahoma"/>
          <w:u w:val="single"/>
          <w:lang w:val="en-US"/>
        </w:rPr>
      </w:pPr>
      <w:r w:rsidRPr="00CE5DA4">
        <w:rPr>
          <w:rFonts w:ascii="Tahoma" w:hAnsi="Tahoma" w:cs="Tahoma"/>
          <w:u w:val="single"/>
          <w:lang w:val="en-US"/>
        </w:rPr>
        <w:t>OIL INDIA LIMITED</w:t>
      </w:r>
    </w:p>
    <w:p w14:paraId="694C060A" w14:textId="77777777" w:rsidR="00506AF9" w:rsidRPr="00CE5DA4" w:rsidRDefault="00506AF9" w:rsidP="0044759C">
      <w:pPr>
        <w:spacing w:after="0" w:line="240" w:lineRule="auto"/>
        <w:ind w:right="-482"/>
        <w:jc w:val="right"/>
        <w:rPr>
          <w:rFonts w:ascii="Tahoma" w:hAnsi="Tahoma" w:cs="Tahoma"/>
          <w:lang w:val="en-US"/>
        </w:rPr>
      </w:pPr>
    </w:p>
    <w:p w14:paraId="249092F0" w14:textId="77777777" w:rsidR="00612609" w:rsidRPr="00CE5DA4" w:rsidRDefault="00612609" w:rsidP="0044759C">
      <w:pPr>
        <w:spacing w:after="0" w:line="240" w:lineRule="auto"/>
        <w:ind w:right="-482"/>
        <w:jc w:val="right"/>
        <w:rPr>
          <w:rFonts w:ascii="Tahoma" w:hAnsi="Tahoma" w:cs="Tahoma"/>
          <w:lang w:val="en-US"/>
        </w:rPr>
      </w:pPr>
    </w:p>
    <w:p w14:paraId="5961CAD7" w14:textId="3ABCEB11" w:rsidR="00F26CC7" w:rsidRDefault="00F26CC7" w:rsidP="0044759C">
      <w:pPr>
        <w:spacing w:after="0" w:line="240" w:lineRule="auto"/>
        <w:ind w:right="-482"/>
        <w:jc w:val="right"/>
        <w:rPr>
          <w:rFonts w:ascii="Tahoma" w:hAnsi="Tahoma" w:cs="Tahoma"/>
          <w:b/>
          <w:lang w:val="en-US"/>
        </w:rPr>
      </w:pPr>
    </w:p>
    <w:p w14:paraId="7C92BC05" w14:textId="77777777" w:rsidR="008B7CBA" w:rsidRPr="00CE5DA4" w:rsidRDefault="008B7CBA" w:rsidP="0044759C">
      <w:pPr>
        <w:spacing w:after="0" w:line="240" w:lineRule="auto"/>
        <w:ind w:right="-482"/>
        <w:jc w:val="right"/>
        <w:rPr>
          <w:rFonts w:ascii="Tahoma" w:hAnsi="Tahoma" w:cs="Tahoma"/>
          <w:b/>
          <w:lang w:val="en-US"/>
        </w:rPr>
      </w:pPr>
    </w:p>
    <w:p w14:paraId="17AF8927" w14:textId="713C4C82" w:rsidR="00506AF9" w:rsidRPr="00CE5DA4" w:rsidRDefault="00506AF9" w:rsidP="0044759C">
      <w:pPr>
        <w:spacing w:after="0" w:line="240" w:lineRule="auto"/>
        <w:ind w:right="-482"/>
        <w:jc w:val="right"/>
        <w:rPr>
          <w:rFonts w:ascii="Tahoma" w:hAnsi="Tahoma" w:cs="Tahoma"/>
          <w:b/>
          <w:lang w:val="en-US"/>
        </w:rPr>
      </w:pPr>
      <w:r w:rsidRPr="00CE5DA4">
        <w:rPr>
          <w:rFonts w:ascii="Tahoma" w:hAnsi="Tahoma" w:cs="Tahoma"/>
          <w:b/>
          <w:lang w:val="en-US"/>
        </w:rPr>
        <w:t>(</w:t>
      </w:r>
      <w:r w:rsidR="00C968B7" w:rsidRPr="00CE5DA4">
        <w:rPr>
          <w:rFonts w:ascii="Tahoma" w:hAnsi="Tahoma" w:cs="Tahoma"/>
          <w:b/>
          <w:lang w:val="en-US"/>
        </w:rPr>
        <w:t>Kishore Kumar Das</w:t>
      </w:r>
      <w:r w:rsidR="00F26CC7" w:rsidRPr="00CE5DA4">
        <w:rPr>
          <w:rFonts w:ascii="Tahoma" w:hAnsi="Tahoma" w:cs="Tahoma"/>
          <w:b/>
          <w:lang w:val="en-US"/>
        </w:rPr>
        <w:t>)</w:t>
      </w:r>
    </w:p>
    <w:p w14:paraId="442D57FD" w14:textId="0F40448F" w:rsidR="00F26CC7" w:rsidRPr="00CE5DA4" w:rsidRDefault="00345A27" w:rsidP="0044759C">
      <w:pPr>
        <w:spacing w:after="0" w:line="240" w:lineRule="auto"/>
        <w:ind w:right="-482"/>
        <w:jc w:val="right"/>
        <w:rPr>
          <w:rFonts w:ascii="Tahoma" w:hAnsi="Tahoma" w:cs="Tahoma"/>
          <w:lang w:val="en-US"/>
        </w:rPr>
      </w:pPr>
      <w:r w:rsidRPr="00CE5DA4">
        <w:rPr>
          <w:rFonts w:ascii="Tahoma" w:hAnsi="Tahoma" w:cs="Tahoma"/>
          <w:lang w:val="en-US"/>
        </w:rPr>
        <w:t xml:space="preserve">Chief </w:t>
      </w:r>
      <w:r w:rsidR="00F26CC7" w:rsidRPr="00CE5DA4">
        <w:rPr>
          <w:rFonts w:ascii="Tahoma" w:hAnsi="Tahoma" w:cs="Tahoma"/>
          <w:lang w:val="en-US"/>
        </w:rPr>
        <w:t>General Manager (Planning)</w:t>
      </w:r>
    </w:p>
    <w:p w14:paraId="1A954EF1" w14:textId="234588A6" w:rsidR="00F26CC7" w:rsidRDefault="00F26CC7" w:rsidP="0044759C">
      <w:pPr>
        <w:spacing w:after="0" w:line="240" w:lineRule="auto"/>
        <w:ind w:right="-482"/>
        <w:jc w:val="right"/>
        <w:rPr>
          <w:rFonts w:ascii="Tahoma" w:hAnsi="Tahoma" w:cs="Tahoma"/>
          <w:b/>
          <w:u w:val="single"/>
          <w:lang w:val="en-US"/>
        </w:rPr>
      </w:pPr>
      <w:r w:rsidRPr="00CE5DA4">
        <w:rPr>
          <w:rFonts w:ascii="Tahoma" w:hAnsi="Tahoma" w:cs="Tahoma"/>
          <w:b/>
          <w:u w:val="single"/>
          <w:lang w:val="en-US"/>
        </w:rPr>
        <w:t>For Chairman &amp; Managing Director</w:t>
      </w:r>
    </w:p>
    <w:p w14:paraId="3D981375" w14:textId="3CBB0346" w:rsidR="00861653" w:rsidRDefault="00861653" w:rsidP="0044759C">
      <w:pPr>
        <w:spacing w:after="0" w:line="240" w:lineRule="auto"/>
        <w:ind w:right="-482"/>
        <w:jc w:val="right"/>
        <w:rPr>
          <w:rFonts w:ascii="Tahoma" w:hAnsi="Tahoma" w:cs="Tahoma"/>
          <w:b/>
          <w:u w:val="single"/>
          <w:lang w:val="en-US"/>
        </w:rPr>
      </w:pPr>
    </w:p>
    <w:p w14:paraId="6D79614E" w14:textId="3C01F7BE" w:rsidR="00985256" w:rsidRDefault="00985256" w:rsidP="0044759C">
      <w:pPr>
        <w:spacing w:after="0" w:line="240" w:lineRule="auto"/>
        <w:ind w:right="-482"/>
        <w:jc w:val="right"/>
        <w:rPr>
          <w:rFonts w:ascii="Tahoma" w:hAnsi="Tahoma" w:cs="Tahoma"/>
          <w:b/>
          <w:u w:val="single"/>
          <w:lang w:val="en-US"/>
        </w:rPr>
      </w:pPr>
    </w:p>
    <w:p w14:paraId="3289F716" w14:textId="71D8D045" w:rsidR="00985256" w:rsidRDefault="00985256" w:rsidP="0044759C">
      <w:pPr>
        <w:spacing w:after="0" w:line="240" w:lineRule="auto"/>
        <w:ind w:right="-482"/>
        <w:jc w:val="right"/>
        <w:rPr>
          <w:rFonts w:ascii="Tahoma" w:hAnsi="Tahoma" w:cs="Tahoma"/>
          <w:b/>
          <w:u w:val="single"/>
          <w:lang w:val="en-US"/>
        </w:rPr>
      </w:pPr>
    </w:p>
    <w:p w14:paraId="25BAD9A2" w14:textId="77777777" w:rsidR="00985256" w:rsidRDefault="00985256" w:rsidP="0044759C">
      <w:pPr>
        <w:spacing w:after="0" w:line="240" w:lineRule="auto"/>
        <w:ind w:right="-482"/>
        <w:jc w:val="right"/>
        <w:rPr>
          <w:rFonts w:ascii="Tahoma" w:hAnsi="Tahoma" w:cs="Tahoma"/>
          <w:b/>
          <w:u w:val="single"/>
          <w:lang w:val="en-US"/>
        </w:rPr>
      </w:pPr>
    </w:p>
    <w:p w14:paraId="482E9A5B" w14:textId="0C3BEB5B" w:rsidR="00861653" w:rsidRDefault="00861653" w:rsidP="0044759C">
      <w:pPr>
        <w:spacing w:after="0" w:line="240" w:lineRule="auto"/>
        <w:ind w:right="-482"/>
        <w:jc w:val="right"/>
        <w:rPr>
          <w:rFonts w:ascii="Tahoma" w:hAnsi="Tahoma" w:cs="Tahoma"/>
          <w:b/>
          <w:u w:val="single"/>
          <w:lang w:val="en-US"/>
        </w:rPr>
      </w:pPr>
      <w:r>
        <w:rPr>
          <w:rFonts w:ascii="Tahoma" w:hAnsi="Tahoma" w:cs="Tahoma"/>
          <w:b/>
          <w:u w:val="single"/>
          <w:lang w:val="en-US"/>
        </w:rPr>
        <w:lastRenderedPageBreak/>
        <w:t>Annexure-I</w:t>
      </w:r>
    </w:p>
    <w:p w14:paraId="71C0AAD1" w14:textId="07660CF0" w:rsidR="00985256" w:rsidRDefault="00985256" w:rsidP="0044759C">
      <w:pPr>
        <w:spacing w:after="0" w:line="240" w:lineRule="auto"/>
        <w:ind w:right="-482"/>
        <w:jc w:val="right"/>
        <w:rPr>
          <w:rFonts w:ascii="Tahoma" w:hAnsi="Tahoma" w:cs="Tahoma"/>
          <w:b/>
          <w:u w:val="single"/>
          <w:lang w:val="en-US"/>
        </w:rPr>
      </w:pPr>
    </w:p>
    <w:p w14:paraId="710B1426" w14:textId="77777777" w:rsidR="00985256" w:rsidRDefault="00985256" w:rsidP="0044759C">
      <w:pPr>
        <w:spacing w:after="0" w:line="240" w:lineRule="auto"/>
        <w:ind w:right="-482"/>
        <w:jc w:val="right"/>
        <w:rPr>
          <w:rFonts w:ascii="Tahoma" w:hAnsi="Tahoma" w:cs="Tahoma"/>
          <w:b/>
          <w:u w:val="single"/>
          <w:lang w:val="en-US"/>
        </w:rPr>
      </w:pPr>
    </w:p>
    <w:p w14:paraId="42F1DA94" w14:textId="535B40A6" w:rsidR="00861653" w:rsidRDefault="00861653" w:rsidP="0044759C">
      <w:pPr>
        <w:spacing w:after="0" w:line="240" w:lineRule="auto"/>
        <w:ind w:right="-482"/>
        <w:jc w:val="right"/>
        <w:rPr>
          <w:rFonts w:ascii="Tahoma" w:hAnsi="Tahoma" w:cs="Tahoma"/>
          <w:b/>
          <w:u w:val="single"/>
          <w:lang w:val="en-US"/>
        </w:rPr>
      </w:pPr>
    </w:p>
    <w:p w14:paraId="02635993" w14:textId="77777777" w:rsidR="00861653" w:rsidRPr="00861653" w:rsidRDefault="00861653" w:rsidP="00861653">
      <w:pPr>
        <w:spacing w:after="0" w:line="240" w:lineRule="auto"/>
        <w:textAlignment w:val="baseline"/>
        <w:rPr>
          <w:rFonts w:ascii="Tahoma" w:eastAsia="Times New Roman" w:hAnsi="Tahoma" w:cs="Tahoma"/>
          <w:b/>
          <w:bCs/>
          <w:lang w:eastAsia="en-IN" w:bidi="hi-IN"/>
        </w:rPr>
      </w:pPr>
      <w:r w:rsidRPr="00861653">
        <w:rPr>
          <w:rFonts w:ascii="Tahoma" w:eastAsia="Times New Roman" w:hAnsi="Tahoma" w:cs="Tahoma"/>
          <w:b/>
          <w:bCs/>
          <w:lang w:eastAsia="en-IN" w:bidi="hi-IN"/>
        </w:rPr>
        <w:t>A brief note on OIL Exploration and Production Activities</w:t>
      </w:r>
      <w:r w:rsidRPr="00861653">
        <w:rPr>
          <w:rFonts w:ascii="Tahoma" w:eastAsia="Times New Roman" w:hAnsi="Tahoma" w:cs="Tahoma"/>
          <w:lang w:eastAsia="en-IN" w:bidi="hi-IN"/>
        </w:rPr>
        <w:tab/>
      </w:r>
      <w:r w:rsidRPr="00861653">
        <w:rPr>
          <w:rFonts w:ascii="Tahoma" w:eastAsia="Times New Roman" w:hAnsi="Tahoma" w:cs="Tahoma"/>
          <w:b/>
          <w:bCs/>
          <w:lang w:eastAsia="en-IN" w:bidi="hi-IN"/>
        </w:rPr>
        <w:t> </w:t>
      </w:r>
    </w:p>
    <w:p w14:paraId="38700863" w14:textId="77777777" w:rsidR="00861653" w:rsidRPr="00861653" w:rsidRDefault="00861653" w:rsidP="00861653">
      <w:pPr>
        <w:spacing w:after="0" w:line="240" w:lineRule="auto"/>
        <w:ind w:left="420" w:firstLine="720"/>
        <w:textAlignment w:val="baseline"/>
        <w:rPr>
          <w:rFonts w:ascii="Tahoma" w:eastAsia="Times New Roman" w:hAnsi="Tahoma" w:cs="Tahoma"/>
          <w:b/>
          <w:bCs/>
          <w:lang w:eastAsia="en-IN" w:bidi="hi-IN"/>
        </w:rPr>
      </w:pPr>
      <w:r w:rsidRPr="00861653">
        <w:rPr>
          <w:rFonts w:ascii="Tahoma" w:eastAsia="Times New Roman" w:hAnsi="Tahoma" w:cs="Tahoma"/>
          <w:b/>
          <w:bCs/>
          <w:lang w:eastAsia="en-IN" w:bidi="hi-IN"/>
        </w:rPr>
        <w:t> </w:t>
      </w:r>
    </w:p>
    <w:p w14:paraId="3CFE8958" w14:textId="77777777" w:rsidR="00861653" w:rsidRPr="00861653" w:rsidRDefault="00861653" w:rsidP="00861653">
      <w:pPr>
        <w:spacing w:after="0" w:line="240" w:lineRule="auto"/>
        <w:textAlignment w:val="baseline"/>
        <w:rPr>
          <w:rFonts w:ascii="Tahoma" w:eastAsia="Times New Roman" w:hAnsi="Tahoma" w:cs="Tahoma"/>
          <w:b/>
          <w:bCs/>
          <w:lang w:eastAsia="en-IN" w:bidi="hi-IN"/>
        </w:rPr>
      </w:pPr>
    </w:p>
    <w:p w14:paraId="0BE7DB79" w14:textId="77777777" w:rsidR="00861653" w:rsidRPr="00861653" w:rsidRDefault="00861653" w:rsidP="00861653">
      <w:pPr>
        <w:spacing w:after="160"/>
        <w:jc w:val="both"/>
        <w:rPr>
          <w:rFonts w:ascii="Tahoma" w:eastAsia="Calibri" w:hAnsi="Tahoma" w:cs="Tahoma"/>
        </w:rPr>
      </w:pPr>
      <w:r w:rsidRPr="00861653">
        <w:rPr>
          <w:rFonts w:ascii="Tahoma" w:eastAsia="Calibri" w:hAnsi="Tahoma" w:cs="Tahoma"/>
        </w:rPr>
        <w:t xml:space="preserve">In line with </w:t>
      </w:r>
      <w:proofErr w:type="spellStart"/>
      <w:r w:rsidRPr="00861653">
        <w:rPr>
          <w:rFonts w:ascii="Tahoma" w:eastAsia="Calibri" w:hAnsi="Tahoma" w:cs="Tahoma"/>
        </w:rPr>
        <w:t>MoPNG</w:t>
      </w:r>
      <w:proofErr w:type="spellEnd"/>
      <w:r w:rsidRPr="00861653">
        <w:rPr>
          <w:rFonts w:ascii="Tahoma" w:eastAsia="Calibri" w:hAnsi="Tahoma" w:cs="Tahoma"/>
        </w:rPr>
        <w:t xml:space="preserve"> objectives, to meet ever increasing demand for quality energy, OIL is continuously striving to contribute highest possible to make India an energy independent country. In light of making India a developed nation by 2047 uninterrupted supply of energy is of prime importance. In this regard, OIL’s approach for last couple of years to reduce import dependency are as </w:t>
      </w:r>
      <w:proofErr w:type="gramStart"/>
      <w:r w:rsidRPr="00861653">
        <w:rPr>
          <w:rFonts w:ascii="Tahoma" w:eastAsia="Calibri" w:hAnsi="Tahoma" w:cs="Tahoma"/>
        </w:rPr>
        <w:t>follows :</w:t>
      </w:r>
      <w:proofErr w:type="gramEnd"/>
    </w:p>
    <w:p w14:paraId="58DB7704" w14:textId="77777777" w:rsidR="00861653" w:rsidRPr="00861653" w:rsidRDefault="00861653" w:rsidP="00861653">
      <w:pPr>
        <w:numPr>
          <w:ilvl w:val="0"/>
          <w:numId w:val="38"/>
        </w:numPr>
        <w:spacing w:before="100" w:beforeAutospacing="1" w:after="100" w:afterAutospacing="1" w:line="259" w:lineRule="auto"/>
        <w:contextualSpacing/>
        <w:jc w:val="both"/>
        <w:rPr>
          <w:rFonts w:ascii="Tahoma" w:eastAsia="Calibri" w:hAnsi="Tahoma" w:cs="Tahoma"/>
          <w:lang w:eastAsia="en-IN"/>
        </w:rPr>
      </w:pPr>
      <w:r w:rsidRPr="00861653">
        <w:rPr>
          <w:rFonts w:ascii="Tahoma" w:eastAsia="Calibri" w:hAnsi="Tahoma" w:cs="Tahoma"/>
        </w:rPr>
        <w:t xml:space="preserve">Enhanced production from existing &amp; matured fields with EOR techniques and adoption of new technologies. </w:t>
      </w:r>
    </w:p>
    <w:p w14:paraId="7671A7EC" w14:textId="77777777" w:rsidR="00861653" w:rsidRPr="00861653" w:rsidRDefault="00861653" w:rsidP="00861653">
      <w:pPr>
        <w:numPr>
          <w:ilvl w:val="0"/>
          <w:numId w:val="38"/>
        </w:numPr>
        <w:spacing w:after="0" w:line="259" w:lineRule="auto"/>
        <w:contextualSpacing/>
        <w:jc w:val="both"/>
        <w:rPr>
          <w:rFonts w:ascii="Tahoma" w:eastAsia="Calibri" w:hAnsi="Tahoma" w:cs="Tahoma"/>
        </w:rPr>
      </w:pPr>
      <w:r w:rsidRPr="00861653">
        <w:rPr>
          <w:rFonts w:ascii="Tahoma" w:eastAsia="Calibri" w:hAnsi="Tahoma" w:cs="Tahoma"/>
        </w:rPr>
        <w:t xml:space="preserve">Extensive exploration activities to discover new fields encompassing deep offshore, no go areas using advanced seismic and offshore drilling method. </w:t>
      </w:r>
    </w:p>
    <w:p w14:paraId="0143EFEA" w14:textId="77777777" w:rsidR="00861653" w:rsidRPr="00861653" w:rsidRDefault="00861653" w:rsidP="00861653">
      <w:pPr>
        <w:numPr>
          <w:ilvl w:val="0"/>
          <w:numId w:val="38"/>
        </w:numPr>
        <w:spacing w:after="0" w:line="259" w:lineRule="auto"/>
        <w:contextualSpacing/>
        <w:jc w:val="both"/>
        <w:rPr>
          <w:rFonts w:ascii="Tahoma" w:eastAsia="Calibri" w:hAnsi="Tahoma" w:cs="Tahoma"/>
        </w:rPr>
      </w:pPr>
      <w:r w:rsidRPr="00861653">
        <w:rPr>
          <w:rFonts w:ascii="Tahoma" w:eastAsia="Calibri" w:hAnsi="Tahoma" w:cs="Tahoma"/>
        </w:rPr>
        <w:t>Investment in foreign countries like Russia, Gabon, Mozambique, Nigeria, Venezuela, Bangladesh etc. There are 10 assets in 7 countries.</w:t>
      </w:r>
    </w:p>
    <w:p w14:paraId="26579C22" w14:textId="77777777" w:rsidR="00861653" w:rsidRPr="00861653" w:rsidRDefault="00861653" w:rsidP="00861653">
      <w:pPr>
        <w:numPr>
          <w:ilvl w:val="0"/>
          <w:numId w:val="38"/>
        </w:numPr>
        <w:spacing w:after="0" w:line="259" w:lineRule="auto"/>
        <w:contextualSpacing/>
        <w:jc w:val="both"/>
        <w:rPr>
          <w:rFonts w:ascii="Tahoma" w:eastAsia="Calibri" w:hAnsi="Tahoma" w:cs="Tahoma"/>
        </w:rPr>
      </w:pPr>
      <w:r w:rsidRPr="00861653">
        <w:rPr>
          <w:rFonts w:ascii="Tahoma" w:eastAsia="Calibri" w:hAnsi="Tahoma" w:cs="Tahoma"/>
        </w:rPr>
        <w:t>Entering into City Gas Distribution (CGD) business in JV mode to increase countries share of Natural Gas in the energy basket.</w:t>
      </w:r>
    </w:p>
    <w:p w14:paraId="0A0D79B5" w14:textId="77777777" w:rsidR="00861653" w:rsidRPr="00861653" w:rsidRDefault="00861653" w:rsidP="00861653">
      <w:pPr>
        <w:spacing w:after="120"/>
        <w:jc w:val="both"/>
        <w:rPr>
          <w:rFonts w:ascii="Tahoma" w:eastAsia="Calibri" w:hAnsi="Tahoma" w:cs="Tahoma"/>
          <w:lang w:eastAsia="en-IN" w:bidi="hi-IN"/>
        </w:rPr>
      </w:pPr>
    </w:p>
    <w:p w14:paraId="4202B9F5" w14:textId="77777777" w:rsidR="00861653" w:rsidRPr="00861653" w:rsidRDefault="00861653" w:rsidP="00861653">
      <w:pPr>
        <w:spacing w:after="120"/>
        <w:jc w:val="both"/>
        <w:rPr>
          <w:rFonts w:ascii="Tahoma" w:eastAsia="Calibri" w:hAnsi="Tahoma" w:cs="Tahoma"/>
          <w:lang w:val="en-US"/>
        </w:rPr>
      </w:pPr>
      <w:r w:rsidRPr="00861653">
        <w:rPr>
          <w:rFonts w:ascii="Tahoma" w:eastAsia="Calibri" w:hAnsi="Tahoma" w:cs="Tahoma"/>
          <w:lang w:eastAsia="en-IN" w:bidi="hi-IN"/>
        </w:rPr>
        <w:t xml:space="preserve">In country Hydrocarbon exploration activities are being carried out by OIL in the onshore areas in the states of Assam, Arunachal Pradesh, Tripura, Odisha, &amp; Rajasthan; and offshore shallow water areas in Andaman and Kerala-Konkan Basins. The company is producing crude oil and natural gas from its oil &amp; gas fields located in Assam, Arunachal Pradesh and Rajasthan. Further, in line with the Government of India's vision to intensify exploration in Indian sedimentary basins and increase domestic oil and gas production, OIL has significantly expanded its domestic acreages by actively participating in various bid rounds under OALP &amp; DSF regimes. The domestic exploration efforts taken up by OIL including the execution of Government funded projects are discussed below. </w:t>
      </w:r>
    </w:p>
    <w:p w14:paraId="7DA4B9BD"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val="en-US"/>
        </w:rPr>
        <w:t>Hydrocarbon Exploration Licensing policy (HELP) &amp; Discovery Small Fields (DSF):</w:t>
      </w:r>
      <w:r w:rsidRPr="00861653">
        <w:rPr>
          <w:rFonts w:ascii="Tahoma" w:eastAsia="Calibri" w:hAnsi="Tahoma" w:cs="Tahoma"/>
          <w:lang w:val="en-US"/>
        </w:rPr>
        <w:t xml:space="preserve"> </w:t>
      </w:r>
      <w:r w:rsidRPr="00861653">
        <w:rPr>
          <w:rFonts w:ascii="Tahoma" w:eastAsia="Calibri" w:hAnsi="Tahoma" w:cs="Tahoma"/>
          <w:lang w:val="en-US" w:eastAsia="en-IN" w:bidi="hi-IN"/>
        </w:rPr>
        <w:t xml:space="preserve">OIL has actively participated in all recent bid rounds of Open Acreage Licensing Policy (OALP) and Discovered Small Fields (DSF) under Hydrocarbon Exploration Licensing Policy (HELP) and has significantly increased its domestic acreages. </w:t>
      </w:r>
      <w:r w:rsidRPr="00861653">
        <w:rPr>
          <w:rFonts w:ascii="Tahoma" w:eastAsia="Calibri" w:hAnsi="Tahoma" w:cs="Tahoma"/>
          <w:lang w:eastAsia="en-IN" w:bidi="hi-IN"/>
        </w:rPr>
        <w:t xml:space="preserve">Presently, OIL has 27 nos. of OALP Blocks covering 49,716 sq.km and 3 nos. of DSF Blocks covering 208 sq.km across seven sedimentary basins. </w:t>
      </w:r>
    </w:p>
    <w:p w14:paraId="337685FE"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National Seismic Programme (NSP) and Deep Andaman offshore:</w:t>
      </w:r>
      <w:r w:rsidRPr="00861653">
        <w:rPr>
          <w:rFonts w:ascii="Tahoma" w:eastAsia="Calibri" w:hAnsi="Tahoma" w:cs="Tahoma"/>
          <w:lang w:eastAsia="en-IN" w:bidi="hi-IN"/>
        </w:rPr>
        <w:t xml:space="preserve"> As entrusted by DGH/</w:t>
      </w:r>
      <w:proofErr w:type="spellStart"/>
      <w:r w:rsidRPr="00861653">
        <w:rPr>
          <w:rFonts w:ascii="Tahoma" w:eastAsia="Calibri" w:hAnsi="Tahoma" w:cs="Tahoma"/>
          <w:lang w:eastAsia="en-IN" w:bidi="hi-IN"/>
        </w:rPr>
        <w:t>MoP&amp;NG</w:t>
      </w:r>
      <w:proofErr w:type="spellEnd"/>
      <w:r w:rsidRPr="00861653">
        <w:rPr>
          <w:rFonts w:ascii="Tahoma" w:eastAsia="Calibri" w:hAnsi="Tahoma" w:cs="Tahoma"/>
          <w:lang w:eastAsia="en-IN" w:bidi="hi-IN"/>
        </w:rPr>
        <w:t>, OIL has completed 5245.80 LKM and 22554.60 LKM of 2D Seismic Surveys under the National Seismic Programme (NSP) and Deep Andaman Offshore respectively.</w:t>
      </w:r>
    </w:p>
    <w:p w14:paraId="64FF1E57"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 xml:space="preserve">Airborne Gravity </w:t>
      </w:r>
      <w:proofErr w:type="spellStart"/>
      <w:r w:rsidRPr="00861653">
        <w:rPr>
          <w:rFonts w:ascii="Tahoma" w:eastAsia="Calibri" w:hAnsi="Tahoma" w:cs="Tahoma"/>
          <w:b/>
          <w:bCs/>
          <w:lang w:eastAsia="en-IN" w:bidi="hi-IN"/>
        </w:rPr>
        <w:t>Gradiometry</w:t>
      </w:r>
      <w:proofErr w:type="spellEnd"/>
      <w:r w:rsidRPr="00861653">
        <w:rPr>
          <w:rFonts w:ascii="Tahoma" w:eastAsia="Calibri" w:hAnsi="Tahoma" w:cs="Tahoma"/>
          <w:b/>
          <w:bCs/>
          <w:lang w:eastAsia="en-IN" w:bidi="hi-IN"/>
        </w:rPr>
        <w:t xml:space="preserve"> and Gravity-Magnetic survey:</w:t>
      </w:r>
      <w:r w:rsidRPr="00861653">
        <w:rPr>
          <w:rFonts w:ascii="Tahoma" w:eastAsia="Calibri" w:hAnsi="Tahoma" w:cs="Tahoma"/>
          <w:lang w:eastAsia="en-IN" w:bidi="hi-IN"/>
        </w:rPr>
        <w:t xml:space="preserve"> To cover areas where seismic data couldn’t be acquired under National Seismic Programme (NSP) due to inaccessible terrain and hostile environment, therefore, with an objective to give impetus to hydrocarbon activities and add value in understanding the regional oil &amp; gas </w:t>
      </w:r>
      <w:proofErr w:type="spellStart"/>
      <w:r w:rsidRPr="00861653">
        <w:rPr>
          <w:rFonts w:ascii="Tahoma" w:eastAsia="Calibri" w:hAnsi="Tahoma" w:cs="Tahoma"/>
          <w:lang w:eastAsia="en-IN" w:bidi="hi-IN"/>
        </w:rPr>
        <w:t>prospectivity</w:t>
      </w:r>
      <w:proofErr w:type="spellEnd"/>
      <w:r w:rsidRPr="00861653">
        <w:rPr>
          <w:rFonts w:ascii="Tahoma" w:eastAsia="Calibri" w:hAnsi="Tahoma" w:cs="Tahoma"/>
          <w:lang w:eastAsia="en-IN" w:bidi="hi-IN"/>
        </w:rPr>
        <w:t xml:space="preserve">, </w:t>
      </w:r>
      <w:proofErr w:type="spellStart"/>
      <w:r w:rsidRPr="00861653">
        <w:rPr>
          <w:rFonts w:ascii="Tahoma" w:eastAsia="Calibri" w:hAnsi="Tahoma" w:cs="Tahoma"/>
          <w:lang w:eastAsia="en-IN" w:bidi="hi-IN"/>
        </w:rPr>
        <w:t>GoI</w:t>
      </w:r>
      <w:proofErr w:type="spellEnd"/>
      <w:r w:rsidRPr="00861653">
        <w:rPr>
          <w:rFonts w:ascii="Tahoma" w:eastAsia="Calibri" w:hAnsi="Tahoma" w:cs="Tahoma"/>
          <w:lang w:eastAsia="en-IN" w:bidi="hi-IN"/>
        </w:rPr>
        <w:t xml:space="preserve"> formulated a planned to conduct Airborne Geophysical survey to acquire 49,795 flight LKM Gravity </w:t>
      </w:r>
      <w:proofErr w:type="spellStart"/>
      <w:r w:rsidRPr="00861653">
        <w:rPr>
          <w:rFonts w:ascii="Tahoma" w:eastAsia="Calibri" w:hAnsi="Tahoma" w:cs="Tahoma"/>
          <w:lang w:eastAsia="en-IN" w:bidi="hi-IN"/>
        </w:rPr>
        <w:t>Gradiometry</w:t>
      </w:r>
      <w:proofErr w:type="spellEnd"/>
      <w:r w:rsidRPr="00861653">
        <w:rPr>
          <w:rFonts w:ascii="Tahoma" w:eastAsia="Calibri" w:hAnsi="Tahoma" w:cs="Tahoma"/>
          <w:lang w:eastAsia="en-IN" w:bidi="hi-IN"/>
        </w:rPr>
        <w:t xml:space="preserve"> and Gravity-Magnetic data. Accordingly, OIL was entrusted by </w:t>
      </w:r>
      <w:proofErr w:type="spellStart"/>
      <w:r w:rsidRPr="00861653">
        <w:rPr>
          <w:rFonts w:ascii="Tahoma" w:eastAsia="Calibri" w:hAnsi="Tahoma" w:cs="Tahoma"/>
          <w:lang w:eastAsia="en-IN" w:bidi="hi-IN"/>
        </w:rPr>
        <w:t>MoP&amp;NG</w:t>
      </w:r>
      <w:proofErr w:type="spellEnd"/>
      <w:r w:rsidRPr="00861653">
        <w:rPr>
          <w:rFonts w:ascii="Tahoma" w:eastAsia="Calibri" w:hAnsi="Tahoma" w:cs="Tahoma"/>
          <w:lang w:eastAsia="en-IN" w:bidi="hi-IN"/>
        </w:rPr>
        <w:t xml:space="preserve"> and DGH to execute Acquisition, Processing &amp; Interpretation (API) of Airborne Gravity </w:t>
      </w:r>
      <w:proofErr w:type="spellStart"/>
      <w:r w:rsidRPr="00861653">
        <w:rPr>
          <w:rFonts w:ascii="Tahoma" w:eastAsia="Calibri" w:hAnsi="Tahoma" w:cs="Tahoma"/>
          <w:lang w:eastAsia="en-IN" w:bidi="hi-IN"/>
        </w:rPr>
        <w:t>Gradiometry</w:t>
      </w:r>
      <w:proofErr w:type="spellEnd"/>
      <w:r w:rsidRPr="00861653">
        <w:rPr>
          <w:rFonts w:ascii="Tahoma" w:eastAsia="Calibri" w:hAnsi="Tahoma" w:cs="Tahoma"/>
          <w:lang w:eastAsia="en-IN" w:bidi="hi-IN"/>
        </w:rPr>
        <w:t xml:space="preserve"> &amp; Gravity Magnetic (AGG &amp; GM) studies. The areas cover </w:t>
      </w:r>
      <w:proofErr w:type="spellStart"/>
      <w:r w:rsidRPr="00861653">
        <w:rPr>
          <w:rFonts w:ascii="Tahoma" w:eastAsia="Calibri" w:hAnsi="Tahoma" w:cs="Tahoma"/>
          <w:lang w:eastAsia="en-IN" w:bidi="hi-IN"/>
        </w:rPr>
        <w:t>Spiti</w:t>
      </w:r>
      <w:proofErr w:type="spellEnd"/>
      <w:r w:rsidRPr="00861653">
        <w:rPr>
          <w:rFonts w:ascii="Tahoma" w:eastAsia="Calibri" w:hAnsi="Tahoma" w:cs="Tahoma"/>
          <w:lang w:eastAsia="en-IN" w:bidi="hi-IN"/>
        </w:rPr>
        <w:t xml:space="preserve"> in Himachal Pradesh &amp; Ladakh, </w:t>
      </w:r>
      <w:proofErr w:type="spellStart"/>
      <w:r w:rsidRPr="00861653">
        <w:rPr>
          <w:rFonts w:ascii="Tahoma" w:eastAsia="Calibri" w:hAnsi="Tahoma" w:cs="Tahoma"/>
          <w:lang w:eastAsia="en-IN" w:bidi="hi-IN"/>
        </w:rPr>
        <w:t>Jhanskar-Karewa</w:t>
      </w:r>
      <w:proofErr w:type="spellEnd"/>
      <w:r w:rsidRPr="00861653">
        <w:rPr>
          <w:rFonts w:ascii="Tahoma" w:eastAsia="Calibri" w:hAnsi="Tahoma" w:cs="Tahoma"/>
          <w:lang w:eastAsia="en-IN" w:bidi="hi-IN"/>
        </w:rPr>
        <w:t xml:space="preserve"> in Jammu &amp; Kashmir UT, </w:t>
      </w:r>
      <w:proofErr w:type="spellStart"/>
      <w:r w:rsidRPr="00861653">
        <w:rPr>
          <w:rFonts w:ascii="Tahoma" w:eastAsia="Calibri" w:hAnsi="Tahoma" w:cs="Tahoma"/>
          <w:lang w:eastAsia="en-IN" w:bidi="hi-IN"/>
        </w:rPr>
        <w:t>Bastar</w:t>
      </w:r>
      <w:proofErr w:type="spellEnd"/>
      <w:r w:rsidRPr="00861653">
        <w:rPr>
          <w:rFonts w:ascii="Tahoma" w:eastAsia="Calibri" w:hAnsi="Tahoma" w:cs="Tahoma"/>
          <w:lang w:eastAsia="en-IN" w:bidi="hi-IN"/>
        </w:rPr>
        <w:t xml:space="preserve"> in </w:t>
      </w:r>
      <w:proofErr w:type="spellStart"/>
      <w:r w:rsidRPr="00861653">
        <w:rPr>
          <w:rFonts w:ascii="Tahoma" w:eastAsia="Calibri" w:hAnsi="Tahoma" w:cs="Tahoma"/>
          <w:lang w:eastAsia="en-IN" w:bidi="hi-IN"/>
        </w:rPr>
        <w:lastRenderedPageBreak/>
        <w:t>Chattisgarh</w:t>
      </w:r>
      <w:proofErr w:type="spellEnd"/>
      <w:r w:rsidRPr="00861653">
        <w:rPr>
          <w:rFonts w:ascii="Tahoma" w:eastAsia="Calibri" w:hAnsi="Tahoma" w:cs="Tahoma"/>
          <w:lang w:eastAsia="en-IN" w:bidi="hi-IN"/>
        </w:rPr>
        <w:t xml:space="preserve"> &amp; Odisha, Cauvery Basin in </w:t>
      </w:r>
      <w:proofErr w:type="spellStart"/>
      <w:r w:rsidRPr="00861653">
        <w:rPr>
          <w:rFonts w:ascii="Tahoma" w:eastAsia="Calibri" w:hAnsi="Tahoma" w:cs="Tahoma"/>
          <w:lang w:eastAsia="en-IN" w:bidi="hi-IN"/>
        </w:rPr>
        <w:t>Tamilnadu</w:t>
      </w:r>
      <w:proofErr w:type="spellEnd"/>
      <w:r w:rsidRPr="00861653">
        <w:rPr>
          <w:rFonts w:ascii="Tahoma" w:eastAsia="Calibri" w:hAnsi="Tahoma" w:cs="Tahoma"/>
          <w:lang w:eastAsia="en-IN" w:bidi="hi-IN"/>
        </w:rPr>
        <w:t xml:space="preserve">, and parts of Northeast (Assam, Arunachal Pradesh, Nagaland, Manipur, Meghalaya, Mizoram &amp; Tripura) India. </w:t>
      </w:r>
    </w:p>
    <w:p w14:paraId="2A3BCADF"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Drilling of Stratigraphic Wells:</w:t>
      </w:r>
      <w:r w:rsidRPr="00861653">
        <w:rPr>
          <w:rFonts w:ascii="Tahoma" w:eastAsia="Calibri" w:hAnsi="Tahoma" w:cs="Tahoma"/>
          <w:lang w:eastAsia="en-IN" w:bidi="hi-IN"/>
        </w:rPr>
        <w:t xml:space="preserve"> Under the </w:t>
      </w:r>
      <w:proofErr w:type="spellStart"/>
      <w:r w:rsidRPr="00861653">
        <w:rPr>
          <w:rFonts w:ascii="Tahoma" w:eastAsia="Calibri" w:hAnsi="Tahoma" w:cs="Tahoma"/>
          <w:lang w:eastAsia="en-IN" w:bidi="hi-IN"/>
        </w:rPr>
        <w:t>GoI</w:t>
      </w:r>
      <w:proofErr w:type="spellEnd"/>
      <w:r w:rsidRPr="00861653">
        <w:rPr>
          <w:rFonts w:ascii="Tahoma" w:eastAsia="Calibri" w:hAnsi="Tahoma" w:cs="Tahoma"/>
          <w:lang w:eastAsia="en-IN" w:bidi="hi-IN"/>
        </w:rPr>
        <w:t xml:space="preserve"> initiative, OIL is working along with ONGC to drill four stratigraphic wells in Mahanadi, Andaman, Bengal </w:t>
      </w:r>
      <w:proofErr w:type="spellStart"/>
      <w:r w:rsidRPr="00861653">
        <w:rPr>
          <w:rFonts w:ascii="Tahoma" w:eastAsia="Calibri" w:hAnsi="Tahoma" w:cs="Tahoma"/>
          <w:lang w:eastAsia="en-IN" w:bidi="hi-IN"/>
        </w:rPr>
        <w:t>Purnea</w:t>
      </w:r>
      <w:proofErr w:type="spellEnd"/>
      <w:r w:rsidRPr="00861653">
        <w:rPr>
          <w:rFonts w:ascii="Tahoma" w:eastAsia="Calibri" w:hAnsi="Tahoma" w:cs="Tahoma"/>
          <w:lang w:eastAsia="en-IN" w:bidi="hi-IN"/>
        </w:rPr>
        <w:t xml:space="preserve"> and Saurashtra Basins to acquire crucial geoscientific data for expediting efforts in making oil and gas discovery in the unexplored offshore frontier regions. </w:t>
      </w:r>
    </w:p>
    <w:p w14:paraId="52E289A1"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 xml:space="preserve">Seismic Campaign Under Mission </w:t>
      </w:r>
      <w:proofErr w:type="spellStart"/>
      <w:r w:rsidRPr="00861653">
        <w:rPr>
          <w:rFonts w:ascii="Tahoma" w:eastAsia="Calibri" w:hAnsi="Tahoma" w:cs="Tahoma"/>
          <w:b/>
          <w:bCs/>
          <w:lang w:eastAsia="en-IN" w:bidi="hi-IN"/>
        </w:rPr>
        <w:t>Anveshan</w:t>
      </w:r>
      <w:proofErr w:type="spellEnd"/>
      <w:r w:rsidRPr="00861653">
        <w:rPr>
          <w:rFonts w:ascii="Tahoma" w:eastAsia="Calibri" w:hAnsi="Tahoma" w:cs="Tahoma"/>
          <w:b/>
          <w:bCs/>
          <w:lang w:eastAsia="en-IN" w:bidi="hi-IN"/>
        </w:rPr>
        <w:t xml:space="preserve"> (MA) &amp; ECS beyond EEZ:</w:t>
      </w:r>
      <w:r w:rsidRPr="00861653">
        <w:rPr>
          <w:rFonts w:ascii="Tahoma" w:eastAsia="Calibri" w:hAnsi="Tahoma" w:cs="Tahoma"/>
          <w:lang w:eastAsia="en-IN" w:bidi="hi-IN"/>
        </w:rPr>
        <w:t xml:space="preserve"> The Mission </w:t>
      </w:r>
      <w:proofErr w:type="spellStart"/>
      <w:r w:rsidRPr="00861653">
        <w:rPr>
          <w:rFonts w:ascii="Tahoma" w:eastAsia="Calibri" w:hAnsi="Tahoma" w:cs="Tahoma"/>
          <w:lang w:eastAsia="en-IN" w:bidi="hi-IN"/>
        </w:rPr>
        <w:t>Anveshan</w:t>
      </w:r>
      <w:proofErr w:type="spellEnd"/>
      <w:r w:rsidRPr="00861653">
        <w:rPr>
          <w:rFonts w:ascii="Tahoma" w:eastAsia="Calibri" w:hAnsi="Tahoma" w:cs="Tahoma"/>
          <w:lang w:eastAsia="en-IN" w:bidi="hi-IN"/>
        </w:rPr>
        <w:t xml:space="preserve"> (MA) &amp; appraisal of Extended Continental Shelf (ECS) beyond Exclusive Economic Zone (EEZ) of India is a flagship initiative of the Government of India under the aegis of the Ministry of Petroleum and Natural Gas (</w:t>
      </w:r>
      <w:proofErr w:type="spellStart"/>
      <w:r w:rsidRPr="00861653">
        <w:rPr>
          <w:rFonts w:ascii="Tahoma" w:eastAsia="Calibri" w:hAnsi="Tahoma" w:cs="Tahoma"/>
          <w:lang w:eastAsia="en-IN" w:bidi="hi-IN"/>
        </w:rPr>
        <w:t>MoPNG</w:t>
      </w:r>
      <w:proofErr w:type="spellEnd"/>
      <w:r w:rsidRPr="00861653">
        <w:rPr>
          <w:rFonts w:ascii="Tahoma" w:eastAsia="Calibri" w:hAnsi="Tahoma" w:cs="Tahoma"/>
          <w:lang w:eastAsia="en-IN" w:bidi="hi-IN"/>
        </w:rPr>
        <w:t xml:space="preserve">). </w:t>
      </w:r>
    </w:p>
    <w:p w14:paraId="57C6BD4E" w14:textId="77777777" w:rsidR="00861653" w:rsidRPr="00861653" w:rsidRDefault="00861653" w:rsidP="00861653">
      <w:pPr>
        <w:spacing w:after="120"/>
        <w:ind w:left="617"/>
        <w:jc w:val="both"/>
        <w:rPr>
          <w:rFonts w:ascii="Tahoma" w:eastAsia="Calibri" w:hAnsi="Tahoma" w:cs="Tahoma"/>
          <w:lang w:eastAsia="en-IN" w:bidi="hi-IN"/>
        </w:rPr>
      </w:pPr>
      <w:r w:rsidRPr="00861653">
        <w:rPr>
          <w:rFonts w:ascii="Tahoma" w:eastAsia="Calibri" w:hAnsi="Tahoma" w:cs="Tahoma"/>
          <w:lang w:eastAsia="en-IN" w:bidi="hi-IN"/>
        </w:rPr>
        <w:t xml:space="preserve">Out of the total allocated project quantum of 20,275 LKM 2D seismic API, Oil India (OIL) is entrusted to carry out approx. 9,400 LKM seismic API in the unapprised areas of Rajasthan &amp; Ganga-Punjab Basin with planned profiles covering the states of Rajasthan, Punjab, Bihar &amp; Uttar Pradesh. Oil &amp; Natural Gas Corporation (ONGC) has been entrusted with the remaining quantum of 10,875 LKM covering Krishna-Godavari, </w:t>
      </w:r>
      <w:proofErr w:type="spellStart"/>
      <w:r w:rsidRPr="00861653">
        <w:rPr>
          <w:rFonts w:ascii="Tahoma" w:eastAsia="Calibri" w:hAnsi="Tahoma" w:cs="Tahoma"/>
          <w:lang w:eastAsia="en-IN" w:bidi="hi-IN"/>
        </w:rPr>
        <w:t>Chattisgarh</w:t>
      </w:r>
      <w:proofErr w:type="spellEnd"/>
      <w:r w:rsidRPr="00861653">
        <w:rPr>
          <w:rFonts w:ascii="Tahoma" w:eastAsia="Calibri" w:hAnsi="Tahoma" w:cs="Tahoma"/>
          <w:lang w:eastAsia="en-IN" w:bidi="hi-IN"/>
        </w:rPr>
        <w:t xml:space="preserve"> and </w:t>
      </w:r>
      <w:proofErr w:type="spellStart"/>
      <w:r w:rsidRPr="00861653">
        <w:rPr>
          <w:rFonts w:ascii="Tahoma" w:eastAsia="Calibri" w:hAnsi="Tahoma" w:cs="Tahoma"/>
          <w:lang w:eastAsia="en-IN" w:bidi="hi-IN"/>
        </w:rPr>
        <w:t>Cuddapah</w:t>
      </w:r>
      <w:proofErr w:type="spellEnd"/>
      <w:r w:rsidRPr="00861653">
        <w:rPr>
          <w:rFonts w:ascii="Tahoma" w:eastAsia="Calibri" w:hAnsi="Tahoma" w:cs="Tahoma"/>
          <w:lang w:eastAsia="en-IN" w:bidi="hi-IN"/>
        </w:rPr>
        <w:t>. Similarly, out of the total allocated project quantum of 30,000 LKM offshore 2D seismic API, Oil India limited (OIL) is entrusted to carry out 14,500 LKM 2D seismic API in ECS of Eastern offshore and the remaining 15,500 LKM to be carried out by ONGCL in the western offshore.</w:t>
      </w:r>
    </w:p>
    <w:p w14:paraId="7E592EAD" w14:textId="77777777" w:rsidR="00861653" w:rsidRPr="00861653" w:rsidRDefault="00861653" w:rsidP="00861653">
      <w:pPr>
        <w:numPr>
          <w:ilvl w:val="0"/>
          <w:numId w:val="36"/>
        </w:numPr>
        <w:spacing w:after="120" w:line="259" w:lineRule="auto"/>
        <w:ind w:left="617"/>
        <w:jc w:val="both"/>
        <w:rPr>
          <w:rFonts w:ascii="Tahoma" w:eastAsia="Calibri" w:hAnsi="Tahoma" w:cs="Tahoma"/>
          <w:lang w:eastAsia="en-IN" w:bidi="hi-IN"/>
        </w:rPr>
      </w:pPr>
      <w:r w:rsidRPr="00861653">
        <w:rPr>
          <w:rFonts w:ascii="Tahoma" w:eastAsia="Calibri" w:hAnsi="Tahoma" w:cs="Tahoma"/>
          <w:b/>
          <w:bCs/>
          <w:lang w:eastAsia="en-IN" w:bidi="hi-IN"/>
        </w:rPr>
        <w:t>Opening of No-Go Areas for E&amp;P Activities:</w:t>
      </w:r>
      <w:r w:rsidRPr="00861653">
        <w:rPr>
          <w:rFonts w:ascii="Tahoma" w:eastAsia="Calibri" w:hAnsi="Tahoma" w:cs="Tahoma"/>
          <w:lang w:eastAsia="en-IN" w:bidi="hi-IN"/>
        </w:rPr>
        <w:t xml:space="preserve"> Recently, </w:t>
      </w:r>
      <w:proofErr w:type="spellStart"/>
      <w:r w:rsidRPr="00861653">
        <w:rPr>
          <w:rFonts w:ascii="Tahoma" w:eastAsia="Calibri" w:hAnsi="Tahoma" w:cs="Tahoma"/>
          <w:lang w:eastAsia="en-IN" w:bidi="hi-IN"/>
        </w:rPr>
        <w:t>GoI</w:t>
      </w:r>
      <w:proofErr w:type="spellEnd"/>
      <w:r w:rsidRPr="00861653">
        <w:rPr>
          <w:rFonts w:ascii="Tahoma" w:eastAsia="Calibri" w:hAnsi="Tahoma" w:cs="Tahoma"/>
          <w:lang w:eastAsia="en-IN" w:bidi="hi-IN"/>
        </w:rPr>
        <w:t xml:space="preserve"> has significantly reduced the earlier "No-Go" areas by around 98% and this also includes 99% of area earlier prohibited for security reasons in </w:t>
      </w:r>
      <w:hyperlink r:id="rId6" w:tgtFrame="_blank" w:history="1">
        <w:r w:rsidRPr="00861653">
          <w:rPr>
            <w:rFonts w:ascii="Tahoma" w:eastAsia="Calibri" w:hAnsi="Tahoma" w:cs="Tahoma"/>
            <w:color w:val="000000"/>
            <w:u w:val="single"/>
            <w:lang w:eastAsia="en-IN" w:bidi="hi-IN"/>
          </w:rPr>
          <w:t>India</w:t>
        </w:r>
      </w:hyperlink>
      <w:r w:rsidRPr="00861653">
        <w:rPr>
          <w:rFonts w:ascii="Tahoma" w:eastAsia="Calibri" w:hAnsi="Tahoma" w:cs="Tahoma"/>
          <w:color w:val="000000"/>
          <w:lang w:eastAsia="en-IN" w:bidi="hi-IN"/>
        </w:rPr>
        <w:t>'s</w:t>
      </w:r>
      <w:r w:rsidRPr="00861653">
        <w:rPr>
          <w:rFonts w:ascii="Tahoma" w:eastAsia="Calibri" w:hAnsi="Tahoma" w:cs="Tahoma"/>
          <w:lang w:eastAsia="en-IN" w:bidi="hi-IN"/>
        </w:rPr>
        <w:t xml:space="preserve"> Exclusive Economic Zone (EEZ). The total exempted area from No-Go restriction is around 1 million Sq. Km. </w:t>
      </w:r>
    </w:p>
    <w:p w14:paraId="3E609EC8" w14:textId="77777777" w:rsidR="00861653" w:rsidRPr="00861653" w:rsidRDefault="00861653" w:rsidP="00861653">
      <w:pPr>
        <w:spacing w:after="120"/>
        <w:ind w:left="617"/>
        <w:jc w:val="both"/>
        <w:rPr>
          <w:rFonts w:ascii="Tahoma" w:eastAsia="Calibri" w:hAnsi="Tahoma" w:cs="Tahoma"/>
        </w:rPr>
      </w:pPr>
      <w:r w:rsidRPr="00861653">
        <w:rPr>
          <w:rFonts w:ascii="Tahoma" w:eastAsia="Calibri" w:hAnsi="Tahoma" w:cs="Tahoma"/>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861653">
        <w:rPr>
          <w:rFonts w:ascii="Tahoma" w:eastAsia="Calibri" w:hAnsi="Tahoma" w:cs="Tahoma"/>
        </w:rPr>
        <w:t>ultra deep</w:t>
      </w:r>
      <w:proofErr w:type="spellEnd"/>
      <w:r w:rsidRPr="00861653">
        <w:rPr>
          <w:rFonts w:ascii="Tahoma" w:eastAsia="Calibri" w:hAnsi="Tahoma" w:cs="Tahoma"/>
        </w:rPr>
        <w:t xml:space="preserve"> offshore of the country is being highly encouraged by the Government thereby creating opportunities of making new discoveries and increasing domestic oil and gas production. </w:t>
      </w:r>
    </w:p>
    <w:p w14:paraId="1BB822EB" w14:textId="77777777" w:rsidR="00861653" w:rsidRPr="00861653" w:rsidRDefault="00861653" w:rsidP="00861653">
      <w:pPr>
        <w:spacing w:after="360"/>
        <w:ind w:left="617"/>
        <w:jc w:val="both"/>
        <w:rPr>
          <w:rFonts w:ascii="Tahoma" w:eastAsia="Calibri" w:hAnsi="Tahoma" w:cs="Tahoma"/>
        </w:rPr>
      </w:pPr>
      <w:r w:rsidRPr="00861653">
        <w:rPr>
          <w:rFonts w:ascii="Tahoma" w:eastAsia="Calibri" w:hAnsi="Tahoma" w:cs="Tahoma"/>
        </w:rPr>
        <w:t>Oil India Limited also views this as a significant opportunity and intends to acquire exploration acreages through forthcoming OALP Bid Rounds in these newly opened-up areas. Under OALP Bid Round IX, basis bid opening, OIL has secured 6 blocks as Operator with a total area of 40,590 Sq. Km and 10,965 Sq. KM jointly with ONGCL. Official notification is awaited (Letter of Award &amp; RSC signing is awaited).</w:t>
      </w:r>
    </w:p>
    <w:p w14:paraId="0220570F" w14:textId="77777777" w:rsidR="00861653" w:rsidRPr="00861653" w:rsidRDefault="00861653" w:rsidP="00861653">
      <w:pPr>
        <w:spacing w:before="100" w:beforeAutospacing="1" w:after="100" w:afterAutospacing="1" w:line="259" w:lineRule="auto"/>
        <w:jc w:val="both"/>
        <w:rPr>
          <w:rFonts w:ascii="Tahoma" w:eastAsia="Calibri" w:hAnsi="Tahoma" w:cs="Tahoma"/>
          <w:lang w:eastAsia="en-IN"/>
        </w:rPr>
      </w:pPr>
      <w:r w:rsidRPr="00861653">
        <w:rPr>
          <w:rFonts w:ascii="Tahoma" w:eastAsia="Calibri" w:hAnsi="Tahoma" w:cs="Tahoma"/>
          <w:lang w:eastAsia="en-IN"/>
        </w:rPr>
        <w:t>To maintain a steady growth, OIL is implementing a comprehensive strategy comprising short-, mid-, and long-term measures:</w:t>
      </w:r>
    </w:p>
    <w:p w14:paraId="2DB88B14" w14:textId="77777777" w:rsidR="00861653" w:rsidRPr="00861653" w:rsidRDefault="00861653" w:rsidP="00861653">
      <w:pPr>
        <w:numPr>
          <w:ilvl w:val="0"/>
          <w:numId w:val="35"/>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Short-term Measures</w:t>
      </w:r>
      <w:r w:rsidRPr="00861653">
        <w:rPr>
          <w:rFonts w:ascii="Tahoma" w:eastAsia="Calibri" w:hAnsi="Tahoma" w:cs="Tahoma"/>
          <w:lang w:eastAsia="en-IN"/>
        </w:rPr>
        <w:t>: These include well intervention activities and the immediate induction of new technologies to address operational challenges.</w:t>
      </w:r>
    </w:p>
    <w:p w14:paraId="1BBC53B0" w14:textId="77777777" w:rsidR="00861653" w:rsidRPr="00861653" w:rsidRDefault="00861653" w:rsidP="00861653">
      <w:pPr>
        <w:numPr>
          <w:ilvl w:val="0"/>
          <w:numId w:val="35"/>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Mid-term Measures</w:t>
      </w:r>
      <w:r w:rsidRPr="00861653">
        <w:rPr>
          <w:rFonts w:ascii="Tahoma" w:eastAsia="Calibri" w:hAnsi="Tahoma" w:cs="Tahoma"/>
          <w:lang w:eastAsia="en-IN"/>
        </w:rPr>
        <w:t>: Creation of surface facilities to remove bottlenecks and facilitate smoother production processes.</w:t>
      </w:r>
    </w:p>
    <w:p w14:paraId="22E3541E" w14:textId="77777777" w:rsidR="00861653" w:rsidRPr="00861653" w:rsidRDefault="00861653" w:rsidP="00861653">
      <w:pPr>
        <w:numPr>
          <w:ilvl w:val="0"/>
          <w:numId w:val="35"/>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Long-term Measures</w:t>
      </w:r>
      <w:r w:rsidRPr="00861653">
        <w:rPr>
          <w:rFonts w:ascii="Tahoma" w:eastAsia="Calibri" w:hAnsi="Tahoma" w:cs="Tahoma"/>
          <w:lang w:eastAsia="en-IN"/>
        </w:rPr>
        <w:t>: Maximizing recovery from mature fields through advanced IOR/EOR techniques.</w:t>
      </w:r>
    </w:p>
    <w:p w14:paraId="061EB9D3" w14:textId="77777777" w:rsidR="00861653" w:rsidRPr="00861653" w:rsidRDefault="00861653" w:rsidP="00861653">
      <w:pPr>
        <w:spacing w:before="100" w:beforeAutospacing="1" w:after="100" w:afterAutospacing="1" w:line="259" w:lineRule="auto"/>
        <w:jc w:val="both"/>
        <w:rPr>
          <w:rFonts w:ascii="Tahoma" w:eastAsia="Calibri" w:hAnsi="Tahoma" w:cs="Tahoma"/>
          <w:lang w:eastAsia="en-IN"/>
        </w:rPr>
      </w:pPr>
      <w:r w:rsidRPr="00861653">
        <w:rPr>
          <w:rFonts w:ascii="Tahoma" w:eastAsia="Calibri" w:hAnsi="Tahoma" w:cs="Tahoma"/>
          <w:lang w:eastAsia="en-IN"/>
        </w:rPr>
        <w:t>Based on above measures, OIL has undertaken several specific efforts to enhance production, as outlined below:</w:t>
      </w:r>
    </w:p>
    <w:p w14:paraId="63CB8C99"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lastRenderedPageBreak/>
        <w:t>Fast-track Development</w:t>
      </w:r>
      <w:r w:rsidRPr="00861653">
        <w:rPr>
          <w:rFonts w:ascii="Tahoma" w:eastAsia="Calibri" w:hAnsi="Tahoma" w:cs="Tahoma"/>
          <w:lang w:eastAsia="en-IN"/>
        </w:rPr>
        <w:t>: Accelerated development of identified producing fields to maximize output.</w:t>
      </w:r>
    </w:p>
    <w:p w14:paraId="12DDA539"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Early Monetization of Discoveries</w:t>
      </w:r>
      <w:r w:rsidRPr="00861653">
        <w:rPr>
          <w:rFonts w:ascii="Tahoma" w:eastAsia="Calibri" w:hAnsi="Tahoma" w:cs="Tahoma"/>
          <w:lang w:eastAsia="en-IN"/>
        </w:rPr>
        <w:t>: Prioritizing the rapid monetization of economically viable discoveries, ensuring no feasible discovery remains unutilized.</w:t>
      </w:r>
    </w:p>
    <w:p w14:paraId="5C1834CD"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Improving Recovery Rates</w:t>
      </w:r>
      <w:r w:rsidRPr="00861653">
        <w:rPr>
          <w:rFonts w:ascii="Tahoma" w:eastAsia="Calibri" w:hAnsi="Tahoma" w:cs="Tahoma"/>
          <w:lang w:eastAsia="en-IN"/>
        </w:rPr>
        <w:t>: Increasing recovery factors through the implementation of advanced IOR (Improved Oil Recovery) and EOR (Enhanced Oil Recovery) techniques.</w:t>
      </w:r>
    </w:p>
    <w:p w14:paraId="27AE860C"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Infill Drilling</w:t>
      </w:r>
      <w:r w:rsidRPr="00861653">
        <w:rPr>
          <w:rFonts w:ascii="Tahoma" w:eastAsia="Calibri" w:hAnsi="Tahoma" w:cs="Tahoma"/>
          <w:lang w:eastAsia="en-IN"/>
        </w:rPr>
        <w:t>: Drilling additional wells within existing fields to maximize resource extraction.</w:t>
      </w:r>
    </w:p>
    <w:p w14:paraId="6D595193"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Revival of Sick Wells</w:t>
      </w:r>
      <w:r w:rsidRPr="00861653">
        <w:rPr>
          <w:rFonts w:ascii="Tahoma" w:eastAsia="Calibri" w:hAnsi="Tahoma" w:cs="Tahoma"/>
          <w:lang w:eastAsia="en-IN"/>
        </w:rPr>
        <w:t>: Monetizing underperforming or "sick" wells with the support of innovative technologies.</w:t>
      </w:r>
    </w:p>
    <w:p w14:paraId="169B5EBA"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Leveraging Untapped Potential</w:t>
      </w:r>
      <w:r w:rsidRPr="00861653">
        <w:rPr>
          <w:rFonts w:ascii="Tahoma" w:eastAsia="Calibri" w:hAnsi="Tahoma" w:cs="Tahoma"/>
          <w:lang w:eastAsia="en-IN"/>
        </w:rPr>
        <w:t>: Recovering missed opportunities by extracting production from previously untested zones in existing wells.</w:t>
      </w:r>
    </w:p>
    <w:p w14:paraId="618DD5D1"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Upgrading Infrastructure</w:t>
      </w:r>
      <w:r w:rsidRPr="00861653">
        <w:rPr>
          <w:rFonts w:ascii="Tahoma" w:eastAsia="Calibri" w:hAnsi="Tahoma" w:cs="Tahoma"/>
          <w:lang w:eastAsia="en-IN"/>
        </w:rPr>
        <w:t>: Enhancing surface infrastructure to improve oil and gas production efficiency.</w:t>
      </w:r>
    </w:p>
    <w:p w14:paraId="1950A15F"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Technological Success</w:t>
      </w:r>
      <w:r w:rsidRPr="00861653">
        <w:rPr>
          <w:rFonts w:ascii="Tahoma" w:eastAsia="Calibri" w:hAnsi="Tahoma" w:cs="Tahoma"/>
          <w:lang w:eastAsia="en-IN"/>
        </w:rPr>
        <w:t xml:space="preserve">: Successfully implementing Cyclic Steam Stimulation technology in the </w:t>
      </w:r>
      <w:proofErr w:type="spellStart"/>
      <w:r w:rsidRPr="00861653">
        <w:rPr>
          <w:rFonts w:ascii="Tahoma" w:eastAsia="Calibri" w:hAnsi="Tahoma" w:cs="Tahoma"/>
          <w:lang w:eastAsia="en-IN"/>
        </w:rPr>
        <w:t>Baghewala</w:t>
      </w:r>
      <w:proofErr w:type="spellEnd"/>
      <w:r w:rsidRPr="00861653">
        <w:rPr>
          <w:rFonts w:ascii="Tahoma" w:eastAsia="Calibri" w:hAnsi="Tahoma" w:cs="Tahoma"/>
          <w:lang w:eastAsia="en-IN"/>
        </w:rPr>
        <w:t xml:space="preserve"> Heavy Oil Field in Rajasthan, a significant step in boosting production from heavy oil reserves.</w:t>
      </w:r>
    </w:p>
    <w:p w14:paraId="454B894F" w14:textId="77777777" w:rsidR="00861653" w:rsidRPr="00861653" w:rsidRDefault="00861653" w:rsidP="00861653">
      <w:pPr>
        <w:numPr>
          <w:ilvl w:val="0"/>
          <w:numId w:val="34"/>
        </w:numPr>
        <w:spacing w:before="100" w:beforeAutospacing="1" w:after="100" w:afterAutospacing="1" w:line="259" w:lineRule="auto"/>
        <w:ind w:left="617"/>
        <w:jc w:val="both"/>
        <w:rPr>
          <w:rFonts w:ascii="Tahoma" w:eastAsia="Calibri" w:hAnsi="Tahoma" w:cs="Tahoma"/>
          <w:lang w:eastAsia="en-IN"/>
        </w:rPr>
      </w:pPr>
      <w:r w:rsidRPr="00861653">
        <w:rPr>
          <w:rFonts w:ascii="Tahoma" w:eastAsia="Calibri" w:hAnsi="Tahoma" w:cs="Tahoma"/>
          <w:b/>
          <w:bCs/>
          <w:lang w:eastAsia="en-IN"/>
        </w:rPr>
        <w:t>Resource Augmentation</w:t>
      </w:r>
      <w:r w:rsidRPr="00861653">
        <w:rPr>
          <w:rFonts w:ascii="Tahoma" w:eastAsia="Calibri" w:hAnsi="Tahoma" w:cs="Tahoma"/>
          <w:lang w:eastAsia="en-IN"/>
        </w:rPr>
        <w:t>: Strengthening operational resources through measures such as increasing the availability of workover rigs, replacing older drilling rigs with advanced VFD (Variable Frequency Drive) technology, expanding artificial lifting capabilities, and integrating digital technologies for operational excellence.</w:t>
      </w:r>
    </w:p>
    <w:p w14:paraId="7DDF86B2" w14:textId="77777777" w:rsidR="00861653" w:rsidRPr="00861653" w:rsidRDefault="00861653" w:rsidP="00861653">
      <w:pPr>
        <w:spacing w:after="160"/>
        <w:jc w:val="both"/>
        <w:rPr>
          <w:rFonts w:ascii="Tahoma" w:eastAsia="Calibri" w:hAnsi="Tahoma" w:cs="Tahoma"/>
        </w:rPr>
      </w:pPr>
      <w:r w:rsidRPr="00861653">
        <w:rPr>
          <w:rFonts w:ascii="Tahoma" w:eastAsia="Calibri" w:hAnsi="Tahoma" w:cs="Tahoma"/>
        </w:rPr>
        <w:t>Apart from these, OIL is also venturing out to Green Energy Business for contributing towards energy transition keeping in mind countries objectives to become at Net Zero country by 2070. OIL’s own target to become Net Zero by 2040. To look after the green activities, OIL’s wholly own subsidiary “Oil India Green Energy Ltd” recently formed. Some of the initiatives are as follows:</w:t>
      </w:r>
    </w:p>
    <w:p w14:paraId="033F4331" w14:textId="77777777" w:rsidR="00861653" w:rsidRPr="00861653" w:rsidRDefault="00861653" w:rsidP="00861653">
      <w:pPr>
        <w:spacing w:after="160"/>
        <w:jc w:val="both"/>
        <w:rPr>
          <w:rFonts w:ascii="Tahoma" w:eastAsia="Calibri" w:hAnsi="Tahoma" w:cs="Tahoma"/>
        </w:rPr>
      </w:pPr>
    </w:p>
    <w:p w14:paraId="2D017143"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Investment in Alternate energy like Solar &amp; Wind. A total of 188 MW (174 MW wind &amp; 14 MW Solar) already operational. In addition, MoU with APDCL/AEGCL has be signed for few projects at Assam (650 MW). Another project of 25 MW with AEGCL is under progress.</w:t>
      </w:r>
    </w:p>
    <w:p w14:paraId="2B62F59B"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Production of Green Hydrogen. One pilot project 30 KG per day is already in operational in Jorhat, Assam. Two projects are under progress.</w:t>
      </w:r>
    </w:p>
    <w:p w14:paraId="0E74F2C2"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As per the mandate of ministry, OIL is actively associated with Compressed Bio Gas (CBG) plants. OIL has already identified 28 projects and jobs in few of them already initiated.</w:t>
      </w:r>
    </w:p>
    <w:p w14:paraId="3791BFD7"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Initiatives underway for Geothermal energy, CCS (</w:t>
      </w:r>
      <w:proofErr w:type="spellStart"/>
      <w:r w:rsidRPr="00861653">
        <w:rPr>
          <w:rFonts w:ascii="Tahoma" w:eastAsia="Calibri" w:hAnsi="Tahoma" w:cs="Tahoma"/>
        </w:rPr>
        <w:t>Cabon</w:t>
      </w:r>
      <w:proofErr w:type="spellEnd"/>
      <w:r w:rsidRPr="00861653">
        <w:rPr>
          <w:rFonts w:ascii="Tahoma" w:eastAsia="Calibri" w:hAnsi="Tahoma" w:cs="Tahoma"/>
        </w:rPr>
        <w:t xml:space="preserve"> Capture &amp; Sequestration), Exploration &amp; Production of Critical Mineral etc.</w:t>
      </w:r>
    </w:p>
    <w:p w14:paraId="6D7959E5" w14:textId="77777777" w:rsidR="00861653" w:rsidRPr="00861653" w:rsidRDefault="00861653" w:rsidP="00861653">
      <w:pPr>
        <w:numPr>
          <w:ilvl w:val="0"/>
          <w:numId w:val="37"/>
        </w:numPr>
        <w:spacing w:after="0" w:line="259" w:lineRule="auto"/>
        <w:contextualSpacing/>
        <w:jc w:val="both"/>
        <w:rPr>
          <w:rFonts w:ascii="Tahoma" w:eastAsia="Calibri" w:hAnsi="Tahoma" w:cs="Tahoma"/>
        </w:rPr>
      </w:pPr>
      <w:r w:rsidRPr="00861653">
        <w:rPr>
          <w:rFonts w:ascii="Tahoma" w:eastAsia="Calibri" w:hAnsi="Tahoma" w:cs="Tahoma"/>
        </w:rPr>
        <w:t xml:space="preserve">OIL’s Subsidiary NRL is going to commission a 50 KTA bio refinery. This will contribute to meet the objective of 20% blending. </w:t>
      </w:r>
    </w:p>
    <w:p w14:paraId="637A8845" w14:textId="77777777" w:rsidR="00861653" w:rsidRPr="00861653" w:rsidRDefault="00861653" w:rsidP="00861653">
      <w:pPr>
        <w:spacing w:after="160"/>
        <w:jc w:val="both"/>
        <w:rPr>
          <w:rFonts w:ascii="Tahoma" w:eastAsia="Calibri" w:hAnsi="Tahoma" w:cs="Tahoma"/>
        </w:rPr>
      </w:pPr>
    </w:p>
    <w:p w14:paraId="6ECAB66D" w14:textId="77777777" w:rsidR="00861653" w:rsidRPr="00861653" w:rsidRDefault="00861653" w:rsidP="00861653">
      <w:pPr>
        <w:spacing w:after="160"/>
        <w:jc w:val="both"/>
        <w:rPr>
          <w:rFonts w:ascii="Tahoma" w:eastAsia="Calibri" w:hAnsi="Tahoma" w:cs="Tahoma"/>
        </w:rPr>
      </w:pPr>
      <w:r w:rsidRPr="00861653">
        <w:rPr>
          <w:rFonts w:ascii="Tahoma" w:eastAsia="Calibri" w:hAnsi="Tahoma" w:cs="Tahoma"/>
        </w:rPr>
        <w:t>As envisaged by energy experts, for India, fossil fuels will continue to be a part of the energy mix for the foreseeable future, but steadily move towards the transitioning to cleaner energy sources. Therefore, the approach would be to balance the energy transition while ensuring energy security, stability, and affordability for all citizens.</w:t>
      </w:r>
    </w:p>
    <w:p w14:paraId="6ECBF4D2" w14:textId="77777777" w:rsidR="00861653" w:rsidRPr="00CE5DA4" w:rsidRDefault="00861653" w:rsidP="00861653">
      <w:pPr>
        <w:spacing w:after="0" w:line="240" w:lineRule="auto"/>
        <w:ind w:right="-482"/>
        <w:rPr>
          <w:rFonts w:ascii="Tahoma" w:hAnsi="Tahoma" w:cs="Tahoma"/>
          <w:b/>
          <w:u w:val="single"/>
          <w:lang w:val="en-US"/>
        </w:rPr>
      </w:pPr>
    </w:p>
    <w:sectPr w:rsidR="00861653" w:rsidRPr="00CE5DA4" w:rsidSect="008B7CBA">
      <w:pgSz w:w="11906" w:h="16838"/>
      <w:pgMar w:top="1134"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99E24B9"/>
    <w:multiLevelType w:val="hybridMultilevel"/>
    <w:tmpl w:val="C452FE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4"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9"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1"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9235D1C"/>
    <w:multiLevelType w:val="multilevel"/>
    <w:tmpl w:val="78863E4C"/>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4F848BB"/>
    <w:multiLevelType w:val="multilevel"/>
    <w:tmpl w:val="E7983D9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9"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A394A5F"/>
    <w:multiLevelType w:val="hybridMultilevel"/>
    <w:tmpl w:val="681A11D0"/>
    <w:lvl w:ilvl="0" w:tplc="4009001B">
      <w:start w:val="1"/>
      <w:numFmt w:val="lowerRoman"/>
      <w:lvlText w:val="%1."/>
      <w:lvlJc w:val="righ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2"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4" w15:restartNumberingAfterBreak="0">
    <w:nsid w:val="76061C90"/>
    <w:multiLevelType w:val="hybridMultilevel"/>
    <w:tmpl w:val="0D7212A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6"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7" w15:restartNumberingAfterBreak="0">
    <w:nsid w:val="7F571397"/>
    <w:multiLevelType w:val="hybridMultilevel"/>
    <w:tmpl w:val="03E47DD4"/>
    <w:lvl w:ilvl="0" w:tplc="4009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3"/>
  </w:num>
  <w:num w:numId="7">
    <w:abstractNumId w:val="5"/>
  </w:num>
  <w:num w:numId="8">
    <w:abstractNumId w:val="10"/>
  </w:num>
  <w:num w:numId="9">
    <w:abstractNumId w:val="19"/>
  </w:num>
  <w:num w:numId="10">
    <w:abstractNumId w:val="35"/>
  </w:num>
  <w:num w:numId="11">
    <w:abstractNumId w:val="18"/>
  </w:num>
  <w:num w:numId="12">
    <w:abstractNumId w:val="16"/>
  </w:num>
  <w:num w:numId="13">
    <w:abstractNumId w:val="27"/>
  </w:num>
  <w:num w:numId="14">
    <w:abstractNumId w:val="21"/>
  </w:num>
  <w:num w:numId="15">
    <w:abstractNumId w:val="30"/>
  </w:num>
  <w:num w:numId="16">
    <w:abstractNumId w:val="14"/>
  </w:num>
  <w:num w:numId="17">
    <w:abstractNumId w:val="15"/>
  </w:num>
  <w:num w:numId="18">
    <w:abstractNumId w:val="11"/>
  </w:num>
  <w:num w:numId="19">
    <w:abstractNumId w:val="24"/>
  </w:num>
  <w:num w:numId="20">
    <w:abstractNumId w:val="25"/>
  </w:num>
  <w:num w:numId="21">
    <w:abstractNumId w:val="4"/>
  </w:num>
  <w:num w:numId="22">
    <w:abstractNumId w:val="33"/>
  </w:num>
  <w:num w:numId="23">
    <w:abstractNumId w:val="22"/>
  </w:num>
  <w:num w:numId="24">
    <w:abstractNumId w:val="17"/>
  </w:num>
  <w:num w:numId="25">
    <w:abstractNumId w:val="9"/>
  </w:num>
  <w:num w:numId="26">
    <w:abstractNumId w:val="6"/>
  </w:num>
  <w:num w:numId="27">
    <w:abstractNumId w:val="2"/>
  </w:num>
  <w:num w:numId="28">
    <w:abstractNumId w:val="29"/>
  </w:num>
  <w:num w:numId="29">
    <w:abstractNumId w:val="32"/>
  </w:num>
  <w:num w:numId="3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20"/>
    <w:lvlOverride w:ilvl="0">
      <w:startOverride w:val="1"/>
    </w:lvlOverride>
    <w:lvlOverride w:ilvl="1"/>
    <w:lvlOverride w:ilvl="2"/>
    <w:lvlOverride w:ilvl="3"/>
    <w:lvlOverride w:ilvl="4"/>
    <w:lvlOverride w:ilvl="5"/>
    <w:lvlOverride w:ilvl="6"/>
    <w:lvlOverride w:ilvl="7"/>
    <w:lvlOverride w:ilvl="8"/>
  </w:num>
  <w:num w:numId="33">
    <w:abstractNumId w:val="12"/>
  </w:num>
  <w:num w:numId="34">
    <w:abstractNumId w:val="28"/>
  </w:num>
  <w:num w:numId="35">
    <w:abstractNumId w:val="26"/>
  </w:num>
  <w:num w:numId="36">
    <w:abstractNumId w:val="31"/>
  </w:num>
  <w:num w:numId="37">
    <w:abstractNumId w:val="37"/>
  </w:num>
  <w:num w:numId="38">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09A2"/>
    <w:rsid w:val="000A2F38"/>
    <w:rsid w:val="000B6878"/>
    <w:rsid w:val="000B717E"/>
    <w:rsid w:val="000C5B3E"/>
    <w:rsid w:val="000C6679"/>
    <w:rsid w:val="000F07AB"/>
    <w:rsid w:val="000F5C49"/>
    <w:rsid w:val="00106CAF"/>
    <w:rsid w:val="001151F2"/>
    <w:rsid w:val="00133A75"/>
    <w:rsid w:val="001352A6"/>
    <w:rsid w:val="001360E3"/>
    <w:rsid w:val="001368FD"/>
    <w:rsid w:val="001465BD"/>
    <w:rsid w:val="00157286"/>
    <w:rsid w:val="00172997"/>
    <w:rsid w:val="00175FC8"/>
    <w:rsid w:val="001A119F"/>
    <w:rsid w:val="001A2608"/>
    <w:rsid w:val="001A27F8"/>
    <w:rsid w:val="001B4C58"/>
    <w:rsid w:val="001C6223"/>
    <w:rsid w:val="001E301A"/>
    <w:rsid w:val="001F253B"/>
    <w:rsid w:val="002254E2"/>
    <w:rsid w:val="00230158"/>
    <w:rsid w:val="00235041"/>
    <w:rsid w:val="00261595"/>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179D3"/>
    <w:rsid w:val="0032755B"/>
    <w:rsid w:val="00335C1C"/>
    <w:rsid w:val="00345A27"/>
    <w:rsid w:val="00350D11"/>
    <w:rsid w:val="003544AE"/>
    <w:rsid w:val="003601F4"/>
    <w:rsid w:val="00393FB4"/>
    <w:rsid w:val="003A5087"/>
    <w:rsid w:val="003B2588"/>
    <w:rsid w:val="003C0FC2"/>
    <w:rsid w:val="003C732A"/>
    <w:rsid w:val="003D0647"/>
    <w:rsid w:val="003E2531"/>
    <w:rsid w:val="003E3F64"/>
    <w:rsid w:val="003E4220"/>
    <w:rsid w:val="003F0C3B"/>
    <w:rsid w:val="003F381E"/>
    <w:rsid w:val="003F39FC"/>
    <w:rsid w:val="004040E1"/>
    <w:rsid w:val="0041688D"/>
    <w:rsid w:val="0042311F"/>
    <w:rsid w:val="0044759C"/>
    <w:rsid w:val="00463A0C"/>
    <w:rsid w:val="004A407D"/>
    <w:rsid w:val="004A4DED"/>
    <w:rsid w:val="004B1CCA"/>
    <w:rsid w:val="004B712C"/>
    <w:rsid w:val="004C1BDE"/>
    <w:rsid w:val="004C32CD"/>
    <w:rsid w:val="004D19E8"/>
    <w:rsid w:val="004D2246"/>
    <w:rsid w:val="004E0098"/>
    <w:rsid w:val="004E0DDE"/>
    <w:rsid w:val="004E3BD3"/>
    <w:rsid w:val="004E599F"/>
    <w:rsid w:val="004F7AD1"/>
    <w:rsid w:val="005063D6"/>
    <w:rsid w:val="005068B1"/>
    <w:rsid w:val="00506AF9"/>
    <w:rsid w:val="00520031"/>
    <w:rsid w:val="00524BCB"/>
    <w:rsid w:val="00527190"/>
    <w:rsid w:val="00532449"/>
    <w:rsid w:val="00551830"/>
    <w:rsid w:val="00556073"/>
    <w:rsid w:val="00562579"/>
    <w:rsid w:val="005632FA"/>
    <w:rsid w:val="005765F5"/>
    <w:rsid w:val="00587F15"/>
    <w:rsid w:val="005910DF"/>
    <w:rsid w:val="00594A78"/>
    <w:rsid w:val="005C7452"/>
    <w:rsid w:val="005D0D7B"/>
    <w:rsid w:val="005D7917"/>
    <w:rsid w:val="005E0D47"/>
    <w:rsid w:val="005E1023"/>
    <w:rsid w:val="005E43DE"/>
    <w:rsid w:val="005F1C0F"/>
    <w:rsid w:val="005F36D0"/>
    <w:rsid w:val="00603405"/>
    <w:rsid w:val="00612609"/>
    <w:rsid w:val="00616CCE"/>
    <w:rsid w:val="00631EB0"/>
    <w:rsid w:val="00645BD2"/>
    <w:rsid w:val="0064614F"/>
    <w:rsid w:val="00654ECF"/>
    <w:rsid w:val="006702D9"/>
    <w:rsid w:val="00671E00"/>
    <w:rsid w:val="0067744F"/>
    <w:rsid w:val="006914A0"/>
    <w:rsid w:val="006A0F75"/>
    <w:rsid w:val="006A2B11"/>
    <w:rsid w:val="006A7AF4"/>
    <w:rsid w:val="006B5433"/>
    <w:rsid w:val="006C405C"/>
    <w:rsid w:val="006E5B6B"/>
    <w:rsid w:val="006F2F7A"/>
    <w:rsid w:val="006F5F9D"/>
    <w:rsid w:val="00700063"/>
    <w:rsid w:val="00702DC3"/>
    <w:rsid w:val="00707A79"/>
    <w:rsid w:val="007102AE"/>
    <w:rsid w:val="00715CA5"/>
    <w:rsid w:val="00724C3D"/>
    <w:rsid w:val="00736ED4"/>
    <w:rsid w:val="007420CA"/>
    <w:rsid w:val="007601BC"/>
    <w:rsid w:val="00787588"/>
    <w:rsid w:val="007918D9"/>
    <w:rsid w:val="007A2889"/>
    <w:rsid w:val="007B1B7A"/>
    <w:rsid w:val="007B5BAF"/>
    <w:rsid w:val="007C79E3"/>
    <w:rsid w:val="007D5571"/>
    <w:rsid w:val="007D7027"/>
    <w:rsid w:val="007F0CFA"/>
    <w:rsid w:val="00801D06"/>
    <w:rsid w:val="00801DB7"/>
    <w:rsid w:val="00801E6E"/>
    <w:rsid w:val="008172AC"/>
    <w:rsid w:val="00820CA7"/>
    <w:rsid w:val="00843CD3"/>
    <w:rsid w:val="008506B3"/>
    <w:rsid w:val="00851623"/>
    <w:rsid w:val="0085767A"/>
    <w:rsid w:val="00861653"/>
    <w:rsid w:val="00884A02"/>
    <w:rsid w:val="008875A6"/>
    <w:rsid w:val="0089111D"/>
    <w:rsid w:val="0089558B"/>
    <w:rsid w:val="008B23B3"/>
    <w:rsid w:val="008B492E"/>
    <w:rsid w:val="008B7CBA"/>
    <w:rsid w:val="008D1ADC"/>
    <w:rsid w:val="008F4256"/>
    <w:rsid w:val="00910D7E"/>
    <w:rsid w:val="00912768"/>
    <w:rsid w:val="00916452"/>
    <w:rsid w:val="00920CFB"/>
    <w:rsid w:val="00930CB0"/>
    <w:rsid w:val="00931D33"/>
    <w:rsid w:val="00941EAA"/>
    <w:rsid w:val="00946607"/>
    <w:rsid w:val="00952273"/>
    <w:rsid w:val="00954933"/>
    <w:rsid w:val="009661E8"/>
    <w:rsid w:val="009750EE"/>
    <w:rsid w:val="00985256"/>
    <w:rsid w:val="009A2F73"/>
    <w:rsid w:val="009A4EE9"/>
    <w:rsid w:val="009A6888"/>
    <w:rsid w:val="009B54ED"/>
    <w:rsid w:val="009C5163"/>
    <w:rsid w:val="009C57D9"/>
    <w:rsid w:val="009C5C57"/>
    <w:rsid w:val="009C7F2F"/>
    <w:rsid w:val="009E562D"/>
    <w:rsid w:val="009F343A"/>
    <w:rsid w:val="00A06BB3"/>
    <w:rsid w:val="00A36610"/>
    <w:rsid w:val="00A3735E"/>
    <w:rsid w:val="00A41779"/>
    <w:rsid w:val="00A41B22"/>
    <w:rsid w:val="00A44F46"/>
    <w:rsid w:val="00A67BEF"/>
    <w:rsid w:val="00A92834"/>
    <w:rsid w:val="00B126E4"/>
    <w:rsid w:val="00B234E6"/>
    <w:rsid w:val="00B32638"/>
    <w:rsid w:val="00B3384E"/>
    <w:rsid w:val="00B475C0"/>
    <w:rsid w:val="00B50E79"/>
    <w:rsid w:val="00B71914"/>
    <w:rsid w:val="00B75BEB"/>
    <w:rsid w:val="00B810F9"/>
    <w:rsid w:val="00BC0366"/>
    <w:rsid w:val="00BC4C9F"/>
    <w:rsid w:val="00BC74A8"/>
    <w:rsid w:val="00BD30F6"/>
    <w:rsid w:val="00BD5E52"/>
    <w:rsid w:val="00BE2646"/>
    <w:rsid w:val="00BE27FC"/>
    <w:rsid w:val="00BE6EAD"/>
    <w:rsid w:val="00BF024B"/>
    <w:rsid w:val="00C07081"/>
    <w:rsid w:val="00C072CF"/>
    <w:rsid w:val="00C1363F"/>
    <w:rsid w:val="00C31228"/>
    <w:rsid w:val="00C31D7F"/>
    <w:rsid w:val="00C34382"/>
    <w:rsid w:val="00C36D47"/>
    <w:rsid w:val="00C405F2"/>
    <w:rsid w:val="00C42C3F"/>
    <w:rsid w:val="00C436AE"/>
    <w:rsid w:val="00C53EE1"/>
    <w:rsid w:val="00C623D5"/>
    <w:rsid w:val="00C62C3F"/>
    <w:rsid w:val="00C63D71"/>
    <w:rsid w:val="00C64C8A"/>
    <w:rsid w:val="00C721F8"/>
    <w:rsid w:val="00C84AF1"/>
    <w:rsid w:val="00C91076"/>
    <w:rsid w:val="00C968B7"/>
    <w:rsid w:val="00CA3E7A"/>
    <w:rsid w:val="00CB2C12"/>
    <w:rsid w:val="00CB7949"/>
    <w:rsid w:val="00CD1769"/>
    <w:rsid w:val="00CE5DA4"/>
    <w:rsid w:val="00CF1922"/>
    <w:rsid w:val="00D03791"/>
    <w:rsid w:val="00D04540"/>
    <w:rsid w:val="00D079D3"/>
    <w:rsid w:val="00D10942"/>
    <w:rsid w:val="00D11D57"/>
    <w:rsid w:val="00D2423C"/>
    <w:rsid w:val="00D3393F"/>
    <w:rsid w:val="00D35B49"/>
    <w:rsid w:val="00D41C07"/>
    <w:rsid w:val="00D42DA1"/>
    <w:rsid w:val="00D461B0"/>
    <w:rsid w:val="00D547DA"/>
    <w:rsid w:val="00D55D85"/>
    <w:rsid w:val="00D56ABE"/>
    <w:rsid w:val="00D62161"/>
    <w:rsid w:val="00D6256F"/>
    <w:rsid w:val="00D65242"/>
    <w:rsid w:val="00D66546"/>
    <w:rsid w:val="00D8213C"/>
    <w:rsid w:val="00D86755"/>
    <w:rsid w:val="00D90377"/>
    <w:rsid w:val="00DA33EC"/>
    <w:rsid w:val="00DB6DCD"/>
    <w:rsid w:val="00DD18E7"/>
    <w:rsid w:val="00DD26AF"/>
    <w:rsid w:val="00DE347B"/>
    <w:rsid w:val="00DF1C17"/>
    <w:rsid w:val="00DF270C"/>
    <w:rsid w:val="00E02CD6"/>
    <w:rsid w:val="00E06B03"/>
    <w:rsid w:val="00E37BCB"/>
    <w:rsid w:val="00E44632"/>
    <w:rsid w:val="00E454EE"/>
    <w:rsid w:val="00E569DB"/>
    <w:rsid w:val="00E74050"/>
    <w:rsid w:val="00E869E0"/>
    <w:rsid w:val="00EB0203"/>
    <w:rsid w:val="00EB5F4C"/>
    <w:rsid w:val="00EB6DB5"/>
    <w:rsid w:val="00ED2EBB"/>
    <w:rsid w:val="00ED36D4"/>
    <w:rsid w:val="00EE37B2"/>
    <w:rsid w:val="00EF357F"/>
    <w:rsid w:val="00EF4BEA"/>
    <w:rsid w:val="00F211B3"/>
    <w:rsid w:val="00F21622"/>
    <w:rsid w:val="00F255CA"/>
    <w:rsid w:val="00F264E8"/>
    <w:rsid w:val="00F26A26"/>
    <w:rsid w:val="00F26CC7"/>
    <w:rsid w:val="00F270A6"/>
    <w:rsid w:val="00F34A50"/>
    <w:rsid w:val="00F47FDD"/>
    <w:rsid w:val="00F636E8"/>
    <w:rsid w:val="00F6408C"/>
    <w:rsid w:val="00F90735"/>
    <w:rsid w:val="00F977D6"/>
    <w:rsid w:val="00F97BB8"/>
    <w:rsid w:val="00FB3301"/>
    <w:rsid w:val="00FB3A1A"/>
    <w:rsid w:val="00FC22E2"/>
    <w:rsid w:val="00FC3DD8"/>
    <w:rsid w:val="00FC57B6"/>
    <w:rsid w:val="00FD365A"/>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28983">
      <w:bodyDiv w:val="1"/>
      <w:marLeft w:val="0"/>
      <w:marRight w:val="0"/>
      <w:marTop w:val="0"/>
      <w:marBottom w:val="0"/>
      <w:divBdr>
        <w:top w:val="none" w:sz="0" w:space="0" w:color="auto"/>
        <w:left w:val="none" w:sz="0" w:space="0" w:color="auto"/>
        <w:bottom w:val="none" w:sz="0" w:space="0" w:color="auto"/>
        <w:right w:val="none" w:sz="0" w:space="0" w:color="auto"/>
      </w:divBdr>
    </w:div>
    <w:div w:id="26806504">
      <w:bodyDiv w:val="1"/>
      <w:marLeft w:val="0"/>
      <w:marRight w:val="0"/>
      <w:marTop w:val="0"/>
      <w:marBottom w:val="0"/>
      <w:divBdr>
        <w:top w:val="none" w:sz="0" w:space="0" w:color="auto"/>
        <w:left w:val="none" w:sz="0" w:space="0" w:color="auto"/>
        <w:bottom w:val="none" w:sz="0" w:space="0" w:color="auto"/>
        <w:right w:val="none" w:sz="0" w:space="0" w:color="auto"/>
      </w:divBdr>
    </w:div>
    <w:div w:id="32510422">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36386369">
      <w:bodyDiv w:val="1"/>
      <w:marLeft w:val="0"/>
      <w:marRight w:val="0"/>
      <w:marTop w:val="0"/>
      <w:marBottom w:val="0"/>
      <w:divBdr>
        <w:top w:val="none" w:sz="0" w:space="0" w:color="auto"/>
        <w:left w:val="none" w:sz="0" w:space="0" w:color="auto"/>
        <w:bottom w:val="none" w:sz="0" w:space="0" w:color="auto"/>
        <w:right w:val="none" w:sz="0" w:space="0" w:color="auto"/>
      </w:divBdr>
    </w:div>
    <w:div w:id="142703865">
      <w:bodyDiv w:val="1"/>
      <w:marLeft w:val="0"/>
      <w:marRight w:val="0"/>
      <w:marTop w:val="0"/>
      <w:marBottom w:val="0"/>
      <w:divBdr>
        <w:top w:val="none" w:sz="0" w:space="0" w:color="auto"/>
        <w:left w:val="none" w:sz="0" w:space="0" w:color="auto"/>
        <w:bottom w:val="none" w:sz="0" w:space="0" w:color="auto"/>
        <w:right w:val="none" w:sz="0" w:space="0" w:color="auto"/>
      </w:divBdr>
    </w:div>
    <w:div w:id="171454737">
      <w:bodyDiv w:val="1"/>
      <w:marLeft w:val="0"/>
      <w:marRight w:val="0"/>
      <w:marTop w:val="0"/>
      <w:marBottom w:val="0"/>
      <w:divBdr>
        <w:top w:val="none" w:sz="0" w:space="0" w:color="auto"/>
        <w:left w:val="none" w:sz="0" w:space="0" w:color="auto"/>
        <w:bottom w:val="none" w:sz="0" w:space="0" w:color="auto"/>
        <w:right w:val="none" w:sz="0" w:space="0" w:color="auto"/>
      </w:divBdr>
    </w:div>
    <w:div w:id="290482902">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33654136">
      <w:bodyDiv w:val="1"/>
      <w:marLeft w:val="0"/>
      <w:marRight w:val="0"/>
      <w:marTop w:val="0"/>
      <w:marBottom w:val="0"/>
      <w:divBdr>
        <w:top w:val="none" w:sz="0" w:space="0" w:color="auto"/>
        <w:left w:val="none" w:sz="0" w:space="0" w:color="auto"/>
        <w:bottom w:val="none" w:sz="0" w:space="0" w:color="auto"/>
        <w:right w:val="none" w:sz="0" w:space="0" w:color="auto"/>
      </w:divBdr>
    </w:div>
    <w:div w:id="381909945">
      <w:bodyDiv w:val="1"/>
      <w:marLeft w:val="0"/>
      <w:marRight w:val="0"/>
      <w:marTop w:val="0"/>
      <w:marBottom w:val="0"/>
      <w:divBdr>
        <w:top w:val="none" w:sz="0" w:space="0" w:color="auto"/>
        <w:left w:val="none" w:sz="0" w:space="0" w:color="auto"/>
        <w:bottom w:val="none" w:sz="0" w:space="0" w:color="auto"/>
        <w:right w:val="none" w:sz="0" w:space="0" w:color="auto"/>
      </w:divBdr>
      <w:divsChild>
        <w:div w:id="1233812060">
          <w:marLeft w:val="0"/>
          <w:marRight w:val="0"/>
          <w:marTop w:val="0"/>
          <w:marBottom w:val="0"/>
          <w:divBdr>
            <w:top w:val="none" w:sz="0" w:space="0" w:color="auto"/>
            <w:left w:val="none" w:sz="0" w:space="0" w:color="auto"/>
            <w:bottom w:val="none" w:sz="0" w:space="0" w:color="auto"/>
            <w:right w:val="none" w:sz="0" w:space="0" w:color="auto"/>
          </w:divBdr>
          <w:divsChild>
            <w:div w:id="1578588969">
              <w:marLeft w:val="0"/>
              <w:marRight w:val="0"/>
              <w:marTop w:val="0"/>
              <w:marBottom w:val="0"/>
              <w:divBdr>
                <w:top w:val="none" w:sz="0" w:space="0" w:color="auto"/>
                <w:left w:val="none" w:sz="0" w:space="0" w:color="auto"/>
                <w:bottom w:val="none" w:sz="0" w:space="0" w:color="auto"/>
                <w:right w:val="none" w:sz="0" w:space="0" w:color="auto"/>
              </w:divBdr>
              <w:divsChild>
                <w:div w:id="1237399892">
                  <w:marLeft w:val="0"/>
                  <w:marRight w:val="0"/>
                  <w:marTop w:val="0"/>
                  <w:marBottom w:val="0"/>
                  <w:divBdr>
                    <w:top w:val="none" w:sz="0" w:space="0" w:color="auto"/>
                    <w:left w:val="none" w:sz="0" w:space="0" w:color="auto"/>
                    <w:bottom w:val="none" w:sz="0" w:space="0" w:color="auto"/>
                    <w:right w:val="none" w:sz="0" w:space="0" w:color="auto"/>
                  </w:divBdr>
                  <w:divsChild>
                    <w:div w:id="784613556">
                      <w:marLeft w:val="0"/>
                      <w:marRight w:val="0"/>
                      <w:marTop w:val="0"/>
                      <w:marBottom w:val="0"/>
                      <w:divBdr>
                        <w:top w:val="none" w:sz="0" w:space="0" w:color="auto"/>
                        <w:left w:val="none" w:sz="0" w:space="0" w:color="auto"/>
                        <w:bottom w:val="none" w:sz="0" w:space="0" w:color="auto"/>
                        <w:right w:val="none" w:sz="0" w:space="0" w:color="auto"/>
                      </w:divBdr>
                      <w:divsChild>
                        <w:div w:id="1353727789">
                          <w:marLeft w:val="0"/>
                          <w:marRight w:val="0"/>
                          <w:marTop w:val="0"/>
                          <w:marBottom w:val="0"/>
                          <w:divBdr>
                            <w:top w:val="none" w:sz="0" w:space="0" w:color="auto"/>
                            <w:left w:val="none" w:sz="0" w:space="0" w:color="auto"/>
                            <w:bottom w:val="none" w:sz="0" w:space="0" w:color="auto"/>
                            <w:right w:val="none" w:sz="0" w:space="0" w:color="auto"/>
                          </w:divBdr>
                          <w:divsChild>
                            <w:div w:id="568883274">
                              <w:marLeft w:val="0"/>
                              <w:marRight w:val="0"/>
                              <w:marTop w:val="0"/>
                              <w:marBottom w:val="0"/>
                              <w:divBdr>
                                <w:top w:val="none" w:sz="0" w:space="0" w:color="auto"/>
                                <w:left w:val="none" w:sz="0" w:space="0" w:color="auto"/>
                                <w:bottom w:val="none" w:sz="0" w:space="0" w:color="auto"/>
                                <w:right w:val="none" w:sz="0" w:space="0" w:color="auto"/>
                              </w:divBdr>
                              <w:divsChild>
                                <w:div w:id="1079671771">
                                  <w:marLeft w:val="0"/>
                                  <w:marRight w:val="0"/>
                                  <w:marTop w:val="0"/>
                                  <w:marBottom w:val="0"/>
                                  <w:divBdr>
                                    <w:top w:val="none" w:sz="0" w:space="0" w:color="auto"/>
                                    <w:left w:val="none" w:sz="0" w:space="0" w:color="auto"/>
                                    <w:bottom w:val="none" w:sz="0" w:space="0" w:color="auto"/>
                                    <w:right w:val="none" w:sz="0" w:space="0" w:color="auto"/>
                                  </w:divBdr>
                                  <w:divsChild>
                                    <w:div w:id="30036132">
                                      <w:marLeft w:val="0"/>
                                      <w:marRight w:val="0"/>
                                      <w:marTop w:val="0"/>
                                      <w:marBottom w:val="0"/>
                                      <w:divBdr>
                                        <w:top w:val="none" w:sz="0" w:space="0" w:color="auto"/>
                                        <w:left w:val="none" w:sz="0" w:space="0" w:color="auto"/>
                                        <w:bottom w:val="none" w:sz="0" w:space="0" w:color="auto"/>
                                        <w:right w:val="none" w:sz="0" w:space="0" w:color="auto"/>
                                      </w:divBdr>
                                      <w:divsChild>
                                        <w:div w:id="2023121370">
                                          <w:marLeft w:val="0"/>
                                          <w:marRight w:val="0"/>
                                          <w:marTop w:val="0"/>
                                          <w:marBottom w:val="0"/>
                                          <w:divBdr>
                                            <w:top w:val="none" w:sz="0" w:space="0" w:color="auto"/>
                                            <w:left w:val="none" w:sz="0" w:space="0" w:color="auto"/>
                                            <w:bottom w:val="none" w:sz="0" w:space="0" w:color="auto"/>
                                            <w:right w:val="none" w:sz="0" w:space="0" w:color="auto"/>
                                          </w:divBdr>
                                          <w:divsChild>
                                            <w:div w:id="1742748329">
                                              <w:marLeft w:val="0"/>
                                              <w:marRight w:val="0"/>
                                              <w:marTop w:val="0"/>
                                              <w:marBottom w:val="0"/>
                                              <w:divBdr>
                                                <w:top w:val="none" w:sz="0" w:space="0" w:color="auto"/>
                                                <w:left w:val="none" w:sz="0" w:space="0" w:color="auto"/>
                                                <w:bottom w:val="none" w:sz="0" w:space="0" w:color="auto"/>
                                                <w:right w:val="none" w:sz="0" w:space="0" w:color="auto"/>
                                              </w:divBdr>
                                              <w:divsChild>
                                                <w:div w:id="911814028">
                                                  <w:marLeft w:val="0"/>
                                                  <w:marRight w:val="0"/>
                                                  <w:marTop w:val="0"/>
                                                  <w:marBottom w:val="0"/>
                                                  <w:divBdr>
                                                    <w:top w:val="none" w:sz="0" w:space="0" w:color="auto"/>
                                                    <w:left w:val="none" w:sz="0" w:space="0" w:color="auto"/>
                                                    <w:bottom w:val="none" w:sz="0" w:space="0" w:color="auto"/>
                                                    <w:right w:val="none" w:sz="0" w:space="0" w:color="auto"/>
                                                  </w:divBdr>
                                                  <w:divsChild>
                                                    <w:div w:id="697046569">
                                                      <w:marLeft w:val="0"/>
                                                      <w:marRight w:val="0"/>
                                                      <w:marTop w:val="0"/>
                                                      <w:marBottom w:val="0"/>
                                                      <w:divBdr>
                                                        <w:top w:val="none" w:sz="0" w:space="0" w:color="auto"/>
                                                        <w:left w:val="none" w:sz="0" w:space="0" w:color="auto"/>
                                                        <w:bottom w:val="none" w:sz="0" w:space="0" w:color="auto"/>
                                                        <w:right w:val="none" w:sz="0" w:space="0" w:color="auto"/>
                                                      </w:divBdr>
                                                      <w:divsChild>
                                                        <w:div w:id="553732315">
                                                          <w:marLeft w:val="0"/>
                                                          <w:marRight w:val="0"/>
                                                          <w:marTop w:val="0"/>
                                                          <w:marBottom w:val="0"/>
                                                          <w:divBdr>
                                                            <w:top w:val="none" w:sz="0" w:space="0" w:color="auto"/>
                                                            <w:left w:val="none" w:sz="0" w:space="0" w:color="auto"/>
                                                            <w:bottom w:val="none" w:sz="0" w:space="0" w:color="auto"/>
                                                            <w:right w:val="none" w:sz="0" w:space="0" w:color="auto"/>
                                                          </w:divBdr>
                                                          <w:divsChild>
                                                            <w:div w:id="1910991013">
                                                              <w:marLeft w:val="0"/>
                                                              <w:marRight w:val="0"/>
                                                              <w:marTop w:val="0"/>
                                                              <w:marBottom w:val="0"/>
                                                              <w:divBdr>
                                                                <w:top w:val="none" w:sz="0" w:space="0" w:color="auto"/>
                                                                <w:left w:val="none" w:sz="0" w:space="0" w:color="auto"/>
                                                                <w:bottom w:val="none" w:sz="0" w:space="0" w:color="auto"/>
                                                                <w:right w:val="none" w:sz="0" w:space="0" w:color="auto"/>
                                                              </w:divBdr>
                                                              <w:divsChild>
                                                                <w:div w:id="117143527">
                                                                  <w:marLeft w:val="0"/>
                                                                  <w:marRight w:val="0"/>
                                                                  <w:marTop w:val="0"/>
                                                                  <w:marBottom w:val="0"/>
                                                                  <w:divBdr>
                                                                    <w:top w:val="none" w:sz="0" w:space="0" w:color="auto"/>
                                                                    <w:left w:val="none" w:sz="0" w:space="0" w:color="auto"/>
                                                                    <w:bottom w:val="none" w:sz="0" w:space="0" w:color="auto"/>
                                                                    <w:right w:val="none" w:sz="0" w:space="0" w:color="auto"/>
                                                                  </w:divBdr>
                                                                  <w:divsChild>
                                                                    <w:div w:id="811411392">
                                                                      <w:marLeft w:val="0"/>
                                                                      <w:marRight w:val="0"/>
                                                                      <w:marTop w:val="0"/>
                                                                      <w:marBottom w:val="0"/>
                                                                      <w:divBdr>
                                                                        <w:top w:val="none" w:sz="0" w:space="0" w:color="auto"/>
                                                                        <w:left w:val="none" w:sz="0" w:space="0" w:color="auto"/>
                                                                        <w:bottom w:val="none" w:sz="0" w:space="0" w:color="auto"/>
                                                                        <w:right w:val="none" w:sz="0" w:space="0" w:color="auto"/>
                                                                      </w:divBdr>
                                                                      <w:divsChild>
                                                                        <w:div w:id="1009984072">
                                                                          <w:marLeft w:val="0"/>
                                                                          <w:marRight w:val="0"/>
                                                                          <w:marTop w:val="0"/>
                                                                          <w:marBottom w:val="0"/>
                                                                          <w:divBdr>
                                                                            <w:top w:val="none" w:sz="0" w:space="0" w:color="auto"/>
                                                                            <w:left w:val="none" w:sz="0" w:space="0" w:color="auto"/>
                                                                            <w:bottom w:val="none" w:sz="0" w:space="0" w:color="auto"/>
                                                                            <w:right w:val="none" w:sz="0" w:space="0" w:color="auto"/>
                                                                          </w:divBdr>
                                                                          <w:divsChild>
                                                                            <w:div w:id="1142236764">
                                                                              <w:marLeft w:val="0"/>
                                                                              <w:marRight w:val="0"/>
                                                                              <w:marTop w:val="0"/>
                                                                              <w:marBottom w:val="0"/>
                                                                              <w:divBdr>
                                                                                <w:top w:val="none" w:sz="0" w:space="0" w:color="auto"/>
                                                                                <w:left w:val="none" w:sz="0" w:space="0" w:color="auto"/>
                                                                                <w:bottom w:val="none" w:sz="0" w:space="0" w:color="auto"/>
                                                                                <w:right w:val="none" w:sz="0" w:space="0" w:color="auto"/>
                                                                              </w:divBdr>
                                                                              <w:divsChild>
                                                                                <w:div w:id="1837375815">
                                                                                  <w:marLeft w:val="0"/>
                                                                                  <w:marRight w:val="0"/>
                                                                                  <w:marTop w:val="0"/>
                                                                                  <w:marBottom w:val="0"/>
                                                                                  <w:divBdr>
                                                                                    <w:top w:val="none" w:sz="0" w:space="0" w:color="auto"/>
                                                                                    <w:left w:val="none" w:sz="0" w:space="0" w:color="auto"/>
                                                                                    <w:bottom w:val="none" w:sz="0" w:space="0" w:color="auto"/>
                                                                                    <w:right w:val="none" w:sz="0" w:space="0" w:color="auto"/>
                                                                                  </w:divBdr>
                                                                                  <w:divsChild>
                                                                                    <w:div w:id="2013099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82678053">
      <w:bodyDiv w:val="1"/>
      <w:marLeft w:val="0"/>
      <w:marRight w:val="0"/>
      <w:marTop w:val="0"/>
      <w:marBottom w:val="0"/>
      <w:divBdr>
        <w:top w:val="none" w:sz="0" w:space="0" w:color="auto"/>
        <w:left w:val="none" w:sz="0" w:space="0" w:color="auto"/>
        <w:bottom w:val="none" w:sz="0" w:space="0" w:color="auto"/>
        <w:right w:val="none" w:sz="0" w:space="0" w:color="auto"/>
      </w:divBdr>
    </w:div>
    <w:div w:id="382825020">
      <w:bodyDiv w:val="1"/>
      <w:marLeft w:val="0"/>
      <w:marRight w:val="0"/>
      <w:marTop w:val="0"/>
      <w:marBottom w:val="0"/>
      <w:divBdr>
        <w:top w:val="none" w:sz="0" w:space="0" w:color="auto"/>
        <w:left w:val="none" w:sz="0" w:space="0" w:color="auto"/>
        <w:bottom w:val="none" w:sz="0" w:space="0" w:color="auto"/>
        <w:right w:val="none" w:sz="0" w:space="0" w:color="auto"/>
      </w:divBdr>
    </w:div>
    <w:div w:id="383795862">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23496160">
      <w:bodyDiv w:val="1"/>
      <w:marLeft w:val="0"/>
      <w:marRight w:val="0"/>
      <w:marTop w:val="0"/>
      <w:marBottom w:val="0"/>
      <w:divBdr>
        <w:top w:val="none" w:sz="0" w:space="0" w:color="auto"/>
        <w:left w:val="none" w:sz="0" w:space="0" w:color="auto"/>
        <w:bottom w:val="none" w:sz="0" w:space="0" w:color="auto"/>
        <w:right w:val="none" w:sz="0" w:space="0" w:color="auto"/>
      </w:divBdr>
    </w:div>
    <w:div w:id="430130905">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39246766">
      <w:bodyDiv w:val="1"/>
      <w:marLeft w:val="0"/>
      <w:marRight w:val="0"/>
      <w:marTop w:val="0"/>
      <w:marBottom w:val="0"/>
      <w:divBdr>
        <w:top w:val="none" w:sz="0" w:space="0" w:color="auto"/>
        <w:left w:val="none" w:sz="0" w:space="0" w:color="auto"/>
        <w:bottom w:val="none" w:sz="0" w:space="0" w:color="auto"/>
        <w:right w:val="none" w:sz="0" w:space="0" w:color="auto"/>
      </w:divBdr>
    </w:div>
    <w:div w:id="594873069">
      <w:bodyDiv w:val="1"/>
      <w:marLeft w:val="0"/>
      <w:marRight w:val="0"/>
      <w:marTop w:val="0"/>
      <w:marBottom w:val="0"/>
      <w:divBdr>
        <w:top w:val="none" w:sz="0" w:space="0" w:color="auto"/>
        <w:left w:val="none" w:sz="0" w:space="0" w:color="auto"/>
        <w:bottom w:val="none" w:sz="0" w:space="0" w:color="auto"/>
        <w:right w:val="none" w:sz="0" w:space="0" w:color="auto"/>
      </w:divBdr>
    </w:div>
    <w:div w:id="640964305">
      <w:bodyDiv w:val="1"/>
      <w:marLeft w:val="0"/>
      <w:marRight w:val="0"/>
      <w:marTop w:val="0"/>
      <w:marBottom w:val="0"/>
      <w:divBdr>
        <w:top w:val="none" w:sz="0" w:space="0" w:color="auto"/>
        <w:left w:val="none" w:sz="0" w:space="0" w:color="auto"/>
        <w:bottom w:val="none" w:sz="0" w:space="0" w:color="auto"/>
        <w:right w:val="none" w:sz="0" w:space="0" w:color="auto"/>
      </w:divBdr>
      <w:divsChild>
        <w:div w:id="146944251">
          <w:marLeft w:val="0"/>
          <w:marRight w:val="0"/>
          <w:marTop w:val="0"/>
          <w:marBottom w:val="0"/>
          <w:divBdr>
            <w:top w:val="none" w:sz="0" w:space="0" w:color="auto"/>
            <w:left w:val="none" w:sz="0" w:space="0" w:color="auto"/>
            <w:bottom w:val="none" w:sz="0" w:space="0" w:color="auto"/>
            <w:right w:val="none" w:sz="0" w:space="0" w:color="auto"/>
          </w:divBdr>
        </w:div>
      </w:divsChild>
    </w:div>
    <w:div w:id="650257441">
      <w:bodyDiv w:val="1"/>
      <w:marLeft w:val="0"/>
      <w:marRight w:val="0"/>
      <w:marTop w:val="0"/>
      <w:marBottom w:val="0"/>
      <w:divBdr>
        <w:top w:val="none" w:sz="0" w:space="0" w:color="auto"/>
        <w:left w:val="none" w:sz="0" w:space="0" w:color="auto"/>
        <w:bottom w:val="none" w:sz="0" w:space="0" w:color="auto"/>
        <w:right w:val="none" w:sz="0" w:space="0" w:color="auto"/>
      </w:divBdr>
    </w:div>
    <w:div w:id="698891466">
      <w:bodyDiv w:val="1"/>
      <w:marLeft w:val="0"/>
      <w:marRight w:val="0"/>
      <w:marTop w:val="0"/>
      <w:marBottom w:val="0"/>
      <w:divBdr>
        <w:top w:val="none" w:sz="0" w:space="0" w:color="auto"/>
        <w:left w:val="none" w:sz="0" w:space="0" w:color="auto"/>
        <w:bottom w:val="none" w:sz="0" w:space="0" w:color="auto"/>
        <w:right w:val="none" w:sz="0" w:space="0" w:color="auto"/>
      </w:divBdr>
    </w:div>
    <w:div w:id="733237066">
      <w:bodyDiv w:val="1"/>
      <w:marLeft w:val="0"/>
      <w:marRight w:val="0"/>
      <w:marTop w:val="0"/>
      <w:marBottom w:val="0"/>
      <w:divBdr>
        <w:top w:val="none" w:sz="0" w:space="0" w:color="auto"/>
        <w:left w:val="none" w:sz="0" w:space="0" w:color="auto"/>
        <w:bottom w:val="none" w:sz="0" w:space="0" w:color="auto"/>
        <w:right w:val="none" w:sz="0" w:space="0" w:color="auto"/>
      </w:divBdr>
    </w:div>
    <w:div w:id="759520076">
      <w:bodyDiv w:val="1"/>
      <w:marLeft w:val="0"/>
      <w:marRight w:val="0"/>
      <w:marTop w:val="0"/>
      <w:marBottom w:val="0"/>
      <w:divBdr>
        <w:top w:val="none" w:sz="0" w:space="0" w:color="auto"/>
        <w:left w:val="none" w:sz="0" w:space="0" w:color="auto"/>
        <w:bottom w:val="none" w:sz="0" w:space="0" w:color="auto"/>
        <w:right w:val="none" w:sz="0" w:space="0" w:color="auto"/>
      </w:divBdr>
    </w:div>
    <w:div w:id="822550522">
      <w:bodyDiv w:val="1"/>
      <w:marLeft w:val="0"/>
      <w:marRight w:val="0"/>
      <w:marTop w:val="0"/>
      <w:marBottom w:val="0"/>
      <w:divBdr>
        <w:top w:val="none" w:sz="0" w:space="0" w:color="auto"/>
        <w:left w:val="none" w:sz="0" w:space="0" w:color="auto"/>
        <w:bottom w:val="none" w:sz="0" w:space="0" w:color="auto"/>
        <w:right w:val="none" w:sz="0" w:space="0" w:color="auto"/>
      </w:divBdr>
    </w:div>
    <w:div w:id="859973947">
      <w:bodyDiv w:val="1"/>
      <w:marLeft w:val="0"/>
      <w:marRight w:val="0"/>
      <w:marTop w:val="0"/>
      <w:marBottom w:val="0"/>
      <w:divBdr>
        <w:top w:val="none" w:sz="0" w:space="0" w:color="auto"/>
        <w:left w:val="none" w:sz="0" w:space="0" w:color="auto"/>
        <w:bottom w:val="none" w:sz="0" w:space="0" w:color="auto"/>
        <w:right w:val="none" w:sz="0" w:space="0" w:color="auto"/>
      </w:divBdr>
    </w:div>
    <w:div w:id="879391690">
      <w:bodyDiv w:val="1"/>
      <w:marLeft w:val="0"/>
      <w:marRight w:val="0"/>
      <w:marTop w:val="0"/>
      <w:marBottom w:val="0"/>
      <w:divBdr>
        <w:top w:val="none" w:sz="0" w:space="0" w:color="auto"/>
        <w:left w:val="none" w:sz="0" w:space="0" w:color="auto"/>
        <w:bottom w:val="none" w:sz="0" w:space="0" w:color="auto"/>
        <w:right w:val="none" w:sz="0" w:space="0" w:color="auto"/>
      </w:divBdr>
    </w:div>
    <w:div w:id="893926847">
      <w:bodyDiv w:val="1"/>
      <w:marLeft w:val="0"/>
      <w:marRight w:val="0"/>
      <w:marTop w:val="0"/>
      <w:marBottom w:val="0"/>
      <w:divBdr>
        <w:top w:val="none" w:sz="0" w:space="0" w:color="auto"/>
        <w:left w:val="none" w:sz="0" w:space="0" w:color="auto"/>
        <w:bottom w:val="none" w:sz="0" w:space="0" w:color="auto"/>
        <w:right w:val="none" w:sz="0" w:space="0" w:color="auto"/>
      </w:divBdr>
    </w:div>
    <w:div w:id="905839341">
      <w:bodyDiv w:val="1"/>
      <w:marLeft w:val="0"/>
      <w:marRight w:val="0"/>
      <w:marTop w:val="0"/>
      <w:marBottom w:val="0"/>
      <w:divBdr>
        <w:top w:val="none" w:sz="0" w:space="0" w:color="auto"/>
        <w:left w:val="none" w:sz="0" w:space="0" w:color="auto"/>
        <w:bottom w:val="none" w:sz="0" w:space="0" w:color="auto"/>
        <w:right w:val="none" w:sz="0" w:space="0" w:color="auto"/>
      </w:divBdr>
      <w:divsChild>
        <w:div w:id="1984188024">
          <w:marLeft w:val="0"/>
          <w:marRight w:val="0"/>
          <w:marTop w:val="0"/>
          <w:marBottom w:val="0"/>
          <w:divBdr>
            <w:top w:val="none" w:sz="0" w:space="0" w:color="auto"/>
            <w:left w:val="none" w:sz="0" w:space="0" w:color="auto"/>
            <w:bottom w:val="none" w:sz="0" w:space="0" w:color="auto"/>
            <w:right w:val="none" w:sz="0" w:space="0" w:color="auto"/>
          </w:divBdr>
          <w:divsChild>
            <w:div w:id="2030332081">
              <w:marLeft w:val="0"/>
              <w:marRight w:val="0"/>
              <w:marTop w:val="0"/>
              <w:marBottom w:val="0"/>
              <w:divBdr>
                <w:top w:val="none" w:sz="0" w:space="0" w:color="auto"/>
                <w:left w:val="none" w:sz="0" w:space="0" w:color="auto"/>
                <w:bottom w:val="none" w:sz="0" w:space="0" w:color="auto"/>
                <w:right w:val="none" w:sz="0" w:space="0" w:color="auto"/>
              </w:divBdr>
              <w:divsChild>
                <w:div w:id="1947272415">
                  <w:marLeft w:val="0"/>
                  <w:marRight w:val="0"/>
                  <w:marTop w:val="0"/>
                  <w:marBottom w:val="0"/>
                  <w:divBdr>
                    <w:top w:val="none" w:sz="0" w:space="0" w:color="auto"/>
                    <w:left w:val="none" w:sz="0" w:space="0" w:color="auto"/>
                    <w:bottom w:val="none" w:sz="0" w:space="0" w:color="auto"/>
                    <w:right w:val="none" w:sz="0" w:space="0" w:color="auto"/>
                  </w:divBdr>
                  <w:divsChild>
                    <w:div w:id="1719237714">
                      <w:marLeft w:val="0"/>
                      <w:marRight w:val="0"/>
                      <w:marTop w:val="0"/>
                      <w:marBottom w:val="0"/>
                      <w:divBdr>
                        <w:top w:val="none" w:sz="0" w:space="0" w:color="auto"/>
                        <w:left w:val="none" w:sz="0" w:space="0" w:color="auto"/>
                        <w:bottom w:val="none" w:sz="0" w:space="0" w:color="auto"/>
                        <w:right w:val="none" w:sz="0" w:space="0" w:color="auto"/>
                      </w:divBdr>
                      <w:divsChild>
                        <w:div w:id="1022703269">
                          <w:marLeft w:val="0"/>
                          <w:marRight w:val="0"/>
                          <w:marTop w:val="0"/>
                          <w:marBottom w:val="0"/>
                          <w:divBdr>
                            <w:top w:val="none" w:sz="0" w:space="0" w:color="auto"/>
                            <w:left w:val="none" w:sz="0" w:space="0" w:color="auto"/>
                            <w:bottom w:val="none" w:sz="0" w:space="0" w:color="auto"/>
                            <w:right w:val="none" w:sz="0" w:space="0" w:color="auto"/>
                          </w:divBdr>
                          <w:divsChild>
                            <w:div w:id="1687363187">
                              <w:marLeft w:val="0"/>
                              <w:marRight w:val="0"/>
                              <w:marTop w:val="0"/>
                              <w:marBottom w:val="0"/>
                              <w:divBdr>
                                <w:top w:val="none" w:sz="0" w:space="0" w:color="auto"/>
                                <w:left w:val="none" w:sz="0" w:space="0" w:color="auto"/>
                                <w:bottom w:val="none" w:sz="0" w:space="0" w:color="auto"/>
                                <w:right w:val="none" w:sz="0" w:space="0" w:color="auto"/>
                              </w:divBdr>
                              <w:divsChild>
                                <w:div w:id="818576112">
                                  <w:marLeft w:val="0"/>
                                  <w:marRight w:val="0"/>
                                  <w:marTop w:val="0"/>
                                  <w:marBottom w:val="0"/>
                                  <w:divBdr>
                                    <w:top w:val="none" w:sz="0" w:space="0" w:color="auto"/>
                                    <w:left w:val="none" w:sz="0" w:space="0" w:color="auto"/>
                                    <w:bottom w:val="none" w:sz="0" w:space="0" w:color="auto"/>
                                    <w:right w:val="none" w:sz="0" w:space="0" w:color="auto"/>
                                  </w:divBdr>
                                  <w:divsChild>
                                    <w:div w:id="1271428469">
                                      <w:marLeft w:val="0"/>
                                      <w:marRight w:val="0"/>
                                      <w:marTop w:val="0"/>
                                      <w:marBottom w:val="0"/>
                                      <w:divBdr>
                                        <w:top w:val="none" w:sz="0" w:space="0" w:color="auto"/>
                                        <w:left w:val="none" w:sz="0" w:space="0" w:color="auto"/>
                                        <w:bottom w:val="none" w:sz="0" w:space="0" w:color="auto"/>
                                        <w:right w:val="none" w:sz="0" w:space="0" w:color="auto"/>
                                      </w:divBdr>
                                      <w:divsChild>
                                        <w:div w:id="1069232046">
                                          <w:marLeft w:val="0"/>
                                          <w:marRight w:val="0"/>
                                          <w:marTop w:val="0"/>
                                          <w:marBottom w:val="0"/>
                                          <w:divBdr>
                                            <w:top w:val="none" w:sz="0" w:space="0" w:color="auto"/>
                                            <w:left w:val="none" w:sz="0" w:space="0" w:color="auto"/>
                                            <w:bottom w:val="none" w:sz="0" w:space="0" w:color="auto"/>
                                            <w:right w:val="none" w:sz="0" w:space="0" w:color="auto"/>
                                          </w:divBdr>
                                          <w:divsChild>
                                            <w:div w:id="1668053185">
                                              <w:marLeft w:val="0"/>
                                              <w:marRight w:val="0"/>
                                              <w:marTop w:val="0"/>
                                              <w:marBottom w:val="0"/>
                                              <w:divBdr>
                                                <w:top w:val="none" w:sz="0" w:space="0" w:color="auto"/>
                                                <w:left w:val="none" w:sz="0" w:space="0" w:color="auto"/>
                                                <w:bottom w:val="none" w:sz="0" w:space="0" w:color="auto"/>
                                                <w:right w:val="none" w:sz="0" w:space="0" w:color="auto"/>
                                              </w:divBdr>
                                              <w:divsChild>
                                                <w:div w:id="1573849628">
                                                  <w:marLeft w:val="0"/>
                                                  <w:marRight w:val="0"/>
                                                  <w:marTop w:val="0"/>
                                                  <w:marBottom w:val="0"/>
                                                  <w:divBdr>
                                                    <w:top w:val="none" w:sz="0" w:space="0" w:color="auto"/>
                                                    <w:left w:val="none" w:sz="0" w:space="0" w:color="auto"/>
                                                    <w:bottom w:val="none" w:sz="0" w:space="0" w:color="auto"/>
                                                    <w:right w:val="none" w:sz="0" w:space="0" w:color="auto"/>
                                                  </w:divBdr>
                                                  <w:divsChild>
                                                    <w:div w:id="2023118963">
                                                      <w:marLeft w:val="0"/>
                                                      <w:marRight w:val="0"/>
                                                      <w:marTop w:val="0"/>
                                                      <w:marBottom w:val="0"/>
                                                      <w:divBdr>
                                                        <w:top w:val="none" w:sz="0" w:space="0" w:color="auto"/>
                                                        <w:left w:val="none" w:sz="0" w:space="0" w:color="auto"/>
                                                        <w:bottom w:val="none" w:sz="0" w:space="0" w:color="auto"/>
                                                        <w:right w:val="none" w:sz="0" w:space="0" w:color="auto"/>
                                                      </w:divBdr>
                                                      <w:divsChild>
                                                        <w:div w:id="1082028243">
                                                          <w:marLeft w:val="0"/>
                                                          <w:marRight w:val="0"/>
                                                          <w:marTop w:val="0"/>
                                                          <w:marBottom w:val="0"/>
                                                          <w:divBdr>
                                                            <w:top w:val="none" w:sz="0" w:space="0" w:color="auto"/>
                                                            <w:left w:val="none" w:sz="0" w:space="0" w:color="auto"/>
                                                            <w:bottom w:val="none" w:sz="0" w:space="0" w:color="auto"/>
                                                            <w:right w:val="none" w:sz="0" w:space="0" w:color="auto"/>
                                                          </w:divBdr>
                                                          <w:divsChild>
                                                            <w:div w:id="941034969">
                                                              <w:marLeft w:val="0"/>
                                                              <w:marRight w:val="0"/>
                                                              <w:marTop w:val="0"/>
                                                              <w:marBottom w:val="0"/>
                                                              <w:divBdr>
                                                                <w:top w:val="none" w:sz="0" w:space="0" w:color="auto"/>
                                                                <w:left w:val="none" w:sz="0" w:space="0" w:color="auto"/>
                                                                <w:bottom w:val="none" w:sz="0" w:space="0" w:color="auto"/>
                                                                <w:right w:val="none" w:sz="0" w:space="0" w:color="auto"/>
                                                              </w:divBdr>
                                                              <w:divsChild>
                                                                <w:div w:id="2004313967">
                                                                  <w:marLeft w:val="0"/>
                                                                  <w:marRight w:val="0"/>
                                                                  <w:marTop w:val="0"/>
                                                                  <w:marBottom w:val="0"/>
                                                                  <w:divBdr>
                                                                    <w:top w:val="none" w:sz="0" w:space="0" w:color="auto"/>
                                                                    <w:left w:val="none" w:sz="0" w:space="0" w:color="auto"/>
                                                                    <w:bottom w:val="none" w:sz="0" w:space="0" w:color="auto"/>
                                                                    <w:right w:val="none" w:sz="0" w:space="0" w:color="auto"/>
                                                                  </w:divBdr>
                                                                  <w:divsChild>
                                                                    <w:div w:id="145364900">
                                                                      <w:marLeft w:val="0"/>
                                                                      <w:marRight w:val="0"/>
                                                                      <w:marTop w:val="0"/>
                                                                      <w:marBottom w:val="0"/>
                                                                      <w:divBdr>
                                                                        <w:top w:val="none" w:sz="0" w:space="0" w:color="auto"/>
                                                                        <w:left w:val="none" w:sz="0" w:space="0" w:color="auto"/>
                                                                        <w:bottom w:val="none" w:sz="0" w:space="0" w:color="auto"/>
                                                                        <w:right w:val="none" w:sz="0" w:space="0" w:color="auto"/>
                                                                      </w:divBdr>
                                                                      <w:divsChild>
                                                                        <w:div w:id="67921954">
                                                                          <w:marLeft w:val="0"/>
                                                                          <w:marRight w:val="0"/>
                                                                          <w:marTop w:val="0"/>
                                                                          <w:marBottom w:val="0"/>
                                                                          <w:divBdr>
                                                                            <w:top w:val="none" w:sz="0" w:space="0" w:color="auto"/>
                                                                            <w:left w:val="none" w:sz="0" w:space="0" w:color="auto"/>
                                                                            <w:bottom w:val="none" w:sz="0" w:space="0" w:color="auto"/>
                                                                            <w:right w:val="none" w:sz="0" w:space="0" w:color="auto"/>
                                                                          </w:divBdr>
                                                                          <w:divsChild>
                                                                            <w:div w:id="1009674364">
                                                                              <w:marLeft w:val="0"/>
                                                                              <w:marRight w:val="0"/>
                                                                              <w:marTop w:val="0"/>
                                                                              <w:marBottom w:val="0"/>
                                                                              <w:divBdr>
                                                                                <w:top w:val="none" w:sz="0" w:space="0" w:color="auto"/>
                                                                                <w:left w:val="none" w:sz="0" w:space="0" w:color="auto"/>
                                                                                <w:bottom w:val="none" w:sz="0" w:space="0" w:color="auto"/>
                                                                                <w:right w:val="none" w:sz="0" w:space="0" w:color="auto"/>
                                                                              </w:divBdr>
                                                                              <w:divsChild>
                                                                                <w:div w:id="890969095">
                                                                                  <w:marLeft w:val="0"/>
                                                                                  <w:marRight w:val="0"/>
                                                                                  <w:marTop w:val="0"/>
                                                                                  <w:marBottom w:val="0"/>
                                                                                  <w:divBdr>
                                                                                    <w:top w:val="none" w:sz="0" w:space="0" w:color="auto"/>
                                                                                    <w:left w:val="none" w:sz="0" w:space="0" w:color="auto"/>
                                                                                    <w:bottom w:val="none" w:sz="0" w:space="0" w:color="auto"/>
                                                                                    <w:right w:val="none" w:sz="0" w:space="0" w:color="auto"/>
                                                                                  </w:divBdr>
                                                                                  <w:divsChild>
                                                                                    <w:div w:id="15932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19483584">
      <w:bodyDiv w:val="1"/>
      <w:marLeft w:val="0"/>
      <w:marRight w:val="0"/>
      <w:marTop w:val="0"/>
      <w:marBottom w:val="0"/>
      <w:divBdr>
        <w:top w:val="none" w:sz="0" w:space="0" w:color="auto"/>
        <w:left w:val="none" w:sz="0" w:space="0" w:color="auto"/>
        <w:bottom w:val="none" w:sz="0" w:space="0" w:color="auto"/>
        <w:right w:val="none" w:sz="0" w:space="0" w:color="auto"/>
      </w:divBdr>
    </w:div>
    <w:div w:id="931669440">
      <w:bodyDiv w:val="1"/>
      <w:marLeft w:val="0"/>
      <w:marRight w:val="0"/>
      <w:marTop w:val="0"/>
      <w:marBottom w:val="0"/>
      <w:divBdr>
        <w:top w:val="none" w:sz="0" w:space="0" w:color="auto"/>
        <w:left w:val="none" w:sz="0" w:space="0" w:color="auto"/>
        <w:bottom w:val="none" w:sz="0" w:space="0" w:color="auto"/>
        <w:right w:val="none" w:sz="0" w:space="0" w:color="auto"/>
      </w:divBdr>
    </w:div>
    <w:div w:id="939340465">
      <w:bodyDiv w:val="1"/>
      <w:marLeft w:val="0"/>
      <w:marRight w:val="0"/>
      <w:marTop w:val="0"/>
      <w:marBottom w:val="0"/>
      <w:divBdr>
        <w:top w:val="none" w:sz="0" w:space="0" w:color="auto"/>
        <w:left w:val="none" w:sz="0" w:space="0" w:color="auto"/>
        <w:bottom w:val="none" w:sz="0" w:space="0" w:color="auto"/>
        <w:right w:val="none" w:sz="0" w:space="0" w:color="auto"/>
      </w:divBdr>
    </w:div>
    <w:div w:id="969700232">
      <w:bodyDiv w:val="1"/>
      <w:marLeft w:val="0"/>
      <w:marRight w:val="0"/>
      <w:marTop w:val="0"/>
      <w:marBottom w:val="0"/>
      <w:divBdr>
        <w:top w:val="none" w:sz="0" w:space="0" w:color="auto"/>
        <w:left w:val="none" w:sz="0" w:space="0" w:color="auto"/>
        <w:bottom w:val="none" w:sz="0" w:space="0" w:color="auto"/>
        <w:right w:val="none" w:sz="0" w:space="0" w:color="auto"/>
      </w:divBdr>
    </w:div>
    <w:div w:id="1021511977">
      <w:bodyDiv w:val="1"/>
      <w:marLeft w:val="0"/>
      <w:marRight w:val="0"/>
      <w:marTop w:val="0"/>
      <w:marBottom w:val="0"/>
      <w:divBdr>
        <w:top w:val="none" w:sz="0" w:space="0" w:color="auto"/>
        <w:left w:val="none" w:sz="0" w:space="0" w:color="auto"/>
        <w:bottom w:val="none" w:sz="0" w:space="0" w:color="auto"/>
        <w:right w:val="none" w:sz="0" w:space="0" w:color="auto"/>
      </w:divBdr>
    </w:div>
    <w:div w:id="1034233698">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77620305">
      <w:bodyDiv w:val="1"/>
      <w:marLeft w:val="0"/>
      <w:marRight w:val="0"/>
      <w:marTop w:val="0"/>
      <w:marBottom w:val="0"/>
      <w:divBdr>
        <w:top w:val="none" w:sz="0" w:space="0" w:color="auto"/>
        <w:left w:val="none" w:sz="0" w:space="0" w:color="auto"/>
        <w:bottom w:val="none" w:sz="0" w:space="0" w:color="auto"/>
        <w:right w:val="none" w:sz="0" w:space="0" w:color="auto"/>
      </w:divBdr>
    </w:div>
    <w:div w:id="1198350609">
      <w:bodyDiv w:val="1"/>
      <w:marLeft w:val="0"/>
      <w:marRight w:val="0"/>
      <w:marTop w:val="0"/>
      <w:marBottom w:val="0"/>
      <w:divBdr>
        <w:top w:val="none" w:sz="0" w:space="0" w:color="auto"/>
        <w:left w:val="none" w:sz="0" w:space="0" w:color="auto"/>
        <w:bottom w:val="none" w:sz="0" w:space="0" w:color="auto"/>
        <w:right w:val="none" w:sz="0" w:space="0" w:color="auto"/>
      </w:divBdr>
    </w:div>
    <w:div w:id="1199975779">
      <w:bodyDiv w:val="1"/>
      <w:marLeft w:val="0"/>
      <w:marRight w:val="0"/>
      <w:marTop w:val="0"/>
      <w:marBottom w:val="0"/>
      <w:divBdr>
        <w:top w:val="none" w:sz="0" w:space="0" w:color="auto"/>
        <w:left w:val="none" w:sz="0" w:space="0" w:color="auto"/>
        <w:bottom w:val="none" w:sz="0" w:space="0" w:color="auto"/>
        <w:right w:val="none" w:sz="0" w:space="0" w:color="auto"/>
      </w:divBdr>
    </w:div>
    <w:div w:id="1313948131">
      <w:bodyDiv w:val="1"/>
      <w:marLeft w:val="0"/>
      <w:marRight w:val="0"/>
      <w:marTop w:val="0"/>
      <w:marBottom w:val="0"/>
      <w:divBdr>
        <w:top w:val="none" w:sz="0" w:space="0" w:color="auto"/>
        <w:left w:val="none" w:sz="0" w:space="0" w:color="auto"/>
        <w:bottom w:val="none" w:sz="0" w:space="0" w:color="auto"/>
        <w:right w:val="none" w:sz="0" w:space="0" w:color="auto"/>
      </w:divBdr>
    </w:div>
    <w:div w:id="1366298376">
      <w:bodyDiv w:val="1"/>
      <w:marLeft w:val="0"/>
      <w:marRight w:val="0"/>
      <w:marTop w:val="0"/>
      <w:marBottom w:val="0"/>
      <w:divBdr>
        <w:top w:val="none" w:sz="0" w:space="0" w:color="auto"/>
        <w:left w:val="none" w:sz="0" w:space="0" w:color="auto"/>
        <w:bottom w:val="none" w:sz="0" w:space="0" w:color="auto"/>
        <w:right w:val="none" w:sz="0" w:space="0" w:color="auto"/>
      </w:divBdr>
    </w:div>
    <w:div w:id="1405033540">
      <w:bodyDiv w:val="1"/>
      <w:marLeft w:val="0"/>
      <w:marRight w:val="0"/>
      <w:marTop w:val="0"/>
      <w:marBottom w:val="0"/>
      <w:divBdr>
        <w:top w:val="none" w:sz="0" w:space="0" w:color="auto"/>
        <w:left w:val="none" w:sz="0" w:space="0" w:color="auto"/>
        <w:bottom w:val="none" w:sz="0" w:space="0" w:color="auto"/>
        <w:right w:val="none" w:sz="0" w:space="0" w:color="auto"/>
      </w:divBdr>
    </w:div>
    <w:div w:id="1504078876">
      <w:bodyDiv w:val="1"/>
      <w:marLeft w:val="0"/>
      <w:marRight w:val="0"/>
      <w:marTop w:val="0"/>
      <w:marBottom w:val="0"/>
      <w:divBdr>
        <w:top w:val="none" w:sz="0" w:space="0" w:color="auto"/>
        <w:left w:val="none" w:sz="0" w:space="0" w:color="auto"/>
        <w:bottom w:val="none" w:sz="0" w:space="0" w:color="auto"/>
        <w:right w:val="none" w:sz="0" w:space="0" w:color="auto"/>
      </w:divBdr>
    </w:div>
    <w:div w:id="1547332231">
      <w:bodyDiv w:val="1"/>
      <w:marLeft w:val="0"/>
      <w:marRight w:val="0"/>
      <w:marTop w:val="0"/>
      <w:marBottom w:val="0"/>
      <w:divBdr>
        <w:top w:val="none" w:sz="0" w:space="0" w:color="auto"/>
        <w:left w:val="none" w:sz="0" w:space="0" w:color="auto"/>
        <w:bottom w:val="none" w:sz="0" w:space="0" w:color="auto"/>
        <w:right w:val="none" w:sz="0" w:space="0" w:color="auto"/>
      </w:divBdr>
    </w:div>
    <w:div w:id="1576551813">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7149820">
      <w:bodyDiv w:val="1"/>
      <w:marLeft w:val="0"/>
      <w:marRight w:val="0"/>
      <w:marTop w:val="0"/>
      <w:marBottom w:val="0"/>
      <w:divBdr>
        <w:top w:val="none" w:sz="0" w:space="0" w:color="auto"/>
        <w:left w:val="none" w:sz="0" w:space="0" w:color="auto"/>
        <w:bottom w:val="none" w:sz="0" w:space="0" w:color="auto"/>
        <w:right w:val="none" w:sz="0" w:space="0" w:color="auto"/>
      </w:divBdr>
    </w:div>
    <w:div w:id="1623921269">
      <w:bodyDiv w:val="1"/>
      <w:marLeft w:val="0"/>
      <w:marRight w:val="0"/>
      <w:marTop w:val="0"/>
      <w:marBottom w:val="0"/>
      <w:divBdr>
        <w:top w:val="none" w:sz="0" w:space="0" w:color="auto"/>
        <w:left w:val="none" w:sz="0" w:space="0" w:color="auto"/>
        <w:bottom w:val="none" w:sz="0" w:space="0" w:color="auto"/>
        <w:right w:val="none" w:sz="0" w:space="0" w:color="auto"/>
      </w:divBdr>
    </w:div>
    <w:div w:id="1647011308">
      <w:bodyDiv w:val="1"/>
      <w:marLeft w:val="0"/>
      <w:marRight w:val="0"/>
      <w:marTop w:val="0"/>
      <w:marBottom w:val="0"/>
      <w:divBdr>
        <w:top w:val="none" w:sz="0" w:space="0" w:color="auto"/>
        <w:left w:val="none" w:sz="0" w:space="0" w:color="auto"/>
        <w:bottom w:val="none" w:sz="0" w:space="0" w:color="auto"/>
        <w:right w:val="none" w:sz="0" w:space="0" w:color="auto"/>
      </w:divBdr>
    </w:div>
    <w:div w:id="1677339928">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52391112">
      <w:bodyDiv w:val="1"/>
      <w:marLeft w:val="0"/>
      <w:marRight w:val="0"/>
      <w:marTop w:val="0"/>
      <w:marBottom w:val="0"/>
      <w:divBdr>
        <w:top w:val="none" w:sz="0" w:space="0" w:color="auto"/>
        <w:left w:val="none" w:sz="0" w:space="0" w:color="auto"/>
        <w:bottom w:val="none" w:sz="0" w:space="0" w:color="auto"/>
        <w:right w:val="none" w:sz="0" w:space="0" w:color="auto"/>
      </w:divBdr>
    </w:div>
    <w:div w:id="1760906790">
      <w:bodyDiv w:val="1"/>
      <w:marLeft w:val="0"/>
      <w:marRight w:val="0"/>
      <w:marTop w:val="0"/>
      <w:marBottom w:val="0"/>
      <w:divBdr>
        <w:top w:val="none" w:sz="0" w:space="0" w:color="auto"/>
        <w:left w:val="none" w:sz="0" w:space="0" w:color="auto"/>
        <w:bottom w:val="none" w:sz="0" w:space="0" w:color="auto"/>
        <w:right w:val="none" w:sz="0" w:space="0" w:color="auto"/>
      </w:divBdr>
    </w:div>
    <w:div w:id="1804881334">
      <w:bodyDiv w:val="1"/>
      <w:marLeft w:val="0"/>
      <w:marRight w:val="0"/>
      <w:marTop w:val="0"/>
      <w:marBottom w:val="0"/>
      <w:divBdr>
        <w:top w:val="none" w:sz="0" w:space="0" w:color="auto"/>
        <w:left w:val="none" w:sz="0" w:space="0" w:color="auto"/>
        <w:bottom w:val="none" w:sz="0" w:space="0" w:color="auto"/>
        <w:right w:val="none" w:sz="0" w:space="0" w:color="auto"/>
      </w:divBdr>
      <w:divsChild>
        <w:div w:id="667710541">
          <w:marLeft w:val="0"/>
          <w:marRight w:val="0"/>
          <w:marTop w:val="0"/>
          <w:marBottom w:val="0"/>
          <w:divBdr>
            <w:top w:val="none" w:sz="0" w:space="0" w:color="auto"/>
            <w:left w:val="none" w:sz="0" w:space="0" w:color="auto"/>
            <w:bottom w:val="none" w:sz="0" w:space="0" w:color="auto"/>
            <w:right w:val="none" w:sz="0" w:space="0" w:color="auto"/>
          </w:divBdr>
        </w:div>
      </w:divsChild>
    </w:div>
    <w:div w:id="1865441098">
      <w:bodyDiv w:val="1"/>
      <w:marLeft w:val="0"/>
      <w:marRight w:val="0"/>
      <w:marTop w:val="0"/>
      <w:marBottom w:val="0"/>
      <w:divBdr>
        <w:top w:val="none" w:sz="0" w:space="0" w:color="auto"/>
        <w:left w:val="none" w:sz="0" w:space="0" w:color="auto"/>
        <w:bottom w:val="none" w:sz="0" w:space="0" w:color="auto"/>
        <w:right w:val="none" w:sz="0" w:space="0" w:color="auto"/>
      </w:divBdr>
    </w:div>
    <w:div w:id="1878548111">
      <w:bodyDiv w:val="1"/>
      <w:marLeft w:val="0"/>
      <w:marRight w:val="0"/>
      <w:marTop w:val="0"/>
      <w:marBottom w:val="0"/>
      <w:divBdr>
        <w:top w:val="none" w:sz="0" w:space="0" w:color="auto"/>
        <w:left w:val="none" w:sz="0" w:space="0" w:color="auto"/>
        <w:bottom w:val="none" w:sz="0" w:space="0" w:color="auto"/>
        <w:right w:val="none" w:sz="0" w:space="0" w:color="auto"/>
      </w:divBdr>
    </w:div>
    <w:div w:id="1920676916">
      <w:bodyDiv w:val="1"/>
      <w:marLeft w:val="0"/>
      <w:marRight w:val="0"/>
      <w:marTop w:val="0"/>
      <w:marBottom w:val="0"/>
      <w:divBdr>
        <w:top w:val="none" w:sz="0" w:space="0" w:color="auto"/>
        <w:left w:val="none" w:sz="0" w:space="0" w:color="auto"/>
        <w:bottom w:val="none" w:sz="0" w:space="0" w:color="auto"/>
        <w:right w:val="none" w:sz="0" w:space="0" w:color="auto"/>
      </w:divBdr>
    </w:div>
    <w:div w:id="1987733652">
      <w:bodyDiv w:val="1"/>
      <w:marLeft w:val="0"/>
      <w:marRight w:val="0"/>
      <w:marTop w:val="0"/>
      <w:marBottom w:val="0"/>
      <w:divBdr>
        <w:top w:val="none" w:sz="0" w:space="0" w:color="auto"/>
        <w:left w:val="none" w:sz="0" w:space="0" w:color="auto"/>
        <w:bottom w:val="none" w:sz="0" w:space="0" w:color="auto"/>
        <w:right w:val="none" w:sz="0" w:space="0" w:color="auto"/>
      </w:divBdr>
    </w:div>
    <w:div w:id="2038385806">
      <w:bodyDiv w:val="1"/>
      <w:marLeft w:val="0"/>
      <w:marRight w:val="0"/>
      <w:marTop w:val="0"/>
      <w:marBottom w:val="0"/>
      <w:divBdr>
        <w:top w:val="none" w:sz="0" w:space="0" w:color="auto"/>
        <w:left w:val="none" w:sz="0" w:space="0" w:color="auto"/>
        <w:bottom w:val="none" w:sz="0" w:space="0" w:color="auto"/>
        <w:right w:val="none" w:sz="0" w:space="0" w:color="auto"/>
      </w:divBdr>
    </w:div>
    <w:div w:id="2055157626">
      <w:bodyDiv w:val="1"/>
      <w:marLeft w:val="0"/>
      <w:marRight w:val="0"/>
      <w:marTop w:val="0"/>
      <w:marBottom w:val="0"/>
      <w:divBdr>
        <w:top w:val="none" w:sz="0" w:space="0" w:color="auto"/>
        <w:left w:val="none" w:sz="0" w:space="0" w:color="auto"/>
        <w:bottom w:val="none" w:sz="0" w:space="0" w:color="auto"/>
        <w:right w:val="none" w:sz="0" w:space="0" w:color="auto"/>
      </w:divBdr>
    </w:div>
    <w:div w:id="2069498608">
      <w:bodyDiv w:val="1"/>
      <w:marLeft w:val="0"/>
      <w:marRight w:val="0"/>
      <w:marTop w:val="0"/>
      <w:marBottom w:val="0"/>
      <w:divBdr>
        <w:top w:val="none" w:sz="0" w:space="0" w:color="auto"/>
        <w:left w:val="none" w:sz="0" w:space="0" w:color="auto"/>
        <w:bottom w:val="none" w:sz="0" w:space="0" w:color="auto"/>
        <w:right w:val="none" w:sz="0" w:space="0" w:color="auto"/>
      </w:divBdr>
    </w:div>
    <w:div w:id="2102023386">
      <w:bodyDiv w:val="1"/>
      <w:marLeft w:val="0"/>
      <w:marRight w:val="0"/>
      <w:marTop w:val="0"/>
      <w:marBottom w:val="0"/>
      <w:divBdr>
        <w:top w:val="none" w:sz="0" w:space="0" w:color="auto"/>
        <w:left w:val="none" w:sz="0" w:space="0" w:color="auto"/>
        <w:bottom w:val="none" w:sz="0" w:space="0" w:color="auto"/>
        <w:right w:val="none" w:sz="0" w:space="0" w:color="auto"/>
      </w:divBdr>
    </w:div>
    <w:div w:id="2104572264">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 w:id="2133014259">
      <w:bodyDiv w:val="1"/>
      <w:marLeft w:val="0"/>
      <w:marRight w:val="0"/>
      <w:marTop w:val="0"/>
      <w:marBottom w:val="0"/>
      <w:divBdr>
        <w:top w:val="none" w:sz="0" w:space="0" w:color="auto"/>
        <w:left w:val="none" w:sz="0" w:space="0" w:color="auto"/>
        <w:bottom w:val="none" w:sz="0" w:space="0" w:color="auto"/>
        <w:right w:val="none" w:sz="0" w:space="0" w:color="auto"/>
      </w:divBdr>
    </w:div>
    <w:div w:id="2141990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nomictimes.indiatimes.com/topic/indi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A9D61-D00F-466A-A7FD-AF5DCA5FBC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TotalTime>
  <Pages>5</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7</cp:revision>
  <cp:lastPrinted>2025-03-26T12:35:00Z</cp:lastPrinted>
  <dcterms:created xsi:type="dcterms:W3CDTF">2025-03-25T09:38:00Z</dcterms:created>
  <dcterms:modified xsi:type="dcterms:W3CDTF">2025-03-27T10:18:00Z</dcterms:modified>
</cp:coreProperties>
</file>