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7BE6E28C"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790B75">
        <w:rPr>
          <w:rFonts w:ascii="Tahoma" w:hAnsi="Tahoma" w:cs="Tahoma"/>
          <w:b/>
          <w:lang w:val="en-US"/>
        </w:rPr>
        <w:t>64</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092EAE">
        <w:rPr>
          <w:rFonts w:ascii="Tahoma" w:hAnsi="Tahoma" w:cs="Tahoma"/>
          <w:b/>
          <w:lang w:val="en-US"/>
        </w:rPr>
        <w:t xml:space="preserve">     </w:t>
      </w:r>
      <w:r w:rsidR="00B41DA6">
        <w:rPr>
          <w:rFonts w:ascii="Tahoma" w:hAnsi="Tahoma" w:cs="Tahoma"/>
          <w:b/>
          <w:lang w:val="en-US"/>
        </w:rPr>
        <w:t>11</w:t>
      </w:r>
      <w:r w:rsidR="00092EAE" w:rsidRPr="00092EAE">
        <w:rPr>
          <w:rFonts w:ascii="Tahoma" w:hAnsi="Tahoma" w:cs="Tahoma"/>
          <w:b/>
          <w:vertAlign w:val="superscript"/>
          <w:lang w:val="en-US"/>
        </w:rPr>
        <w:t>th</w:t>
      </w:r>
      <w:r w:rsidR="00092EA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5964BCE9" w14:textId="695ABBF9" w:rsidR="003E2B73" w:rsidRPr="00040065" w:rsidRDefault="00506AF9" w:rsidP="003E2B73">
      <w:pPr>
        <w:spacing w:after="0"/>
        <w:ind w:right="-482"/>
        <w:jc w:val="center"/>
        <w:rPr>
          <w:rFonts w:ascii="Tahoma" w:hAnsi="Tahoma" w:cs="Tahoma"/>
          <w:b/>
          <w:lang w:val="en-US"/>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06BF3">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B41DA6" w:rsidRPr="00B41DA6">
        <w:rPr>
          <w:rFonts w:ascii="Tahoma" w:hAnsi="Tahoma" w:cs="Tahoma"/>
          <w:b/>
        </w:rPr>
        <w:t> Pinki</w:t>
      </w:r>
    </w:p>
    <w:p w14:paraId="73BFD5ED" w14:textId="2CF1EC38" w:rsidR="00B41DA6" w:rsidRPr="00B41DA6" w:rsidRDefault="003E2B73" w:rsidP="00B41DA6">
      <w:pPr>
        <w:spacing w:after="0"/>
        <w:ind w:right="-482"/>
        <w:jc w:val="center"/>
        <w:rPr>
          <w:rFonts w:ascii="Tahoma" w:hAnsi="Tahoma" w:cs="Tahoma"/>
          <w:u w:val="single"/>
        </w:rPr>
      </w:pPr>
      <w:r w:rsidRPr="00040065">
        <w:rPr>
          <w:rFonts w:ascii="Tahoma" w:hAnsi="Tahoma" w:cs="Tahoma"/>
          <w:b/>
          <w:lang w:val="en-US"/>
        </w:rPr>
        <w:t xml:space="preserve">                                                                                            </w:t>
      </w:r>
      <w:r w:rsidR="00E14F53" w:rsidRPr="00040065">
        <w:rPr>
          <w:rFonts w:ascii="Tahoma" w:hAnsi="Tahoma" w:cs="Tahoma"/>
          <w:bCs/>
          <w:lang w:val="en-US"/>
        </w:rPr>
        <w:t xml:space="preserve"> </w:t>
      </w:r>
      <w:r w:rsidR="00B41DA6">
        <w:rPr>
          <w:rFonts w:ascii="Tahoma" w:hAnsi="Tahoma" w:cs="Tahoma"/>
          <w:bCs/>
          <w:lang w:val="en-US"/>
        </w:rPr>
        <w:t xml:space="preserve">      </w:t>
      </w:r>
      <w:r w:rsidR="00B41DA6" w:rsidRPr="00B41DA6">
        <w:rPr>
          <w:rFonts w:ascii="Tahoma" w:hAnsi="Tahoma" w:cs="Tahoma"/>
          <w:u w:val="single"/>
        </w:rPr>
        <w:t>Section Officer (ONG-II)</w:t>
      </w:r>
    </w:p>
    <w:p w14:paraId="08B02684" w14:textId="217EE6CD" w:rsidR="003E2B73" w:rsidRDefault="003E2B73" w:rsidP="003E2B73">
      <w:pPr>
        <w:spacing w:after="0"/>
        <w:ind w:right="-482"/>
        <w:jc w:val="center"/>
        <w:rPr>
          <w:rFonts w:ascii="Tahoma" w:hAnsi="Tahoma" w:cs="Tahoma"/>
          <w:u w:val="single"/>
          <w:lang w:val="en-US"/>
        </w:rPr>
      </w:pPr>
    </w:p>
    <w:p w14:paraId="4A27420B" w14:textId="77777777" w:rsidR="00092EAE" w:rsidRPr="00040065" w:rsidRDefault="00092EAE" w:rsidP="003E2B73">
      <w:pPr>
        <w:spacing w:after="0"/>
        <w:ind w:right="-482"/>
        <w:jc w:val="center"/>
        <w:rPr>
          <w:rFonts w:ascii="Tahoma" w:hAnsi="Tahoma" w:cs="Tahoma"/>
          <w:u w:val="single"/>
          <w:lang w:val="en-US"/>
        </w:rPr>
      </w:pPr>
    </w:p>
    <w:p w14:paraId="6D88C26E" w14:textId="1DCE0BD3" w:rsidR="00F211B3" w:rsidRPr="002E7B37" w:rsidRDefault="00F211B3" w:rsidP="002E7B37">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006BF3">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092EAE">
        <w:rPr>
          <w:rFonts w:ascii="Tahoma" w:hAnsi="Tahoma" w:cs="Tahoma"/>
          <w:lang w:val="en-US"/>
        </w:rPr>
        <w:t xml:space="preserve">Starred/ </w:t>
      </w:r>
      <w:r w:rsidR="005457B8">
        <w:rPr>
          <w:rFonts w:ascii="Tahoma" w:hAnsi="Tahoma" w:cs="Tahoma"/>
          <w:lang w:val="en-US"/>
        </w:rPr>
        <w:t>Uns</w:t>
      </w:r>
      <w:r w:rsidR="00040065" w:rsidRPr="00040065">
        <w:rPr>
          <w:rFonts w:ascii="Tahoma" w:hAnsi="Tahoma" w:cs="Tahoma"/>
          <w:lang w:val="en-US"/>
        </w:rPr>
        <w:t>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006BF3">
        <w:rPr>
          <w:rFonts w:ascii="Tahoma" w:hAnsi="Tahoma" w:cs="Tahoma"/>
          <w:lang w:val="en-US"/>
        </w:rPr>
        <w:t>49</w:t>
      </w:r>
      <w:r w:rsidR="002E7B37">
        <w:rPr>
          <w:rFonts w:ascii="Tahoma" w:hAnsi="Tahoma" w:cs="Tahoma"/>
          <w:lang w:val="en-US"/>
        </w:rPr>
        <w:t>2</w:t>
      </w:r>
      <w:r w:rsidR="00B41DA6">
        <w:rPr>
          <w:rFonts w:ascii="Tahoma" w:hAnsi="Tahoma" w:cs="Tahoma"/>
          <w:lang w:val="en-US"/>
        </w:rPr>
        <w:t>5</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006BF3">
        <w:rPr>
          <w:rFonts w:ascii="Tahoma" w:hAnsi="Tahoma" w:cs="Tahoma"/>
          <w:lang w:val="en-US"/>
        </w:rPr>
        <w:t>1</w:t>
      </w:r>
      <w:r w:rsidR="00534AF9">
        <w:rPr>
          <w:rFonts w:ascii="Tahoma" w:hAnsi="Tahoma" w:cs="Tahoma"/>
          <w:lang w:val="en-US"/>
        </w:rPr>
        <w:t>8</w:t>
      </w:r>
      <w:r w:rsidR="00643085" w:rsidRPr="00040065">
        <w:rPr>
          <w:rFonts w:ascii="Tahoma" w:hAnsi="Tahoma" w:cs="Tahoma"/>
          <w:lang w:val="en-US"/>
        </w:rPr>
        <w:t>.08.2025</w:t>
      </w:r>
      <w:r w:rsidR="00F270A6" w:rsidRPr="00040065">
        <w:rPr>
          <w:rFonts w:ascii="Tahoma" w:hAnsi="Tahoma" w:cs="Tahoma"/>
          <w:lang w:val="en-US"/>
        </w:rPr>
        <w:t xml:space="preserve"> </w:t>
      </w:r>
    </w:p>
    <w:p w14:paraId="3297E00F" w14:textId="4F5FB47E"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092EAE">
        <w:rPr>
          <w:rFonts w:ascii="Tahoma" w:hAnsi="Tahoma" w:cs="Tahoma"/>
          <w:lang w:val="en-US"/>
        </w:rPr>
        <w:t>0</w:t>
      </w:r>
      <w:r w:rsidR="00006BF3">
        <w:rPr>
          <w:rFonts w:ascii="Tahoma" w:hAnsi="Tahoma" w:cs="Tahoma"/>
          <w:lang w:val="en-US"/>
        </w:rPr>
        <w:t>8</w:t>
      </w:r>
      <w:r w:rsidRPr="00040065">
        <w:rPr>
          <w:rFonts w:ascii="Tahoma" w:hAnsi="Tahoma" w:cs="Tahoma"/>
          <w:lang w:val="en-US"/>
        </w:rPr>
        <w:t>.</w:t>
      </w:r>
      <w:r w:rsidR="00F270A6" w:rsidRPr="00040065">
        <w:rPr>
          <w:rFonts w:ascii="Tahoma" w:hAnsi="Tahoma" w:cs="Tahoma"/>
          <w:lang w:val="en-US"/>
        </w:rPr>
        <w:t>0</w:t>
      </w:r>
      <w:r w:rsidR="00092EAE">
        <w:rPr>
          <w:rFonts w:ascii="Tahoma" w:hAnsi="Tahoma" w:cs="Tahoma"/>
          <w:lang w:val="en-US"/>
        </w:rPr>
        <w:t>8</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34616309"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006BF3">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331D6F6" w14:textId="77777777" w:rsidR="00092EAE" w:rsidRPr="00040065" w:rsidRDefault="00092EAE" w:rsidP="00C42C3F">
      <w:pPr>
        <w:spacing w:after="0"/>
        <w:rPr>
          <w:rFonts w:ascii="Tahoma" w:hAnsi="Tahoma" w:cs="Tahoma"/>
          <w:lang w:val="en-US"/>
        </w:rPr>
      </w:pPr>
    </w:p>
    <w:tbl>
      <w:tblPr>
        <w:tblStyle w:val="TableGrid"/>
        <w:tblW w:w="10201" w:type="dxa"/>
        <w:tblLayout w:type="fixed"/>
        <w:tblLook w:val="04A0" w:firstRow="1" w:lastRow="0" w:firstColumn="1" w:lastColumn="0" w:noHBand="0" w:noVBand="1"/>
      </w:tblPr>
      <w:tblGrid>
        <w:gridCol w:w="3256"/>
        <w:gridCol w:w="6945"/>
      </w:tblGrid>
      <w:tr w:rsidR="005457B8" w:rsidRPr="00040065" w14:paraId="55DD2EA1" w14:textId="77777777" w:rsidTr="000B4AC8">
        <w:trPr>
          <w:trHeight w:val="871"/>
        </w:trPr>
        <w:tc>
          <w:tcPr>
            <w:tcW w:w="3256" w:type="dxa"/>
          </w:tcPr>
          <w:p w14:paraId="4062B524" w14:textId="5D923E13" w:rsidR="005457B8" w:rsidRPr="00040065" w:rsidRDefault="005457B8" w:rsidP="005457B8">
            <w:pPr>
              <w:ind w:right="34"/>
              <w:jc w:val="both"/>
              <w:rPr>
                <w:rFonts w:ascii="Tahoma" w:hAnsi="Tahoma" w:cs="Tahoma"/>
                <w:i/>
                <w:iCs/>
              </w:rPr>
            </w:pPr>
            <w:r w:rsidRPr="00040065">
              <w:rPr>
                <w:rFonts w:ascii="Tahoma" w:hAnsi="Tahoma" w:cs="Tahoma"/>
                <w:i/>
                <w:iCs/>
              </w:rPr>
              <w:t>Q.(</w:t>
            </w:r>
            <w:r w:rsidR="00790B75">
              <w:rPr>
                <w:rFonts w:ascii="Tahoma" w:hAnsi="Tahoma" w:cs="Tahoma"/>
                <w:i/>
                <w:iCs/>
              </w:rPr>
              <w:t>a</w:t>
            </w:r>
            <w:r w:rsidRPr="00040065">
              <w:rPr>
                <w:rFonts w:ascii="Tahoma" w:hAnsi="Tahoma" w:cs="Tahoma"/>
                <w:i/>
                <w:iCs/>
              </w:rPr>
              <w:t xml:space="preserve">) </w:t>
            </w:r>
            <w:r w:rsidR="00790B75">
              <w:rPr>
                <w:rFonts w:ascii="Tahoma" w:hAnsi="Tahoma" w:cs="Tahoma"/>
                <w:i/>
                <w:iCs/>
              </w:rPr>
              <w:t>W</w:t>
            </w:r>
            <w:bookmarkStart w:id="0" w:name="_GoBack"/>
            <w:bookmarkEnd w:id="0"/>
            <w:r w:rsidR="00B41DA6" w:rsidRPr="00B41DA6">
              <w:rPr>
                <w:rFonts w:ascii="Tahoma" w:hAnsi="Tahoma" w:cs="Tahoma"/>
                <w:i/>
                <w:iCs/>
              </w:rPr>
              <w:t>hat are the key features of a production enhancement contract (PEC) in India</w:t>
            </w:r>
          </w:p>
        </w:tc>
        <w:tc>
          <w:tcPr>
            <w:tcW w:w="6945" w:type="dxa"/>
          </w:tcPr>
          <w:p w14:paraId="348CCD18" w14:textId="1E44C43A" w:rsidR="005457B8"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790B75">
              <w:rPr>
                <w:rFonts w:ascii="Tahoma" w:hAnsi="Tahoma" w:cs="Tahoma"/>
                <w:b/>
                <w:lang w:val="en-US"/>
              </w:rPr>
              <w:t>a</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4F6A40B9" w14:textId="5502840C" w:rsidR="00B41DA6" w:rsidRPr="00B41DA6" w:rsidRDefault="00D75038" w:rsidP="00B41DA6">
            <w:pPr>
              <w:spacing w:after="120"/>
              <w:jc w:val="both"/>
              <w:rPr>
                <w:rFonts w:ascii="Tahoma" w:eastAsia="Times New Roman" w:hAnsi="Tahoma" w:cs="Tahoma"/>
                <w:kern w:val="2"/>
                <w14:ligatures w14:val="standardContextual"/>
              </w:rPr>
            </w:pPr>
            <w:r w:rsidRPr="00B41DA6">
              <w:rPr>
                <w:rFonts w:ascii="Tahoma" w:hAnsi="Tahoma" w:cs="Tahoma"/>
                <w:bCs/>
                <w:lang w:val="en-US"/>
              </w:rPr>
              <w:t xml:space="preserve">As far as Oil India Limited (OIL) is </w:t>
            </w:r>
            <w:r>
              <w:rPr>
                <w:rFonts w:ascii="Tahoma" w:hAnsi="Tahoma" w:cs="Tahoma"/>
                <w:bCs/>
                <w:lang w:val="en-US"/>
              </w:rPr>
              <w:t>c</w:t>
            </w:r>
            <w:r w:rsidRPr="00B41DA6">
              <w:rPr>
                <w:rFonts w:ascii="Tahoma" w:hAnsi="Tahoma" w:cs="Tahoma"/>
                <w:bCs/>
                <w:lang w:val="en-US"/>
              </w:rPr>
              <w:t>oncerned</w:t>
            </w:r>
            <w:r>
              <w:rPr>
                <w:rFonts w:ascii="Tahoma" w:eastAsia="Times New Roman" w:hAnsi="Tahoma" w:cs="Tahoma"/>
                <w:kern w:val="2"/>
                <w14:ligatures w14:val="standardContextual"/>
              </w:rPr>
              <w:t>, t</w:t>
            </w:r>
            <w:r w:rsidR="00B41DA6" w:rsidRPr="00B41DA6">
              <w:rPr>
                <w:rFonts w:ascii="Tahoma" w:eastAsia="Times New Roman" w:hAnsi="Tahoma" w:cs="Tahoma"/>
                <w:kern w:val="2"/>
                <w14:ligatures w14:val="standardContextual"/>
              </w:rPr>
              <w:t>he primary objectives of Production Enhancement Contract (PEC) are to enhance the production from the marginal nomination fields by infusion of new technology and expertise and improve ultimate recovery of hydrocarbons by application of suitable technologies</w:t>
            </w:r>
          </w:p>
          <w:p w14:paraId="0C702C71" w14:textId="77777777" w:rsidR="00B41DA6" w:rsidRPr="00B41DA6" w:rsidRDefault="00B41DA6" w:rsidP="00B41DA6">
            <w:p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The key features of a Production Enhancement Contract (PEC) are given below:</w:t>
            </w:r>
          </w:p>
          <w:p w14:paraId="46659BE7"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Production Enhancement Contract (PEC) follows the principle of revenue sharing realised from the sale of incremental production of hydrocarbon, while title to the hydrocarbons and field ownership remain with the NOC.</w:t>
            </w:r>
          </w:p>
          <w:p w14:paraId="431AD73E"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Reward for maintaining the baseline hydrocarbon production.</w:t>
            </w:r>
          </w:p>
          <w:p w14:paraId="77C035B2"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Provision for incentive payment if production exceeds both the quoted incremental target and the agreed baseline production.</w:t>
            </w:r>
          </w:p>
          <w:p w14:paraId="23D8D524"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Long contract period of 15 years (may be extended for another 5 years).</w:t>
            </w:r>
          </w:p>
          <w:p w14:paraId="50759A12"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Any Indian or Foreign Company can bid individually or in consortium / JV.</w:t>
            </w:r>
          </w:p>
          <w:p w14:paraId="4AA49621"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The new Contractor/Operator would bear the entire cost of the new technology infusion and operations, and no reimbursement of expenditure already incurred.</w:t>
            </w:r>
          </w:p>
          <w:p w14:paraId="272057EA" w14:textId="77777777" w:rsidR="00B41DA6" w:rsidRPr="00B41DA6" w:rsidRDefault="00B41DA6" w:rsidP="00B41DA6">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Complete marketing and pricing freedom to sell on arm’s length basis through competitive bidding, but export will not be allowed.</w:t>
            </w:r>
          </w:p>
          <w:p w14:paraId="1C2BC2CF" w14:textId="02EF8232" w:rsidR="005859CE" w:rsidRPr="00B41DA6" w:rsidRDefault="00B41DA6" w:rsidP="005457B8">
            <w:pPr>
              <w:numPr>
                <w:ilvl w:val="0"/>
                <w:numId w:val="44"/>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Suitable exit options.</w:t>
            </w:r>
          </w:p>
        </w:tc>
      </w:tr>
      <w:tr w:rsidR="005457B8" w:rsidRPr="00040065" w14:paraId="65648DF5" w14:textId="77777777" w:rsidTr="00006BF3">
        <w:trPr>
          <w:trHeight w:val="1017"/>
        </w:trPr>
        <w:tc>
          <w:tcPr>
            <w:tcW w:w="3256" w:type="dxa"/>
          </w:tcPr>
          <w:p w14:paraId="01947609" w14:textId="3315074B" w:rsidR="005457B8" w:rsidRPr="00040065" w:rsidRDefault="005457B8" w:rsidP="005457B8">
            <w:pPr>
              <w:ind w:right="34"/>
              <w:jc w:val="both"/>
              <w:rPr>
                <w:rFonts w:ascii="Tahoma" w:eastAsia="Times New Roman" w:hAnsi="Tahoma" w:cs="Tahoma"/>
                <w:i/>
                <w:color w:val="000000"/>
              </w:rPr>
            </w:pPr>
            <w:r w:rsidRPr="00040065">
              <w:rPr>
                <w:rFonts w:ascii="Tahoma" w:hAnsi="Tahoma" w:cs="Tahoma"/>
                <w:i/>
                <w:iCs/>
              </w:rPr>
              <w:lastRenderedPageBreak/>
              <w:t>Q.(</w:t>
            </w:r>
            <w:r w:rsidR="00790B75">
              <w:rPr>
                <w:rFonts w:ascii="Tahoma" w:hAnsi="Tahoma" w:cs="Tahoma"/>
                <w:i/>
                <w:iCs/>
              </w:rPr>
              <w:t>b</w:t>
            </w:r>
            <w:r w:rsidRPr="00040065">
              <w:rPr>
                <w:rFonts w:ascii="Tahoma" w:hAnsi="Tahoma" w:cs="Tahoma"/>
                <w:i/>
                <w:iCs/>
              </w:rPr>
              <w:t xml:space="preserve">) </w:t>
            </w:r>
            <w:r w:rsidR="00790B75">
              <w:rPr>
                <w:rFonts w:ascii="Tahoma" w:eastAsia="Times New Roman" w:hAnsi="Tahoma" w:cs="Tahoma"/>
                <w:i/>
                <w:color w:val="000000"/>
              </w:rPr>
              <w:t>W</w:t>
            </w:r>
            <w:r w:rsidR="00B41DA6" w:rsidRPr="00B41DA6">
              <w:rPr>
                <w:rFonts w:ascii="Tahoma" w:eastAsia="Times New Roman" w:hAnsi="Tahoma" w:cs="Tahoma"/>
                <w:i/>
                <w:color w:val="000000"/>
              </w:rPr>
              <w:t>hat are the benefits of using PECs to enhance oil and gas production from mature fields in India</w:t>
            </w:r>
          </w:p>
        </w:tc>
        <w:tc>
          <w:tcPr>
            <w:tcW w:w="6945" w:type="dxa"/>
          </w:tcPr>
          <w:p w14:paraId="04726308" w14:textId="609D0E39" w:rsidR="005457B8"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790B75">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DC39387" w14:textId="3E0CD8FE" w:rsidR="00B41DA6" w:rsidRPr="00B41DA6" w:rsidRDefault="00D75038" w:rsidP="00B41DA6">
            <w:pPr>
              <w:spacing w:after="120"/>
              <w:jc w:val="both"/>
              <w:rPr>
                <w:rFonts w:ascii="Tahoma" w:eastAsia="Times New Roman" w:hAnsi="Tahoma" w:cs="Tahoma"/>
                <w:kern w:val="2"/>
                <w14:ligatures w14:val="standardContextual"/>
              </w:rPr>
            </w:pPr>
            <w:r w:rsidRPr="00B41DA6">
              <w:rPr>
                <w:rFonts w:ascii="Tahoma" w:hAnsi="Tahoma" w:cs="Tahoma"/>
                <w:bCs/>
                <w:lang w:val="en-US"/>
              </w:rPr>
              <w:t xml:space="preserve">As far as Oil India Limited (OIL) is </w:t>
            </w:r>
            <w:r>
              <w:rPr>
                <w:rFonts w:ascii="Tahoma" w:hAnsi="Tahoma" w:cs="Tahoma"/>
                <w:bCs/>
                <w:lang w:val="en-US"/>
              </w:rPr>
              <w:t>c</w:t>
            </w:r>
            <w:r w:rsidRPr="00B41DA6">
              <w:rPr>
                <w:rFonts w:ascii="Tahoma" w:hAnsi="Tahoma" w:cs="Tahoma"/>
                <w:bCs/>
                <w:lang w:val="en-US"/>
              </w:rPr>
              <w:t>oncerned</w:t>
            </w:r>
            <w:r>
              <w:rPr>
                <w:rFonts w:ascii="Tahoma" w:eastAsia="Times New Roman" w:hAnsi="Tahoma" w:cs="Tahoma"/>
                <w:kern w:val="2"/>
                <w14:ligatures w14:val="standardContextual"/>
              </w:rPr>
              <w:t>, k</w:t>
            </w:r>
            <w:r w:rsidR="00B41DA6" w:rsidRPr="00B41DA6">
              <w:rPr>
                <w:rFonts w:ascii="Tahoma" w:eastAsia="Times New Roman" w:hAnsi="Tahoma" w:cs="Tahoma"/>
                <w:kern w:val="2"/>
                <w14:ligatures w14:val="standardContextual"/>
              </w:rPr>
              <w:t>ey benefits of PEC include the following:</w:t>
            </w:r>
          </w:p>
          <w:p w14:paraId="32FF87C2" w14:textId="77777777" w:rsidR="00B41DA6" w:rsidRPr="00B41DA6" w:rsidRDefault="00B41DA6" w:rsidP="00B41DA6">
            <w:pPr>
              <w:numPr>
                <w:ilvl w:val="0"/>
                <w:numId w:val="45"/>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Deployment of Cutting-Edge Technology and Domain Expertise: PEC contractors possess proven experience and cutting-edge technologies for field optimisation, can rapidly deploy enhanced oil recovery (EOR) and improved oil recovery (IOR) techniques, advanced reservoir surveillance tools, and best-practice field management methods - enabling faster and more effective production enhancement than the incumbent operator’s in-house capabilities</w:t>
            </w:r>
          </w:p>
          <w:p w14:paraId="1007FA3E" w14:textId="77777777" w:rsidR="00B41DA6" w:rsidRPr="00B41DA6" w:rsidRDefault="00B41DA6" w:rsidP="00B41DA6">
            <w:pPr>
              <w:numPr>
                <w:ilvl w:val="0"/>
                <w:numId w:val="45"/>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Upfront capital and risk transfer to contractor: Under the PEC model, the contractor undertakes full responsibility for capital (CAPEX) and operating (OPEX) expenditure required for production enhancement. The National Oil Company compensates the contractor solely for incremental output achieved above the agreed baseline, avoiding the need to fund the investment directly.</w:t>
            </w:r>
          </w:p>
          <w:p w14:paraId="1D17CB0E" w14:textId="77777777" w:rsidR="00B41DA6" w:rsidRPr="00B41DA6" w:rsidRDefault="00B41DA6" w:rsidP="00B41DA6">
            <w:pPr>
              <w:numPr>
                <w:ilvl w:val="0"/>
                <w:numId w:val="45"/>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Performance-Linked Remuneration aligned to incremental production: Under PEC framework, contractor payments are directly tied to incremental oil or gas volumes produced above agreed baseline. This structure incentivises contractors to maximise recovery, optimise reservoir performance, and extend the productive life of the field. The performance-based pricing mechanism is a fundamental feature of the PEC model.</w:t>
            </w:r>
          </w:p>
          <w:p w14:paraId="34D5AA35" w14:textId="77777777" w:rsidR="00B41DA6" w:rsidRPr="00B41DA6" w:rsidRDefault="00B41DA6" w:rsidP="00B41DA6">
            <w:pPr>
              <w:numPr>
                <w:ilvl w:val="0"/>
                <w:numId w:val="45"/>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Faster turnaround through focused management: A dedicated PEC contractor can focus exclusively on production enhancement measures - including well workovers, artificial lift optimisation, infrastructure upgrades, and advanced, data-driven reservoir management - enabling swifter execution of improvement initiatives than is typically achievable within broader NOC operations.</w:t>
            </w:r>
          </w:p>
          <w:p w14:paraId="03EF9018" w14:textId="77777777" w:rsidR="00B41DA6" w:rsidRPr="00B41DA6" w:rsidRDefault="00B41DA6" w:rsidP="00B41DA6">
            <w:pPr>
              <w:numPr>
                <w:ilvl w:val="0"/>
                <w:numId w:val="45"/>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Energy security and fiscal gains: Enhancing domestic oil and gas production through PECs reduces import dependence, strengthens the nation’s energy balance, and generates additional fiscal revenues through royalties, taxes, and fees compared to a scenario of continued natural decline.</w:t>
            </w:r>
          </w:p>
          <w:p w14:paraId="3780DB29" w14:textId="1C055AE9" w:rsidR="00492206" w:rsidRPr="00B41DA6" w:rsidRDefault="00B41DA6" w:rsidP="00B41DA6">
            <w:pPr>
              <w:numPr>
                <w:ilvl w:val="0"/>
                <w:numId w:val="45"/>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14:ligatures w14:val="standardContextual"/>
              </w:rPr>
              <w:t>Capacity Building and Technology Transfer: Long-term PECs enable opportunities for on-the-job technology transfer, workforce upskilling, and local supply chain development, creating lasting industrial benefits</w:t>
            </w:r>
          </w:p>
        </w:tc>
      </w:tr>
      <w:tr w:rsidR="005457B8" w:rsidRPr="00040065" w14:paraId="54E35464" w14:textId="77777777" w:rsidTr="00B41DA6">
        <w:trPr>
          <w:trHeight w:val="1408"/>
        </w:trPr>
        <w:tc>
          <w:tcPr>
            <w:tcW w:w="3256" w:type="dxa"/>
          </w:tcPr>
          <w:p w14:paraId="26DCA173" w14:textId="75D0180D" w:rsidR="000B4AC8" w:rsidRPr="000B4AC8" w:rsidRDefault="005457B8" w:rsidP="000B4AC8">
            <w:pPr>
              <w:jc w:val="both"/>
              <w:rPr>
                <w:rFonts w:ascii="Tahoma" w:hAnsi="Tahoma" w:cs="Tahoma"/>
                <w:i/>
                <w:iCs/>
              </w:rPr>
            </w:pPr>
            <w:r w:rsidRPr="00040065">
              <w:rPr>
                <w:rFonts w:ascii="Tahoma" w:hAnsi="Tahoma" w:cs="Tahoma"/>
                <w:i/>
                <w:iCs/>
              </w:rPr>
              <w:t>Q.(</w:t>
            </w:r>
            <w:r w:rsidR="00790B75">
              <w:rPr>
                <w:rFonts w:ascii="Tahoma" w:hAnsi="Tahoma" w:cs="Tahoma"/>
                <w:i/>
                <w:iCs/>
              </w:rPr>
              <w:t>c</w:t>
            </w:r>
            <w:r w:rsidRPr="00040065">
              <w:rPr>
                <w:rFonts w:ascii="Tahoma" w:hAnsi="Tahoma" w:cs="Tahoma"/>
                <w:i/>
                <w:iCs/>
              </w:rPr>
              <w:t xml:space="preserve">) </w:t>
            </w:r>
            <w:r w:rsidR="00790B75">
              <w:rPr>
                <w:rFonts w:ascii="Tahoma" w:hAnsi="Tahoma" w:cs="Tahoma"/>
                <w:i/>
                <w:iCs/>
              </w:rPr>
              <w:t>W</w:t>
            </w:r>
            <w:r w:rsidR="00B41DA6" w:rsidRPr="00B41DA6">
              <w:rPr>
                <w:rFonts w:ascii="Tahoma" w:hAnsi="Tahoma" w:cs="Tahoma"/>
                <w:i/>
                <w:iCs/>
              </w:rPr>
              <w:t>hat are the challenges of implementing PECs in India</w:t>
            </w:r>
          </w:p>
          <w:p w14:paraId="710B4EA4" w14:textId="792A8E7E" w:rsidR="005457B8" w:rsidRPr="00040065" w:rsidRDefault="005457B8" w:rsidP="005457B8">
            <w:pPr>
              <w:jc w:val="both"/>
              <w:rPr>
                <w:rFonts w:ascii="Tahoma" w:hAnsi="Tahoma" w:cs="Tahoma"/>
                <w:i/>
                <w:iCs/>
              </w:rPr>
            </w:pPr>
          </w:p>
        </w:tc>
        <w:tc>
          <w:tcPr>
            <w:tcW w:w="6945" w:type="dxa"/>
          </w:tcPr>
          <w:p w14:paraId="4E973A3D" w14:textId="56E4DFF7" w:rsidR="005457B8"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790B75">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4FF1D88" w14:textId="0D6C5E9E" w:rsidR="00D75038" w:rsidRDefault="00D75038" w:rsidP="005457B8">
            <w:pPr>
              <w:spacing w:after="120"/>
              <w:jc w:val="both"/>
              <w:rPr>
                <w:rFonts w:ascii="Tahoma" w:eastAsia="Times New Roman" w:hAnsi="Tahoma" w:cs="Tahoma"/>
                <w:b/>
                <w:bCs/>
                <w:kern w:val="2"/>
                <w14:ligatures w14:val="standardContextual"/>
              </w:rPr>
            </w:pPr>
            <w:r w:rsidRPr="00B41DA6">
              <w:rPr>
                <w:rFonts w:ascii="Tahoma" w:hAnsi="Tahoma" w:cs="Tahoma"/>
                <w:bCs/>
                <w:lang w:val="en-US"/>
              </w:rPr>
              <w:t xml:space="preserve">As far as Oil India Limited (OIL) is </w:t>
            </w:r>
            <w:r>
              <w:rPr>
                <w:rFonts w:ascii="Tahoma" w:hAnsi="Tahoma" w:cs="Tahoma"/>
                <w:bCs/>
                <w:lang w:val="en-US"/>
              </w:rPr>
              <w:t>c</w:t>
            </w:r>
            <w:r w:rsidRPr="00B41DA6">
              <w:rPr>
                <w:rFonts w:ascii="Tahoma" w:hAnsi="Tahoma" w:cs="Tahoma"/>
                <w:bCs/>
                <w:lang w:val="en-US"/>
              </w:rPr>
              <w:t>oncerned</w:t>
            </w:r>
            <w:r>
              <w:rPr>
                <w:rFonts w:ascii="Tahoma" w:hAnsi="Tahoma" w:cs="Tahoma"/>
                <w:bCs/>
                <w:lang w:val="en-US"/>
              </w:rPr>
              <w:t>, following challenges are encountered in terms of implementing PECs in India:</w:t>
            </w:r>
          </w:p>
          <w:p w14:paraId="085BE1CB" w14:textId="30C05726" w:rsidR="00B41DA6" w:rsidRPr="00B41DA6" w:rsidRDefault="00B41DA6" w:rsidP="00B41DA6">
            <w:pPr>
              <w:numPr>
                <w:ilvl w:val="0"/>
                <w:numId w:val="46"/>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u w:val="single"/>
                <w14:ligatures w14:val="standardContextual"/>
              </w:rPr>
              <w:t>Non-Participation of Experienced Operators</w:t>
            </w:r>
            <w:r w:rsidRPr="00B41DA6">
              <w:rPr>
                <w:rFonts w:ascii="Tahoma" w:eastAsia="Times New Roman" w:hAnsi="Tahoma" w:cs="Tahoma"/>
                <w:kern w:val="2"/>
                <w14:ligatures w14:val="standardContextual"/>
              </w:rPr>
              <w:t xml:space="preserve">: Limited interest from Experienced Operators can reduce the overall competitiveness and quality of PEC </w:t>
            </w:r>
            <w:r w:rsidR="00D75038" w:rsidRPr="00B41DA6">
              <w:rPr>
                <w:rFonts w:ascii="Tahoma" w:eastAsia="Times New Roman" w:hAnsi="Tahoma" w:cs="Tahoma"/>
                <w:kern w:val="2"/>
                <w14:ligatures w14:val="standardContextual"/>
              </w:rPr>
              <w:t>bids</w:t>
            </w:r>
            <w:r w:rsidR="00D75038">
              <w:rPr>
                <w:rFonts w:ascii="Tahoma" w:eastAsia="Times New Roman" w:hAnsi="Tahoma" w:cs="Tahoma"/>
                <w:kern w:val="2"/>
                <w14:ligatures w14:val="standardContextual"/>
              </w:rPr>
              <w:t>.</w:t>
            </w:r>
            <w:r w:rsidR="00D75038" w:rsidRPr="00B41DA6">
              <w:rPr>
                <w:rFonts w:ascii="Tahoma" w:eastAsia="Times New Roman" w:hAnsi="Tahoma" w:cs="Tahoma"/>
                <w:kern w:val="2"/>
                <w14:ligatures w14:val="standardContextual"/>
              </w:rPr>
              <w:t xml:space="preserve"> The</w:t>
            </w:r>
            <w:r w:rsidRPr="00B41DA6">
              <w:rPr>
                <w:rFonts w:ascii="Tahoma" w:eastAsia="Times New Roman" w:hAnsi="Tahoma" w:cs="Tahoma"/>
                <w:kern w:val="2"/>
                <w14:ligatures w14:val="standardContextual"/>
              </w:rPr>
              <w:t xml:space="preserve"> absence of proven operators also limits opportunities for technology transfer and capacity building, reducing the long-term benefits intended under the PEC framework</w:t>
            </w:r>
          </w:p>
          <w:p w14:paraId="59D4D45A" w14:textId="0FCDD79A" w:rsidR="005457B8" w:rsidRPr="00B41DA6" w:rsidRDefault="00B41DA6" w:rsidP="00B41DA6">
            <w:pPr>
              <w:numPr>
                <w:ilvl w:val="0"/>
                <w:numId w:val="46"/>
              </w:numPr>
              <w:spacing w:after="120"/>
              <w:jc w:val="both"/>
              <w:rPr>
                <w:rFonts w:ascii="Tahoma" w:eastAsia="Times New Roman" w:hAnsi="Tahoma" w:cs="Tahoma"/>
                <w:kern w:val="2"/>
                <w14:ligatures w14:val="standardContextual"/>
              </w:rPr>
            </w:pPr>
            <w:r w:rsidRPr="00B41DA6">
              <w:rPr>
                <w:rFonts w:ascii="Tahoma" w:eastAsia="Times New Roman" w:hAnsi="Tahoma" w:cs="Tahoma"/>
                <w:kern w:val="2"/>
                <w:u w:val="single"/>
                <w14:ligatures w14:val="standardContextual"/>
              </w:rPr>
              <w:lastRenderedPageBreak/>
              <w:t>Technology Deployment Barriers Arising from Geographic Factors</w:t>
            </w:r>
            <w:r w:rsidRPr="00B41DA6">
              <w:rPr>
                <w:rFonts w:ascii="Tahoma" w:eastAsia="Times New Roman" w:hAnsi="Tahoma" w:cs="Tahoma"/>
                <w:kern w:val="2"/>
                <w14:ligatures w14:val="standardContextual"/>
              </w:rPr>
              <w:t>: Geographic conditions in many Indian mature fields - can hinder availability and timely mobilisation required technologies. Long supply chains, weather-related access restrictions, and logistical complexities can delay equipment delivery, increase costs, and limit the feasibility of deploying certain specialised systems</w:t>
            </w:r>
          </w:p>
        </w:tc>
      </w:tr>
      <w:tr w:rsidR="002E7B37" w:rsidRPr="00040065" w14:paraId="12857B01" w14:textId="77777777" w:rsidTr="002E7B37">
        <w:trPr>
          <w:trHeight w:val="1058"/>
        </w:trPr>
        <w:tc>
          <w:tcPr>
            <w:tcW w:w="3256" w:type="dxa"/>
          </w:tcPr>
          <w:p w14:paraId="4BAEE4F4" w14:textId="5CEC9272" w:rsidR="00B41DA6" w:rsidRPr="00B41DA6" w:rsidRDefault="002E7B37" w:rsidP="00B41DA6">
            <w:pPr>
              <w:jc w:val="both"/>
              <w:rPr>
                <w:rFonts w:ascii="Tahoma" w:hAnsi="Tahoma" w:cs="Tahoma"/>
                <w:i/>
                <w:iCs/>
              </w:rPr>
            </w:pPr>
            <w:r w:rsidRPr="00040065">
              <w:rPr>
                <w:rFonts w:ascii="Tahoma" w:hAnsi="Tahoma" w:cs="Tahoma"/>
                <w:i/>
                <w:iCs/>
              </w:rPr>
              <w:lastRenderedPageBreak/>
              <w:t>Q.(</w:t>
            </w:r>
            <w:r w:rsidR="00790B75">
              <w:rPr>
                <w:rFonts w:ascii="Tahoma" w:hAnsi="Tahoma" w:cs="Tahoma"/>
                <w:i/>
                <w:iCs/>
              </w:rPr>
              <w:t>d</w:t>
            </w:r>
            <w:r w:rsidRPr="00040065">
              <w:rPr>
                <w:rFonts w:ascii="Tahoma" w:hAnsi="Tahoma" w:cs="Tahoma"/>
                <w:i/>
                <w:iCs/>
              </w:rPr>
              <w:t xml:space="preserve">) </w:t>
            </w:r>
            <w:r w:rsidR="00790B75">
              <w:rPr>
                <w:rFonts w:ascii="Tahoma" w:hAnsi="Tahoma" w:cs="Tahoma"/>
                <w:i/>
                <w:iCs/>
              </w:rPr>
              <w:t>W</w:t>
            </w:r>
            <w:r w:rsidR="00B41DA6" w:rsidRPr="00B41DA6">
              <w:rPr>
                <w:rFonts w:ascii="Tahoma" w:hAnsi="Tahoma" w:cs="Tahoma"/>
                <w:i/>
                <w:iCs/>
              </w:rPr>
              <w:t>hat are some recent examples of PECs that have been awarded in India?</w:t>
            </w:r>
          </w:p>
          <w:p w14:paraId="23BB5036" w14:textId="0F924CF2" w:rsidR="002E7B37" w:rsidRPr="00040065" w:rsidRDefault="002E7B37" w:rsidP="00092EAE">
            <w:pPr>
              <w:jc w:val="both"/>
              <w:rPr>
                <w:rFonts w:ascii="Tahoma" w:hAnsi="Tahoma" w:cs="Tahoma"/>
                <w:i/>
                <w:iCs/>
              </w:rPr>
            </w:pPr>
          </w:p>
        </w:tc>
        <w:tc>
          <w:tcPr>
            <w:tcW w:w="6945" w:type="dxa"/>
          </w:tcPr>
          <w:p w14:paraId="5E88EDAB" w14:textId="40DBCEF8" w:rsidR="002E7B37" w:rsidRPr="00040065" w:rsidRDefault="002E7B37" w:rsidP="002E7B37">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790B75">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64E6E525" w14:textId="091E2FEF" w:rsidR="00B41DA6" w:rsidRPr="00B41DA6" w:rsidRDefault="00B41DA6" w:rsidP="00B41DA6">
            <w:pPr>
              <w:spacing w:after="120"/>
              <w:jc w:val="both"/>
              <w:rPr>
                <w:rFonts w:ascii="Tahoma" w:hAnsi="Tahoma" w:cs="Tahoma"/>
                <w:bCs/>
              </w:rPr>
            </w:pPr>
            <w:r w:rsidRPr="00B41DA6">
              <w:rPr>
                <w:rFonts w:ascii="Tahoma" w:hAnsi="Tahoma" w:cs="Tahoma"/>
                <w:bCs/>
                <w:lang w:val="en-US"/>
              </w:rPr>
              <w:t xml:space="preserve">As far as Oil India Limited (OIL) is </w:t>
            </w:r>
            <w:r>
              <w:rPr>
                <w:rFonts w:ascii="Tahoma" w:hAnsi="Tahoma" w:cs="Tahoma"/>
                <w:bCs/>
                <w:lang w:val="en-US"/>
              </w:rPr>
              <w:t>c</w:t>
            </w:r>
            <w:r w:rsidRPr="00B41DA6">
              <w:rPr>
                <w:rFonts w:ascii="Tahoma" w:hAnsi="Tahoma" w:cs="Tahoma"/>
                <w:bCs/>
                <w:lang w:val="en-US"/>
              </w:rPr>
              <w:t>oncerned</w:t>
            </w:r>
            <w:r>
              <w:rPr>
                <w:rFonts w:ascii="Tahoma" w:hAnsi="Tahoma" w:cs="Tahoma"/>
                <w:bCs/>
                <w:lang w:val="en-US"/>
              </w:rPr>
              <w:t xml:space="preserve">, </w:t>
            </w:r>
            <w:r>
              <w:rPr>
                <w:rFonts w:ascii="Tahoma" w:hAnsi="Tahoma" w:cs="Tahoma"/>
                <w:bCs/>
              </w:rPr>
              <w:t>r</w:t>
            </w:r>
            <w:r w:rsidRPr="00B41DA6">
              <w:rPr>
                <w:rFonts w:ascii="Tahoma" w:hAnsi="Tahoma" w:cs="Tahoma"/>
                <w:bCs/>
              </w:rPr>
              <w:t xml:space="preserve">ecent examples of Production Enhancement Contracts (PECs) </w:t>
            </w:r>
            <w:r>
              <w:rPr>
                <w:rFonts w:ascii="Tahoma" w:hAnsi="Tahoma" w:cs="Tahoma"/>
                <w:bCs/>
              </w:rPr>
              <w:t>awarded in OIL are as follows:</w:t>
            </w:r>
          </w:p>
          <w:p w14:paraId="08F1A5B8" w14:textId="77777777" w:rsidR="00B41DA6" w:rsidRPr="00B41DA6" w:rsidRDefault="00B41DA6" w:rsidP="00B41DA6">
            <w:pPr>
              <w:numPr>
                <w:ilvl w:val="0"/>
                <w:numId w:val="47"/>
              </w:numPr>
              <w:spacing w:after="120"/>
              <w:jc w:val="both"/>
              <w:rPr>
                <w:rFonts w:ascii="Tahoma" w:hAnsi="Tahoma" w:cs="Tahoma"/>
                <w:bCs/>
              </w:rPr>
            </w:pPr>
            <w:r w:rsidRPr="00B41DA6">
              <w:rPr>
                <w:rFonts w:ascii="Tahoma" w:hAnsi="Tahoma" w:cs="Tahoma"/>
                <w:b/>
                <w:bCs/>
              </w:rPr>
              <w:t>Tarajan area of OIL</w:t>
            </w:r>
            <w:r w:rsidRPr="00B41DA6">
              <w:rPr>
                <w:rFonts w:ascii="Tahoma" w:hAnsi="Tahoma" w:cs="Tahoma"/>
                <w:bCs/>
              </w:rPr>
              <w:t xml:space="preserve"> - awarded to M/s. </w:t>
            </w:r>
            <w:proofErr w:type="spellStart"/>
            <w:r w:rsidRPr="00B41DA6">
              <w:rPr>
                <w:rFonts w:ascii="Tahoma" w:hAnsi="Tahoma" w:cs="Tahoma"/>
                <w:bCs/>
              </w:rPr>
              <w:t>WellRx</w:t>
            </w:r>
            <w:proofErr w:type="spellEnd"/>
            <w:r w:rsidRPr="00B41DA6">
              <w:rPr>
                <w:rFonts w:ascii="Tahoma" w:hAnsi="Tahoma" w:cs="Tahoma"/>
                <w:bCs/>
              </w:rPr>
              <w:t xml:space="preserve"> Technologies </w:t>
            </w:r>
            <w:proofErr w:type="spellStart"/>
            <w:r w:rsidRPr="00B41DA6">
              <w:rPr>
                <w:rFonts w:ascii="Tahoma" w:hAnsi="Tahoma" w:cs="Tahoma"/>
                <w:bCs/>
              </w:rPr>
              <w:t>Pvt.</w:t>
            </w:r>
            <w:proofErr w:type="spellEnd"/>
            <w:r w:rsidRPr="00B41DA6">
              <w:rPr>
                <w:rFonts w:ascii="Tahoma" w:hAnsi="Tahoma" w:cs="Tahoma"/>
                <w:bCs/>
              </w:rPr>
              <w:t xml:space="preserve"> Ltd.</w:t>
            </w:r>
          </w:p>
          <w:p w14:paraId="396F3F30" w14:textId="77777777" w:rsidR="00B41DA6" w:rsidRPr="00B41DA6" w:rsidRDefault="00B41DA6" w:rsidP="00B41DA6">
            <w:pPr>
              <w:numPr>
                <w:ilvl w:val="0"/>
                <w:numId w:val="47"/>
              </w:numPr>
              <w:spacing w:after="120"/>
              <w:jc w:val="both"/>
              <w:rPr>
                <w:rFonts w:ascii="Tahoma" w:hAnsi="Tahoma" w:cs="Tahoma"/>
                <w:bCs/>
              </w:rPr>
            </w:pPr>
            <w:r w:rsidRPr="00B41DA6">
              <w:rPr>
                <w:rFonts w:ascii="Tahoma" w:hAnsi="Tahoma" w:cs="Tahoma"/>
                <w:b/>
                <w:bCs/>
              </w:rPr>
              <w:t>Bordubi area of OIL</w:t>
            </w:r>
            <w:r w:rsidRPr="00B41DA6">
              <w:rPr>
                <w:rFonts w:ascii="Tahoma" w:hAnsi="Tahoma" w:cs="Tahoma"/>
                <w:bCs/>
              </w:rPr>
              <w:t xml:space="preserve"> - awarded to M/s. Kiri Oilfield Services </w:t>
            </w:r>
            <w:proofErr w:type="spellStart"/>
            <w:r w:rsidRPr="00B41DA6">
              <w:rPr>
                <w:rFonts w:ascii="Tahoma" w:hAnsi="Tahoma" w:cs="Tahoma"/>
                <w:bCs/>
              </w:rPr>
              <w:t>Pvt.</w:t>
            </w:r>
            <w:proofErr w:type="spellEnd"/>
            <w:r w:rsidRPr="00B41DA6">
              <w:rPr>
                <w:rFonts w:ascii="Tahoma" w:hAnsi="Tahoma" w:cs="Tahoma"/>
                <w:bCs/>
              </w:rPr>
              <w:t xml:space="preserve"> Ltd</w:t>
            </w:r>
          </w:p>
          <w:p w14:paraId="6400ECB3" w14:textId="7BD7E8E1" w:rsidR="002E7B37" w:rsidRPr="00B41DA6" w:rsidRDefault="002E7B37" w:rsidP="005457B8">
            <w:pPr>
              <w:spacing w:after="120"/>
              <w:jc w:val="both"/>
              <w:rPr>
                <w:rFonts w:ascii="Tahoma" w:hAnsi="Tahoma" w:cs="Tahoma"/>
                <w:bCs/>
                <w:lang w:val="en-US"/>
              </w:rPr>
            </w:pPr>
          </w:p>
        </w:tc>
      </w:tr>
    </w:tbl>
    <w:p w14:paraId="23352F1B" w14:textId="6E4325AC"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230BF8"/>
    <w:multiLevelType w:val="multilevel"/>
    <w:tmpl w:val="90C8CC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8B5E40"/>
    <w:multiLevelType w:val="multilevel"/>
    <w:tmpl w:val="ECF0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7"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78408AC"/>
    <w:multiLevelType w:val="multilevel"/>
    <w:tmpl w:val="B9C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4E268E"/>
    <w:multiLevelType w:val="multilevel"/>
    <w:tmpl w:val="A14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6"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2"/>
  </w:num>
  <w:num w:numId="3">
    <w:abstractNumId w:val="11"/>
  </w:num>
  <w:num w:numId="4">
    <w:abstractNumId w:val="0"/>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1"/>
  </w:num>
  <w:num w:numId="7">
    <w:abstractNumId w:val="8"/>
  </w:num>
  <w:num w:numId="8">
    <w:abstractNumId w:val="14"/>
  </w:num>
  <w:num w:numId="9">
    <w:abstractNumId w:val="27"/>
  </w:num>
  <w:num w:numId="10">
    <w:abstractNumId w:val="45"/>
  </w:num>
  <w:num w:numId="11">
    <w:abstractNumId w:val="25"/>
  </w:num>
  <w:num w:numId="12">
    <w:abstractNumId w:val="23"/>
  </w:num>
  <w:num w:numId="13">
    <w:abstractNumId w:val="36"/>
  </w:num>
  <w:num w:numId="14">
    <w:abstractNumId w:val="29"/>
  </w:num>
  <w:num w:numId="15">
    <w:abstractNumId w:val="40"/>
  </w:num>
  <w:num w:numId="16">
    <w:abstractNumId w:val="21"/>
  </w:num>
  <w:num w:numId="17">
    <w:abstractNumId w:val="22"/>
  </w:num>
  <w:num w:numId="18">
    <w:abstractNumId w:val="17"/>
  </w:num>
  <w:num w:numId="19">
    <w:abstractNumId w:val="32"/>
  </w:num>
  <w:num w:numId="20">
    <w:abstractNumId w:val="34"/>
  </w:num>
  <w:num w:numId="21">
    <w:abstractNumId w:val="6"/>
  </w:num>
  <w:num w:numId="22">
    <w:abstractNumId w:val="44"/>
  </w:num>
  <w:num w:numId="23">
    <w:abstractNumId w:val="30"/>
  </w:num>
  <w:num w:numId="24">
    <w:abstractNumId w:val="24"/>
  </w:num>
  <w:num w:numId="25">
    <w:abstractNumId w:val="13"/>
  </w:num>
  <w:num w:numId="26">
    <w:abstractNumId w:val="9"/>
  </w:num>
  <w:num w:numId="27">
    <w:abstractNumId w:val="4"/>
  </w:num>
  <w:num w:numId="28">
    <w:abstractNumId w:val="37"/>
  </w:num>
  <w:num w:numId="29">
    <w:abstractNumId w:val="41"/>
  </w:num>
  <w:num w:numId="3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8"/>
    <w:lvlOverride w:ilvl="0">
      <w:startOverride w:val="1"/>
    </w:lvlOverride>
    <w:lvlOverride w:ilvl="1"/>
    <w:lvlOverride w:ilvl="2"/>
    <w:lvlOverride w:ilvl="3"/>
    <w:lvlOverride w:ilvl="4"/>
    <w:lvlOverride w:ilvl="5"/>
    <w:lvlOverride w:ilvl="6"/>
    <w:lvlOverride w:ilvl="7"/>
    <w:lvlOverride w:ilvl="8"/>
  </w:num>
  <w:num w:numId="33">
    <w:abstractNumId w:val="19"/>
  </w:num>
  <w:num w:numId="34">
    <w:abstractNumId w:val="33"/>
  </w:num>
  <w:num w:numId="35">
    <w:abstractNumId w:val="43"/>
  </w:num>
  <w:num w:numId="36">
    <w:abstractNumId w:val="18"/>
  </w:num>
  <w:num w:numId="37">
    <w:abstractNumId w:val="2"/>
  </w:num>
  <w:num w:numId="38">
    <w:abstractNumId w:val="1"/>
  </w:num>
  <w:num w:numId="39">
    <w:abstractNumId w:val="7"/>
  </w:num>
  <w:num w:numId="40">
    <w:abstractNumId w:val="26"/>
  </w:num>
  <w:num w:numId="41">
    <w:abstractNumId w:val="35"/>
  </w:num>
  <w:num w:numId="42">
    <w:abstractNumId w:val="42"/>
  </w:num>
  <w:num w:numId="43">
    <w:abstractNumId w:val="16"/>
  </w:num>
  <w:num w:numId="44">
    <w:abstractNumId w:val="38"/>
  </w:num>
  <w:num w:numId="45">
    <w:abstractNumId w:val="15"/>
  </w:num>
  <w:num w:numId="46">
    <w:abstractNumId w:val="39"/>
  </w:num>
  <w:num w:numId="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06BF3"/>
    <w:rsid w:val="00006D62"/>
    <w:rsid w:val="000205D2"/>
    <w:rsid w:val="00040065"/>
    <w:rsid w:val="0004741A"/>
    <w:rsid w:val="0005506B"/>
    <w:rsid w:val="0006232A"/>
    <w:rsid w:val="000715A3"/>
    <w:rsid w:val="00071650"/>
    <w:rsid w:val="000730D5"/>
    <w:rsid w:val="0007784F"/>
    <w:rsid w:val="00092EAE"/>
    <w:rsid w:val="000977F8"/>
    <w:rsid w:val="000A09A2"/>
    <w:rsid w:val="000A21AB"/>
    <w:rsid w:val="000A2F38"/>
    <w:rsid w:val="000B4AC8"/>
    <w:rsid w:val="000B6878"/>
    <w:rsid w:val="000B717E"/>
    <w:rsid w:val="000C27A5"/>
    <w:rsid w:val="000C5232"/>
    <w:rsid w:val="000C5B3E"/>
    <w:rsid w:val="000C6499"/>
    <w:rsid w:val="000C6679"/>
    <w:rsid w:val="000C780F"/>
    <w:rsid w:val="000F07AB"/>
    <w:rsid w:val="000F5C49"/>
    <w:rsid w:val="000F5CA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03BB6"/>
    <w:rsid w:val="002254E2"/>
    <w:rsid w:val="00230158"/>
    <w:rsid w:val="00235041"/>
    <w:rsid w:val="00246075"/>
    <w:rsid w:val="00261595"/>
    <w:rsid w:val="002618BC"/>
    <w:rsid w:val="002639D6"/>
    <w:rsid w:val="00265CDC"/>
    <w:rsid w:val="00284B8F"/>
    <w:rsid w:val="00287BE4"/>
    <w:rsid w:val="002938BE"/>
    <w:rsid w:val="002A7B0E"/>
    <w:rsid w:val="002B36D7"/>
    <w:rsid w:val="002C07CD"/>
    <w:rsid w:val="002C2F3A"/>
    <w:rsid w:val="002E2DA8"/>
    <w:rsid w:val="002E5790"/>
    <w:rsid w:val="002E61F1"/>
    <w:rsid w:val="002E7B37"/>
    <w:rsid w:val="002E7EBA"/>
    <w:rsid w:val="002F2731"/>
    <w:rsid w:val="002F5F62"/>
    <w:rsid w:val="0030475B"/>
    <w:rsid w:val="00312D2B"/>
    <w:rsid w:val="003179D3"/>
    <w:rsid w:val="0032755B"/>
    <w:rsid w:val="00335C1C"/>
    <w:rsid w:val="00345A27"/>
    <w:rsid w:val="00346153"/>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92206"/>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34AF9"/>
    <w:rsid w:val="005457B8"/>
    <w:rsid w:val="00551830"/>
    <w:rsid w:val="0055185D"/>
    <w:rsid w:val="00552C99"/>
    <w:rsid w:val="00556073"/>
    <w:rsid w:val="00562579"/>
    <w:rsid w:val="005632FA"/>
    <w:rsid w:val="0056541D"/>
    <w:rsid w:val="00575BE9"/>
    <w:rsid w:val="005765F5"/>
    <w:rsid w:val="005859CE"/>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274"/>
    <w:rsid w:val="00671E00"/>
    <w:rsid w:val="0067744F"/>
    <w:rsid w:val="0069091F"/>
    <w:rsid w:val="006914A0"/>
    <w:rsid w:val="006A0F75"/>
    <w:rsid w:val="006A2B11"/>
    <w:rsid w:val="006A734A"/>
    <w:rsid w:val="006A7AF4"/>
    <w:rsid w:val="006B5433"/>
    <w:rsid w:val="006C405C"/>
    <w:rsid w:val="006D360F"/>
    <w:rsid w:val="006E5B6B"/>
    <w:rsid w:val="006F2F7A"/>
    <w:rsid w:val="006F5F9D"/>
    <w:rsid w:val="00700063"/>
    <w:rsid w:val="00702DC3"/>
    <w:rsid w:val="00705E51"/>
    <w:rsid w:val="00707A79"/>
    <w:rsid w:val="007102AE"/>
    <w:rsid w:val="00715CA5"/>
    <w:rsid w:val="00724C3D"/>
    <w:rsid w:val="007420CA"/>
    <w:rsid w:val="00744E45"/>
    <w:rsid w:val="0075600F"/>
    <w:rsid w:val="007566E9"/>
    <w:rsid w:val="007601BC"/>
    <w:rsid w:val="00787588"/>
    <w:rsid w:val="00790B75"/>
    <w:rsid w:val="007918D9"/>
    <w:rsid w:val="007A218C"/>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8F6F8E"/>
    <w:rsid w:val="00910D7E"/>
    <w:rsid w:val="00912768"/>
    <w:rsid w:val="00916452"/>
    <w:rsid w:val="00920CFB"/>
    <w:rsid w:val="00930CB0"/>
    <w:rsid w:val="00931D33"/>
    <w:rsid w:val="009363A9"/>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623B"/>
    <w:rsid w:val="00A322D4"/>
    <w:rsid w:val="00A36610"/>
    <w:rsid w:val="00A3735E"/>
    <w:rsid w:val="00A40A9F"/>
    <w:rsid w:val="00A4127B"/>
    <w:rsid w:val="00A41779"/>
    <w:rsid w:val="00A41B22"/>
    <w:rsid w:val="00A44788"/>
    <w:rsid w:val="00A44F46"/>
    <w:rsid w:val="00A5073A"/>
    <w:rsid w:val="00A67BEF"/>
    <w:rsid w:val="00A83A36"/>
    <w:rsid w:val="00A92834"/>
    <w:rsid w:val="00AA359F"/>
    <w:rsid w:val="00AE10C1"/>
    <w:rsid w:val="00B234E6"/>
    <w:rsid w:val="00B32638"/>
    <w:rsid w:val="00B3384E"/>
    <w:rsid w:val="00B355C9"/>
    <w:rsid w:val="00B41DA6"/>
    <w:rsid w:val="00B43D2A"/>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75038"/>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74050"/>
    <w:rsid w:val="00E869E0"/>
    <w:rsid w:val="00E87FA9"/>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17776692">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64647013">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2553705">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189144900">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49585843">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299725375">
      <w:bodyDiv w:val="1"/>
      <w:marLeft w:val="0"/>
      <w:marRight w:val="0"/>
      <w:marTop w:val="0"/>
      <w:marBottom w:val="0"/>
      <w:divBdr>
        <w:top w:val="none" w:sz="0" w:space="0" w:color="auto"/>
        <w:left w:val="none" w:sz="0" w:space="0" w:color="auto"/>
        <w:bottom w:val="none" w:sz="0" w:space="0" w:color="auto"/>
        <w:right w:val="none" w:sz="0" w:space="0" w:color="auto"/>
      </w:divBdr>
    </w:div>
    <w:div w:id="31962654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28557107">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12748127">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55678249">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88792944">
      <w:bodyDiv w:val="1"/>
      <w:marLeft w:val="0"/>
      <w:marRight w:val="0"/>
      <w:marTop w:val="0"/>
      <w:marBottom w:val="0"/>
      <w:divBdr>
        <w:top w:val="none" w:sz="0" w:space="0" w:color="auto"/>
        <w:left w:val="none" w:sz="0" w:space="0" w:color="auto"/>
        <w:bottom w:val="none" w:sz="0" w:space="0" w:color="auto"/>
        <w:right w:val="none" w:sz="0" w:space="0" w:color="auto"/>
      </w:divBdr>
    </w:div>
    <w:div w:id="494301105">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1533355">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21171673">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45533841">
      <w:bodyDiv w:val="1"/>
      <w:marLeft w:val="0"/>
      <w:marRight w:val="0"/>
      <w:marTop w:val="0"/>
      <w:marBottom w:val="0"/>
      <w:divBdr>
        <w:top w:val="none" w:sz="0" w:space="0" w:color="auto"/>
        <w:left w:val="none" w:sz="0" w:space="0" w:color="auto"/>
        <w:bottom w:val="none" w:sz="0" w:space="0" w:color="auto"/>
        <w:right w:val="none" w:sz="0" w:space="0" w:color="auto"/>
      </w:divBdr>
    </w:div>
    <w:div w:id="552036755">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5957488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75424683">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29570629">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48623239">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60937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762934">
      <w:bodyDiv w:val="1"/>
      <w:marLeft w:val="0"/>
      <w:marRight w:val="0"/>
      <w:marTop w:val="0"/>
      <w:marBottom w:val="0"/>
      <w:divBdr>
        <w:top w:val="none" w:sz="0" w:space="0" w:color="auto"/>
        <w:left w:val="none" w:sz="0" w:space="0" w:color="auto"/>
        <w:bottom w:val="none" w:sz="0" w:space="0" w:color="auto"/>
        <w:right w:val="none" w:sz="0" w:space="0" w:color="auto"/>
      </w:divBdr>
    </w:div>
    <w:div w:id="791099547">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1435741">
      <w:bodyDiv w:val="1"/>
      <w:marLeft w:val="0"/>
      <w:marRight w:val="0"/>
      <w:marTop w:val="0"/>
      <w:marBottom w:val="0"/>
      <w:divBdr>
        <w:top w:val="none" w:sz="0" w:space="0" w:color="auto"/>
        <w:left w:val="none" w:sz="0" w:space="0" w:color="auto"/>
        <w:bottom w:val="none" w:sz="0" w:space="0" w:color="auto"/>
        <w:right w:val="none" w:sz="0" w:space="0" w:color="auto"/>
      </w:divBdr>
    </w:div>
    <w:div w:id="823200215">
      <w:bodyDiv w:val="1"/>
      <w:marLeft w:val="0"/>
      <w:marRight w:val="0"/>
      <w:marTop w:val="0"/>
      <w:marBottom w:val="0"/>
      <w:divBdr>
        <w:top w:val="none" w:sz="0" w:space="0" w:color="auto"/>
        <w:left w:val="none" w:sz="0" w:space="0" w:color="auto"/>
        <w:bottom w:val="none" w:sz="0" w:space="0" w:color="auto"/>
        <w:right w:val="none" w:sz="0" w:space="0" w:color="auto"/>
      </w:divBdr>
    </w:div>
    <w:div w:id="829753691">
      <w:bodyDiv w:val="1"/>
      <w:marLeft w:val="0"/>
      <w:marRight w:val="0"/>
      <w:marTop w:val="0"/>
      <w:marBottom w:val="0"/>
      <w:divBdr>
        <w:top w:val="none" w:sz="0" w:space="0" w:color="auto"/>
        <w:left w:val="none" w:sz="0" w:space="0" w:color="auto"/>
        <w:bottom w:val="none" w:sz="0" w:space="0" w:color="auto"/>
        <w:right w:val="none" w:sz="0" w:space="0" w:color="auto"/>
      </w:divBdr>
    </w:div>
    <w:div w:id="845903457">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5236484">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80364172">
      <w:bodyDiv w:val="1"/>
      <w:marLeft w:val="0"/>
      <w:marRight w:val="0"/>
      <w:marTop w:val="0"/>
      <w:marBottom w:val="0"/>
      <w:divBdr>
        <w:top w:val="none" w:sz="0" w:space="0" w:color="auto"/>
        <w:left w:val="none" w:sz="0" w:space="0" w:color="auto"/>
        <w:bottom w:val="none" w:sz="0" w:space="0" w:color="auto"/>
        <w:right w:val="none" w:sz="0" w:space="0" w:color="auto"/>
      </w:divBdr>
    </w:div>
    <w:div w:id="89019437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0216074">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770925">
      <w:bodyDiv w:val="1"/>
      <w:marLeft w:val="0"/>
      <w:marRight w:val="0"/>
      <w:marTop w:val="0"/>
      <w:marBottom w:val="0"/>
      <w:divBdr>
        <w:top w:val="none" w:sz="0" w:space="0" w:color="auto"/>
        <w:left w:val="none" w:sz="0" w:space="0" w:color="auto"/>
        <w:bottom w:val="none" w:sz="0" w:space="0" w:color="auto"/>
        <w:right w:val="none" w:sz="0" w:space="0" w:color="auto"/>
      </w:divBdr>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3390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2562946">
      <w:bodyDiv w:val="1"/>
      <w:marLeft w:val="0"/>
      <w:marRight w:val="0"/>
      <w:marTop w:val="0"/>
      <w:marBottom w:val="0"/>
      <w:divBdr>
        <w:top w:val="none" w:sz="0" w:space="0" w:color="auto"/>
        <w:left w:val="none" w:sz="0" w:space="0" w:color="auto"/>
        <w:bottom w:val="none" w:sz="0" w:space="0" w:color="auto"/>
        <w:right w:val="none" w:sz="0" w:space="0" w:color="auto"/>
      </w:divBdr>
    </w:div>
    <w:div w:id="975792188">
      <w:bodyDiv w:val="1"/>
      <w:marLeft w:val="0"/>
      <w:marRight w:val="0"/>
      <w:marTop w:val="0"/>
      <w:marBottom w:val="0"/>
      <w:divBdr>
        <w:top w:val="none" w:sz="0" w:space="0" w:color="auto"/>
        <w:left w:val="none" w:sz="0" w:space="0" w:color="auto"/>
        <w:bottom w:val="none" w:sz="0" w:space="0" w:color="auto"/>
        <w:right w:val="none" w:sz="0" w:space="0" w:color="auto"/>
      </w:divBdr>
    </w:div>
    <w:div w:id="998920226">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36396515">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3401770">
      <w:bodyDiv w:val="1"/>
      <w:marLeft w:val="0"/>
      <w:marRight w:val="0"/>
      <w:marTop w:val="0"/>
      <w:marBottom w:val="0"/>
      <w:divBdr>
        <w:top w:val="none" w:sz="0" w:space="0" w:color="auto"/>
        <w:left w:val="none" w:sz="0" w:space="0" w:color="auto"/>
        <w:bottom w:val="none" w:sz="0" w:space="0" w:color="auto"/>
        <w:right w:val="none" w:sz="0" w:space="0" w:color="auto"/>
      </w:divBdr>
    </w:div>
    <w:div w:id="1146505226">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65441181">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11260493">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5058096">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013587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34473244">
      <w:bodyDiv w:val="1"/>
      <w:marLeft w:val="0"/>
      <w:marRight w:val="0"/>
      <w:marTop w:val="0"/>
      <w:marBottom w:val="0"/>
      <w:divBdr>
        <w:top w:val="none" w:sz="0" w:space="0" w:color="auto"/>
        <w:left w:val="none" w:sz="0" w:space="0" w:color="auto"/>
        <w:bottom w:val="none" w:sz="0" w:space="0" w:color="auto"/>
        <w:right w:val="none" w:sz="0" w:space="0" w:color="auto"/>
      </w:divBdr>
    </w:div>
    <w:div w:id="1450319825">
      <w:bodyDiv w:val="1"/>
      <w:marLeft w:val="0"/>
      <w:marRight w:val="0"/>
      <w:marTop w:val="0"/>
      <w:marBottom w:val="0"/>
      <w:divBdr>
        <w:top w:val="none" w:sz="0" w:space="0" w:color="auto"/>
        <w:left w:val="none" w:sz="0" w:space="0" w:color="auto"/>
        <w:bottom w:val="none" w:sz="0" w:space="0" w:color="auto"/>
        <w:right w:val="none" w:sz="0" w:space="0" w:color="auto"/>
      </w:divBdr>
      <w:divsChild>
        <w:div w:id="1300769804">
          <w:marLeft w:val="0"/>
          <w:marRight w:val="0"/>
          <w:marTop w:val="0"/>
          <w:marBottom w:val="0"/>
          <w:divBdr>
            <w:top w:val="none" w:sz="0" w:space="0" w:color="auto"/>
            <w:left w:val="none" w:sz="0" w:space="0" w:color="auto"/>
            <w:bottom w:val="none" w:sz="0" w:space="0" w:color="auto"/>
            <w:right w:val="none" w:sz="0" w:space="0" w:color="auto"/>
          </w:divBdr>
          <w:divsChild>
            <w:div w:id="15529617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3035426">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28253509">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8950086">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34868915">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3280997">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11909940">
      <w:bodyDiv w:val="1"/>
      <w:marLeft w:val="0"/>
      <w:marRight w:val="0"/>
      <w:marTop w:val="0"/>
      <w:marBottom w:val="0"/>
      <w:divBdr>
        <w:top w:val="none" w:sz="0" w:space="0" w:color="auto"/>
        <w:left w:val="none" w:sz="0" w:space="0" w:color="auto"/>
        <w:bottom w:val="none" w:sz="0" w:space="0" w:color="auto"/>
        <w:right w:val="none" w:sz="0" w:space="0" w:color="auto"/>
      </w:divBdr>
    </w:div>
    <w:div w:id="2018926556">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4235753">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 w:id="214453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BF8DBDFF-16E7-4512-AA0C-A07E5063C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2025-08-05T10:25:00Z</cp:lastPrinted>
  <dcterms:created xsi:type="dcterms:W3CDTF">2025-08-11T06:32:00Z</dcterms:created>
  <dcterms:modified xsi:type="dcterms:W3CDTF">2025-08-11T06:32:00Z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