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4B2FBF91"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1F17B4">
        <w:rPr>
          <w:rFonts w:ascii="Tahoma" w:hAnsi="Tahoma" w:cs="Tahoma"/>
          <w:b/>
          <w:lang w:val="en-US"/>
        </w:rPr>
        <w:t>2</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071650">
        <w:rPr>
          <w:rFonts w:ascii="Tahoma" w:hAnsi="Tahoma" w:cs="Tahoma"/>
          <w:b/>
          <w:lang w:val="en-US"/>
        </w:rPr>
        <w:t>2</w:t>
      </w:r>
      <w:r w:rsidR="00EE4AA3">
        <w:rPr>
          <w:rFonts w:ascii="Tahoma" w:hAnsi="Tahoma" w:cs="Tahoma"/>
          <w:b/>
          <w:lang w:val="en-US"/>
        </w:rPr>
        <w:t>7</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650819">
        <w:rPr>
          <w:rFonts w:ascii="Tahoma" w:hAnsi="Tahoma" w:cs="Tahoma"/>
          <w:b/>
          <w:lang w:val="en-US"/>
        </w:rPr>
        <w:t xml:space="preserve">         </w:t>
      </w:r>
      <w:r w:rsidR="008B23B3" w:rsidRPr="00CE5DA4">
        <w:rPr>
          <w:rFonts w:ascii="Tahoma" w:hAnsi="Tahoma" w:cs="Tahoma"/>
          <w:b/>
          <w:lang w:val="en-US"/>
        </w:rPr>
        <w:t xml:space="preserve">  </w:t>
      </w:r>
      <w:r w:rsidR="00B742ED">
        <w:rPr>
          <w:rFonts w:ascii="Tahoma" w:hAnsi="Tahoma" w:cs="Tahoma"/>
          <w:b/>
          <w:lang w:val="en-US"/>
        </w:rPr>
        <w:t>2</w:t>
      </w:r>
      <w:r w:rsidR="00650819">
        <w:rPr>
          <w:rFonts w:ascii="Tahoma" w:hAnsi="Tahoma" w:cs="Tahoma"/>
          <w:b/>
          <w:lang w:val="en-US"/>
        </w:rPr>
        <w:t>2</w:t>
      </w:r>
      <w:r w:rsidR="00650819" w:rsidRPr="00650819">
        <w:rPr>
          <w:rFonts w:ascii="Tahoma" w:hAnsi="Tahoma" w:cs="Tahoma"/>
          <w:b/>
          <w:vertAlign w:val="superscript"/>
          <w:lang w:val="en-US"/>
        </w:rPr>
        <w:t>nd</w:t>
      </w:r>
      <w:r w:rsidR="00650819">
        <w:rPr>
          <w:rFonts w:ascii="Tahoma" w:hAnsi="Tahoma" w:cs="Tahoma"/>
          <w:b/>
          <w:lang w:val="en-US"/>
        </w:rPr>
        <w:t xml:space="preserve"> </w:t>
      </w:r>
      <w:r w:rsidR="00B742ED">
        <w:rPr>
          <w:rFonts w:ascii="Tahoma" w:hAnsi="Tahoma" w:cs="Tahoma"/>
          <w:b/>
          <w:lang w:val="en-US"/>
        </w:rPr>
        <w:t xml:space="preserve"> </w:t>
      </w:r>
      <w:r w:rsidR="001F17B4">
        <w:rPr>
          <w:rFonts w:ascii="Tahoma" w:hAnsi="Tahoma" w:cs="Tahoma"/>
          <w:b/>
          <w:lang w:val="en-US"/>
        </w:rPr>
        <w:t xml:space="preserve"> July</w:t>
      </w:r>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964BCE9" w14:textId="3C61C902" w:rsidR="003E2B73" w:rsidRPr="003E2B73" w:rsidRDefault="00506AF9" w:rsidP="003E2B73">
      <w:pPr>
        <w:spacing w:after="0"/>
        <w:ind w:right="-482"/>
        <w:jc w:val="center"/>
        <w:rPr>
          <w:rFonts w:ascii="Tahoma" w:hAnsi="Tahoma" w:cs="Tahoma"/>
          <w:b/>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1F17B4">
        <w:rPr>
          <w:rFonts w:ascii="Tahoma" w:hAnsi="Tahoma" w:cs="Tahoma"/>
          <w:b/>
          <w:lang w:val="en-US"/>
        </w:rPr>
        <w:t xml:space="preserve">              </w:t>
      </w:r>
      <w:r w:rsidR="000C6679" w:rsidRPr="00CE5DA4">
        <w:rPr>
          <w:rFonts w:ascii="Tahoma" w:hAnsi="Tahoma" w:cs="Tahoma"/>
          <w:b/>
          <w:lang w:val="en-US"/>
        </w:rPr>
        <w:t>Kind Attn:</w:t>
      </w:r>
      <w:r w:rsidR="003E2B73">
        <w:rPr>
          <w:rFonts w:ascii="Tahoma" w:hAnsi="Tahoma" w:cs="Tahoma"/>
          <w:b/>
          <w:lang w:val="en-US"/>
        </w:rPr>
        <w:t xml:space="preserve"> </w:t>
      </w:r>
      <w:r w:rsidR="00E14F53">
        <w:rPr>
          <w:rFonts w:ascii="Tahoma" w:hAnsi="Tahoma" w:cs="Tahoma"/>
          <w:b/>
          <w:lang w:val="en-US"/>
        </w:rPr>
        <w:t>Sh. Jatin Sahu</w:t>
      </w:r>
    </w:p>
    <w:p w14:paraId="08B02684" w14:textId="13E4AF9C" w:rsidR="003E2B73" w:rsidRDefault="003E2B73" w:rsidP="003E2B73">
      <w:pPr>
        <w:spacing w:after="0"/>
        <w:ind w:right="-482"/>
        <w:jc w:val="center"/>
        <w:rPr>
          <w:rFonts w:ascii="Tahoma" w:hAnsi="Tahoma" w:cs="Tahoma"/>
          <w:u w:val="single"/>
          <w:lang w:val="en-US"/>
        </w:rPr>
      </w:pPr>
      <w:r>
        <w:rPr>
          <w:rFonts w:ascii="Tahoma" w:hAnsi="Tahoma" w:cs="Tahoma"/>
          <w:b/>
          <w:lang w:val="en-US"/>
        </w:rPr>
        <w:t xml:space="preserve">                                                                                                   </w:t>
      </w:r>
      <w:r w:rsidRPr="0066060F">
        <w:rPr>
          <w:rFonts w:ascii="Tahoma" w:hAnsi="Tahoma" w:cs="Tahoma"/>
          <w:bCs/>
          <w:lang w:val="en-US"/>
        </w:rPr>
        <w:t xml:space="preserve">  </w:t>
      </w:r>
      <w:r w:rsidR="00E14F53">
        <w:rPr>
          <w:rFonts w:ascii="Tahoma" w:hAnsi="Tahoma" w:cs="Tahoma"/>
          <w:bCs/>
          <w:lang w:val="en-US"/>
        </w:rPr>
        <w:t xml:space="preserve">                     </w:t>
      </w:r>
      <w:r w:rsidRPr="00DD5CA9">
        <w:rPr>
          <w:rFonts w:ascii="Tahoma" w:hAnsi="Tahoma" w:cs="Tahoma"/>
          <w:u w:val="single"/>
          <w:lang w:val="en-US"/>
        </w:rPr>
        <w:t>Section</w:t>
      </w:r>
      <w:r w:rsidRPr="003E2B73">
        <w:rPr>
          <w:rFonts w:ascii="Tahoma" w:hAnsi="Tahoma" w:cs="Tahoma"/>
          <w:u w:val="single"/>
          <w:lang w:val="en-US"/>
        </w:rPr>
        <w:t xml:space="preserve"> Officer</w:t>
      </w:r>
    </w:p>
    <w:p w14:paraId="4EFB309F" w14:textId="77777777" w:rsidR="0066060F" w:rsidRPr="003E2B73" w:rsidRDefault="0066060F" w:rsidP="003E2B73">
      <w:pPr>
        <w:spacing w:after="0"/>
        <w:ind w:right="-482"/>
        <w:jc w:val="center"/>
        <w:rPr>
          <w:rFonts w:ascii="Tahoma" w:hAnsi="Tahoma" w:cs="Tahoma"/>
          <w:u w:val="single"/>
          <w:lang w:val="en-US"/>
        </w:rPr>
      </w:pPr>
    </w:p>
    <w:p w14:paraId="24F1D845" w14:textId="57EAEFCB" w:rsidR="004A407D" w:rsidRPr="00CE5DA4" w:rsidRDefault="00F211B3" w:rsidP="00DD5CA9">
      <w:pPr>
        <w:tabs>
          <w:tab w:val="left" w:pos="1440"/>
        </w:tabs>
        <w:spacing w:after="0" w:line="360" w:lineRule="auto"/>
        <w:ind w:right="-563"/>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DD5CA9">
        <w:rPr>
          <w:rFonts w:ascii="Tahoma" w:hAnsi="Tahoma" w:cs="Tahoma"/>
          <w:lang w:val="en-US"/>
        </w:rPr>
        <w:t xml:space="preserve">Rajya </w:t>
      </w:r>
      <w:r w:rsidR="00EB0203" w:rsidRPr="00CE5DA4">
        <w:rPr>
          <w:rFonts w:ascii="Tahoma" w:hAnsi="Tahoma" w:cs="Tahoma"/>
          <w:lang w:val="en-US"/>
        </w:rPr>
        <w:t>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4B3795">
        <w:rPr>
          <w:rFonts w:ascii="Tahoma" w:hAnsi="Tahoma" w:cs="Tahoma"/>
          <w:lang w:val="en-US"/>
        </w:rPr>
        <w:t>Uns</w:t>
      </w:r>
      <w:r w:rsidR="00FC22E2" w:rsidRPr="00CE5DA4">
        <w:rPr>
          <w:rFonts w:ascii="Tahoma" w:hAnsi="Tahoma" w:cs="Tahoma"/>
          <w:lang w:val="en-US"/>
        </w:rPr>
        <w:t xml:space="preserve">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2C5FB5">
        <w:rPr>
          <w:rFonts w:ascii="Tahoma" w:hAnsi="Tahoma" w:cs="Tahoma"/>
          <w:lang w:val="en-US"/>
        </w:rPr>
        <w:t>S</w:t>
      </w:r>
      <w:r w:rsidR="00EE4AA3">
        <w:rPr>
          <w:rFonts w:ascii="Tahoma" w:hAnsi="Tahoma" w:cs="Tahoma"/>
          <w:lang w:val="en-US"/>
        </w:rPr>
        <w:t>3309</w:t>
      </w:r>
      <w:r w:rsidR="00D42DA1" w:rsidRPr="00CE5DA4">
        <w:rPr>
          <w:rFonts w:ascii="Tahoma" w:hAnsi="Tahoma" w:cs="Tahoma"/>
          <w:lang w:val="en-US"/>
        </w:rPr>
        <w:t xml:space="preserve"> </w:t>
      </w:r>
      <w:proofErr w:type="gramStart"/>
      <w:r w:rsidR="000029E2" w:rsidRPr="00CE5DA4">
        <w:rPr>
          <w:rFonts w:ascii="Tahoma" w:hAnsi="Tahoma" w:cs="Tahoma"/>
          <w:lang w:val="en-US"/>
        </w:rPr>
        <w:t xml:space="preserve">for </w:t>
      </w:r>
      <w:r w:rsidR="008D1ADC" w:rsidRPr="00CE5DA4">
        <w:rPr>
          <w:rFonts w:ascii="Tahoma" w:hAnsi="Tahoma" w:cs="Tahoma"/>
          <w:lang w:val="en-US"/>
        </w:rPr>
        <w:t xml:space="preserve"> </w:t>
      </w:r>
      <w:r w:rsidR="001A2608">
        <w:rPr>
          <w:rFonts w:ascii="Tahoma" w:hAnsi="Tahoma" w:cs="Tahoma"/>
          <w:lang w:val="en-US"/>
        </w:rPr>
        <w:t>2</w:t>
      </w:r>
      <w:r w:rsidR="00DD5CA9">
        <w:rPr>
          <w:rFonts w:ascii="Tahoma" w:hAnsi="Tahoma" w:cs="Tahoma"/>
          <w:lang w:val="en-US"/>
        </w:rPr>
        <w:t>8</w:t>
      </w:r>
      <w:r w:rsidR="00345A27"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000029E2" w:rsidRPr="00CE5DA4">
        <w:rPr>
          <w:rFonts w:ascii="Tahoma" w:hAnsi="Tahoma" w:cs="Tahoma"/>
          <w:lang w:val="en-US"/>
        </w:rPr>
        <w:t>.202</w:t>
      </w:r>
      <w:r w:rsidR="00F270A6" w:rsidRPr="00CE5DA4">
        <w:rPr>
          <w:rFonts w:ascii="Tahoma" w:hAnsi="Tahoma" w:cs="Tahoma"/>
          <w:lang w:val="en-US"/>
        </w:rPr>
        <w:t>5</w:t>
      </w:r>
      <w:proofErr w:type="gramEnd"/>
      <w:r w:rsidR="00F270A6" w:rsidRPr="00CE5DA4">
        <w:rPr>
          <w:rFonts w:ascii="Tahoma" w:hAnsi="Tahoma" w:cs="Tahoma"/>
          <w:lang w:val="en-US"/>
        </w:rPr>
        <w:t xml:space="preserve"> </w:t>
      </w:r>
    </w:p>
    <w:p w14:paraId="6D88C26E" w14:textId="62B09E0E" w:rsidR="00F211B3" w:rsidRPr="00CE5DA4" w:rsidRDefault="008D1ADC" w:rsidP="004B3795">
      <w:pPr>
        <w:tabs>
          <w:tab w:val="left" w:pos="1440"/>
        </w:tabs>
        <w:spacing w:after="0" w:line="360" w:lineRule="auto"/>
        <w:ind w:left="1701" w:right="-572" w:hanging="1701"/>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EE4AA3">
        <w:rPr>
          <w:rFonts w:ascii="Tahoma" w:hAnsi="Tahoma" w:cs="Tahoma"/>
          <w:b/>
          <w:lang w:val="en-US"/>
        </w:rPr>
        <w:t>Import Dependence and Energy Security</w:t>
      </w:r>
      <w:r w:rsidR="0032755B" w:rsidRPr="00CE5DA4">
        <w:rPr>
          <w:rFonts w:ascii="Tahoma" w:hAnsi="Tahoma" w:cs="Tahoma"/>
          <w:b/>
          <w:lang w:val="en-US"/>
        </w:rPr>
        <w:t>”</w:t>
      </w:r>
    </w:p>
    <w:p w14:paraId="3297E00F" w14:textId="5EEFB819" w:rsidR="00C42C3F"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66060F">
        <w:rPr>
          <w:rFonts w:ascii="Tahoma" w:hAnsi="Tahoma" w:cs="Tahoma"/>
          <w:lang w:val="en-US"/>
        </w:rPr>
        <w:t>1</w:t>
      </w:r>
      <w:r w:rsidR="00DD5CA9">
        <w:rPr>
          <w:rFonts w:ascii="Tahoma" w:hAnsi="Tahoma" w:cs="Tahoma"/>
          <w:lang w:val="en-US"/>
        </w:rPr>
        <w:t>8</w:t>
      </w:r>
      <w:r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55EC2A8A" w:rsidR="00F211B3" w:rsidRDefault="00E14F53" w:rsidP="00C42C3F">
      <w:pPr>
        <w:spacing w:after="0"/>
        <w:ind w:right="-613"/>
        <w:rPr>
          <w:rFonts w:ascii="Tahoma" w:hAnsi="Tahoma" w:cs="Tahoma"/>
          <w:lang w:val="en-US"/>
        </w:rPr>
      </w:pPr>
      <w:r>
        <w:rPr>
          <w:rFonts w:ascii="Tahoma" w:hAnsi="Tahoma" w:cs="Tahoma"/>
          <w:lang w:val="en-US"/>
        </w:rPr>
        <w:t>Sir</w:t>
      </w:r>
      <w:r w:rsidR="00F211B3" w:rsidRPr="00CE5DA4">
        <w:rPr>
          <w:rFonts w:ascii="Tahoma" w:hAnsi="Tahoma" w:cs="Tahoma"/>
          <w:lang w:val="en-US"/>
        </w:rPr>
        <w:t>,</w:t>
      </w:r>
    </w:p>
    <w:p w14:paraId="141A8195" w14:textId="77777777" w:rsidR="001F17B4" w:rsidRPr="00CE5DA4" w:rsidRDefault="001F17B4" w:rsidP="00C42C3F">
      <w:pPr>
        <w:spacing w:after="0"/>
        <w:ind w:right="-613"/>
        <w:rPr>
          <w:rFonts w:ascii="Tahoma" w:hAnsi="Tahoma" w:cs="Tahoma"/>
          <w:lang w:val="en-US"/>
        </w:rPr>
      </w:pPr>
    </w:p>
    <w:p w14:paraId="2813D01B" w14:textId="7660CB44" w:rsidR="00C42C3F"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DD5CA9">
        <w:rPr>
          <w:rFonts w:ascii="Tahoma" w:hAnsi="Tahoma" w:cs="Tahoma"/>
          <w:lang w:val="en-US"/>
        </w:rPr>
        <w:t>Rajya</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p w14:paraId="7A62E975" w14:textId="77777777" w:rsidR="002C5FB5" w:rsidRDefault="002C5FB5" w:rsidP="00C42C3F">
      <w:pPr>
        <w:spacing w:after="0"/>
        <w:rPr>
          <w:rFonts w:ascii="Tahoma" w:hAnsi="Tahoma" w:cs="Tahoma"/>
          <w:lang w:val="en-US"/>
        </w:rPr>
      </w:pPr>
    </w:p>
    <w:tbl>
      <w:tblPr>
        <w:tblStyle w:val="TableGrid"/>
        <w:tblW w:w="9895" w:type="dxa"/>
        <w:tblLayout w:type="fixed"/>
        <w:tblLook w:val="04A0" w:firstRow="1" w:lastRow="0" w:firstColumn="1" w:lastColumn="0" w:noHBand="0" w:noVBand="1"/>
      </w:tblPr>
      <w:tblGrid>
        <w:gridCol w:w="2547"/>
        <w:gridCol w:w="7348"/>
      </w:tblGrid>
      <w:tr w:rsidR="006F729F" w:rsidRPr="00CE5DA4" w14:paraId="55DD2EA1" w14:textId="77777777" w:rsidTr="00131348">
        <w:trPr>
          <w:trHeight w:val="1178"/>
        </w:trPr>
        <w:tc>
          <w:tcPr>
            <w:tcW w:w="2547" w:type="dxa"/>
          </w:tcPr>
          <w:p w14:paraId="6A5A5F3C" w14:textId="5F899FE7" w:rsidR="006F729F" w:rsidRPr="00EE4AA3" w:rsidRDefault="006F729F" w:rsidP="00EE4AA3">
            <w:pPr>
              <w:ind w:right="34"/>
              <w:jc w:val="both"/>
              <w:rPr>
                <w:rFonts w:ascii="Tahoma" w:hAnsi="Tahoma" w:cs="Tahoma"/>
                <w:i/>
                <w:iCs/>
                <w:lang w:val="en-US"/>
              </w:rPr>
            </w:pPr>
            <w:r w:rsidRPr="00CE5DA4">
              <w:rPr>
                <w:rFonts w:ascii="Tahoma" w:hAnsi="Tahoma" w:cs="Tahoma"/>
                <w:i/>
                <w:iCs/>
              </w:rPr>
              <w:t>Q.(a)</w:t>
            </w:r>
            <w:r>
              <w:rPr>
                <w:rFonts w:ascii="Tahoma" w:hAnsi="Tahoma" w:cs="Tahoma"/>
                <w:i/>
                <w:iCs/>
              </w:rPr>
              <w:t xml:space="preserve"> </w:t>
            </w:r>
            <w:r w:rsidRPr="00EE4AA3">
              <w:rPr>
                <w:rFonts w:ascii="Tahoma" w:hAnsi="Tahoma" w:cs="Tahoma"/>
                <w:i/>
                <w:iCs/>
                <w:lang w:val="en-US"/>
              </w:rPr>
              <w:t>Is it a fact that dependency on crude oil imports has increased in recent years in the</w:t>
            </w:r>
            <w:r>
              <w:rPr>
                <w:rFonts w:ascii="Tahoma" w:hAnsi="Tahoma" w:cs="Tahoma"/>
                <w:i/>
                <w:iCs/>
                <w:lang w:val="en-US"/>
              </w:rPr>
              <w:t xml:space="preserve"> </w:t>
            </w:r>
            <w:r w:rsidRPr="00EE4AA3">
              <w:rPr>
                <w:rFonts w:ascii="Tahoma" w:hAnsi="Tahoma" w:cs="Tahoma"/>
                <w:i/>
                <w:iCs/>
                <w:lang w:val="en-US"/>
              </w:rPr>
              <w:t>country and if so, the details thereof;</w:t>
            </w:r>
          </w:p>
          <w:p w14:paraId="0E7173C7" w14:textId="34598BF1" w:rsidR="006F729F" w:rsidRDefault="006F729F" w:rsidP="008B492E">
            <w:pPr>
              <w:ind w:right="34"/>
              <w:jc w:val="both"/>
              <w:rPr>
                <w:rFonts w:ascii="Tahoma" w:hAnsi="Tahoma" w:cs="Tahoma"/>
                <w:i/>
                <w:iCs/>
              </w:rPr>
            </w:pPr>
          </w:p>
          <w:p w14:paraId="2DE223EC" w14:textId="77777777" w:rsidR="006F729F" w:rsidRDefault="006F729F" w:rsidP="008B492E">
            <w:pPr>
              <w:ind w:right="34"/>
              <w:jc w:val="both"/>
              <w:rPr>
                <w:rFonts w:ascii="Tahoma" w:hAnsi="Tahoma" w:cs="Tahoma"/>
                <w:i/>
                <w:iCs/>
              </w:rPr>
            </w:pPr>
          </w:p>
          <w:p w14:paraId="4062B524" w14:textId="3173431B" w:rsidR="006F729F" w:rsidRPr="00CE5DA4" w:rsidRDefault="006F729F" w:rsidP="008B492E">
            <w:pPr>
              <w:ind w:right="34"/>
              <w:jc w:val="both"/>
              <w:rPr>
                <w:rFonts w:ascii="Tahoma" w:hAnsi="Tahoma" w:cs="Tahoma"/>
                <w:i/>
                <w:iCs/>
              </w:rPr>
            </w:pPr>
          </w:p>
        </w:tc>
        <w:tc>
          <w:tcPr>
            <w:tcW w:w="7348" w:type="dxa"/>
            <w:vMerge w:val="restart"/>
          </w:tcPr>
          <w:p w14:paraId="244D5E62" w14:textId="5C35529B" w:rsidR="006F729F" w:rsidRDefault="006F729F"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 &amp; Q(b):</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45929233" w14:textId="5F67BD7D" w:rsidR="006F729F" w:rsidRDefault="006F729F" w:rsidP="001A2608">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India’s dependency on crude oil import can be inferred from the self-sufficiency table of PPAC Ready Reckoner FY 24-25 report.</w:t>
            </w:r>
          </w:p>
          <w:p w14:paraId="73B03272" w14:textId="391F201E" w:rsidR="006F729F" w:rsidRPr="00036EBA" w:rsidRDefault="006F729F" w:rsidP="00036EBA">
            <w:pPr>
              <w:spacing w:after="120"/>
              <w:jc w:val="center"/>
              <w:rPr>
                <w:rFonts w:ascii="Tahoma" w:eastAsia="Times New Roman" w:hAnsi="Tahoma" w:cs="Tahoma"/>
                <w:b/>
                <w:bCs/>
                <w:noProof/>
                <w:kern w:val="2"/>
                <w14:ligatures w14:val="standardContextual"/>
              </w:rPr>
            </w:pPr>
          </w:p>
          <w:tbl>
            <w:tblPr>
              <w:tblStyle w:val="TableGrid"/>
              <w:tblW w:w="7097" w:type="dxa"/>
              <w:tblLayout w:type="fixed"/>
              <w:tblLook w:val="04A0" w:firstRow="1" w:lastRow="0" w:firstColumn="1" w:lastColumn="0" w:noHBand="0" w:noVBand="1"/>
            </w:tblPr>
            <w:tblGrid>
              <w:gridCol w:w="2018"/>
              <w:gridCol w:w="851"/>
              <w:gridCol w:w="850"/>
              <w:gridCol w:w="851"/>
              <w:gridCol w:w="850"/>
              <w:gridCol w:w="851"/>
              <w:gridCol w:w="826"/>
            </w:tblGrid>
            <w:tr w:rsidR="00036EBA" w:rsidRPr="00036EBA" w14:paraId="2DA1F81E" w14:textId="77777777" w:rsidTr="00036EBA">
              <w:trPr>
                <w:trHeight w:val="380"/>
              </w:trPr>
              <w:tc>
                <w:tcPr>
                  <w:tcW w:w="7097" w:type="dxa"/>
                  <w:gridSpan w:val="7"/>
                </w:tcPr>
                <w:p w14:paraId="50D244B0" w14:textId="5C779D7B" w:rsidR="00036EBA" w:rsidRPr="00036EBA" w:rsidRDefault="00036EBA" w:rsidP="00036EBA">
                  <w:pPr>
                    <w:spacing w:after="120"/>
                    <w:jc w:val="center"/>
                    <w:rPr>
                      <w:rFonts w:ascii="Tahoma" w:eastAsia="Times New Roman" w:hAnsi="Tahoma" w:cs="Tahoma"/>
                      <w:b/>
                      <w:bCs/>
                      <w:kern w:val="2"/>
                      <w14:ligatures w14:val="standardContextual"/>
                    </w:rPr>
                  </w:pPr>
                  <w:r w:rsidRPr="00036EBA">
                    <w:rPr>
                      <w:rFonts w:ascii="Tahoma" w:eastAsia="Times New Roman" w:hAnsi="Tahoma" w:cs="Tahoma"/>
                      <w:b/>
                      <w:bCs/>
                      <w:kern w:val="2"/>
                      <w14:ligatures w14:val="standardContextual"/>
                    </w:rPr>
                    <w:t>Self Sufficiency in Petroleum Products</w:t>
                  </w:r>
                </w:p>
              </w:tc>
            </w:tr>
            <w:tr w:rsidR="00036EBA" w14:paraId="3405C56B" w14:textId="77777777" w:rsidTr="00036EBA">
              <w:trPr>
                <w:trHeight w:val="395"/>
              </w:trPr>
              <w:tc>
                <w:tcPr>
                  <w:tcW w:w="7097" w:type="dxa"/>
                  <w:gridSpan w:val="7"/>
                </w:tcPr>
                <w:p w14:paraId="5024EF86" w14:textId="12823E5D" w:rsidR="00036EBA" w:rsidRPr="002E713E" w:rsidRDefault="00036EBA" w:rsidP="00036EBA">
                  <w:pPr>
                    <w:spacing w:after="120"/>
                    <w:jc w:val="right"/>
                    <w:rPr>
                      <w:rFonts w:ascii="Tahoma" w:eastAsia="Times New Roman" w:hAnsi="Tahoma" w:cs="Tahoma"/>
                      <w:b/>
                      <w:bCs/>
                      <w:kern w:val="2"/>
                      <w14:ligatures w14:val="standardContextual"/>
                    </w:rPr>
                  </w:pPr>
                  <w:r w:rsidRPr="002E713E">
                    <w:rPr>
                      <w:rFonts w:ascii="Tahoma" w:eastAsia="Times New Roman" w:hAnsi="Tahoma" w:cs="Tahoma"/>
                      <w:b/>
                      <w:bCs/>
                      <w:kern w:val="2"/>
                      <w14:ligatures w14:val="standardContextual"/>
                    </w:rPr>
                    <w:t>(MMT)</w:t>
                  </w:r>
                </w:p>
              </w:tc>
            </w:tr>
            <w:tr w:rsidR="00036EBA" w14:paraId="560D5E8E" w14:textId="77777777" w:rsidTr="00036EBA">
              <w:trPr>
                <w:trHeight w:val="654"/>
              </w:trPr>
              <w:tc>
                <w:tcPr>
                  <w:tcW w:w="2018" w:type="dxa"/>
                </w:tcPr>
                <w:p w14:paraId="5C735643" w14:textId="42CC0ACF" w:rsidR="00036EBA" w:rsidRPr="00036EBA" w:rsidRDefault="00036EBA" w:rsidP="001A2608">
                  <w:pPr>
                    <w:spacing w:after="120"/>
                    <w:jc w:val="both"/>
                    <w:rPr>
                      <w:rFonts w:ascii="Tahoma" w:eastAsia="Times New Roman" w:hAnsi="Tahoma" w:cs="Tahoma"/>
                      <w:b/>
                      <w:bCs/>
                      <w:kern w:val="2"/>
                      <w14:ligatures w14:val="standardContextual"/>
                    </w:rPr>
                  </w:pPr>
                  <w:r w:rsidRPr="00036EBA">
                    <w:rPr>
                      <w:rFonts w:ascii="Tahoma" w:eastAsia="Times New Roman" w:hAnsi="Tahoma" w:cs="Tahoma"/>
                      <w:b/>
                      <w:bCs/>
                      <w:kern w:val="2"/>
                      <w14:ligatures w14:val="standardContextual"/>
                    </w:rPr>
                    <w:t>Particulars</w:t>
                  </w:r>
                </w:p>
              </w:tc>
              <w:tc>
                <w:tcPr>
                  <w:tcW w:w="851" w:type="dxa"/>
                </w:tcPr>
                <w:p w14:paraId="4FC1319D" w14:textId="773BEB22" w:rsidR="00036EBA" w:rsidRPr="00036EBA" w:rsidRDefault="00036EBA" w:rsidP="001A2608">
                  <w:pPr>
                    <w:spacing w:after="120"/>
                    <w:jc w:val="both"/>
                    <w:rPr>
                      <w:rFonts w:ascii="Tahoma" w:eastAsia="Times New Roman" w:hAnsi="Tahoma" w:cs="Tahoma"/>
                      <w:b/>
                      <w:bCs/>
                      <w:kern w:val="2"/>
                      <w14:ligatures w14:val="standardContextual"/>
                    </w:rPr>
                  </w:pPr>
                  <w:r w:rsidRPr="00036EBA">
                    <w:rPr>
                      <w:rFonts w:ascii="Tahoma" w:eastAsia="Times New Roman" w:hAnsi="Tahoma" w:cs="Tahoma"/>
                      <w:b/>
                      <w:bCs/>
                      <w:kern w:val="2"/>
                      <w14:ligatures w14:val="standardContextual"/>
                    </w:rPr>
                    <w:t>2019-20</w:t>
                  </w:r>
                </w:p>
              </w:tc>
              <w:tc>
                <w:tcPr>
                  <w:tcW w:w="850" w:type="dxa"/>
                </w:tcPr>
                <w:p w14:paraId="419935BE" w14:textId="07E2D563" w:rsidR="00036EBA" w:rsidRPr="00036EBA" w:rsidRDefault="00036EBA" w:rsidP="001A2608">
                  <w:pPr>
                    <w:spacing w:after="120"/>
                    <w:jc w:val="both"/>
                    <w:rPr>
                      <w:rFonts w:ascii="Tahoma" w:eastAsia="Times New Roman" w:hAnsi="Tahoma" w:cs="Tahoma"/>
                      <w:b/>
                      <w:bCs/>
                      <w:kern w:val="2"/>
                      <w14:ligatures w14:val="standardContextual"/>
                    </w:rPr>
                  </w:pPr>
                  <w:r w:rsidRPr="00036EBA">
                    <w:rPr>
                      <w:rFonts w:ascii="Tahoma" w:eastAsia="Times New Roman" w:hAnsi="Tahoma" w:cs="Tahoma"/>
                      <w:b/>
                      <w:bCs/>
                      <w:kern w:val="2"/>
                      <w14:ligatures w14:val="standardContextual"/>
                    </w:rPr>
                    <w:t>2020-21</w:t>
                  </w:r>
                </w:p>
              </w:tc>
              <w:tc>
                <w:tcPr>
                  <w:tcW w:w="851" w:type="dxa"/>
                </w:tcPr>
                <w:p w14:paraId="2DAF8E78" w14:textId="03C34850" w:rsidR="00036EBA" w:rsidRPr="00036EBA" w:rsidRDefault="00036EBA" w:rsidP="001A2608">
                  <w:pPr>
                    <w:spacing w:after="120"/>
                    <w:jc w:val="both"/>
                    <w:rPr>
                      <w:rFonts w:ascii="Tahoma" w:eastAsia="Times New Roman" w:hAnsi="Tahoma" w:cs="Tahoma"/>
                      <w:b/>
                      <w:bCs/>
                      <w:kern w:val="2"/>
                      <w14:ligatures w14:val="standardContextual"/>
                    </w:rPr>
                  </w:pPr>
                  <w:r w:rsidRPr="00036EBA">
                    <w:rPr>
                      <w:rFonts w:ascii="Tahoma" w:eastAsia="Times New Roman" w:hAnsi="Tahoma" w:cs="Tahoma"/>
                      <w:b/>
                      <w:bCs/>
                      <w:kern w:val="2"/>
                      <w14:ligatures w14:val="standardContextual"/>
                    </w:rPr>
                    <w:t>2021-22</w:t>
                  </w:r>
                </w:p>
              </w:tc>
              <w:tc>
                <w:tcPr>
                  <w:tcW w:w="850" w:type="dxa"/>
                </w:tcPr>
                <w:p w14:paraId="42F96045" w14:textId="321F96F4" w:rsidR="00036EBA" w:rsidRPr="00036EBA" w:rsidRDefault="00036EBA" w:rsidP="001A2608">
                  <w:pPr>
                    <w:spacing w:after="120"/>
                    <w:jc w:val="both"/>
                    <w:rPr>
                      <w:rFonts w:ascii="Tahoma" w:eastAsia="Times New Roman" w:hAnsi="Tahoma" w:cs="Tahoma"/>
                      <w:b/>
                      <w:bCs/>
                      <w:kern w:val="2"/>
                      <w14:ligatures w14:val="standardContextual"/>
                    </w:rPr>
                  </w:pPr>
                  <w:r w:rsidRPr="00036EBA">
                    <w:rPr>
                      <w:rFonts w:ascii="Tahoma" w:eastAsia="Times New Roman" w:hAnsi="Tahoma" w:cs="Tahoma"/>
                      <w:b/>
                      <w:bCs/>
                      <w:kern w:val="2"/>
                      <w14:ligatures w14:val="standardContextual"/>
                    </w:rPr>
                    <w:t>2022-23</w:t>
                  </w:r>
                </w:p>
              </w:tc>
              <w:tc>
                <w:tcPr>
                  <w:tcW w:w="851" w:type="dxa"/>
                </w:tcPr>
                <w:p w14:paraId="73EF0643" w14:textId="7BC21F26" w:rsidR="00036EBA" w:rsidRPr="00036EBA" w:rsidRDefault="00036EBA" w:rsidP="001A2608">
                  <w:pPr>
                    <w:spacing w:after="120"/>
                    <w:jc w:val="both"/>
                    <w:rPr>
                      <w:rFonts w:ascii="Tahoma" w:eastAsia="Times New Roman" w:hAnsi="Tahoma" w:cs="Tahoma"/>
                      <w:b/>
                      <w:bCs/>
                      <w:kern w:val="2"/>
                      <w14:ligatures w14:val="standardContextual"/>
                    </w:rPr>
                  </w:pPr>
                  <w:r w:rsidRPr="00036EBA">
                    <w:rPr>
                      <w:rFonts w:ascii="Tahoma" w:eastAsia="Times New Roman" w:hAnsi="Tahoma" w:cs="Tahoma"/>
                      <w:b/>
                      <w:bCs/>
                      <w:kern w:val="2"/>
                      <w14:ligatures w14:val="standardContextual"/>
                    </w:rPr>
                    <w:t>2023-24</w:t>
                  </w:r>
                </w:p>
              </w:tc>
              <w:tc>
                <w:tcPr>
                  <w:tcW w:w="826" w:type="dxa"/>
                </w:tcPr>
                <w:p w14:paraId="33D03852" w14:textId="78B4C822" w:rsidR="00036EBA" w:rsidRPr="00036EBA" w:rsidRDefault="00036EBA" w:rsidP="00036EBA">
                  <w:pPr>
                    <w:spacing w:after="120"/>
                    <w:rPr>
                      <w:rFonts w:ascii="Tahoma" w:eastAsia="Times New Roman" w:hAnsi="Tahoma" w:cs="Tahoma"/>
                      <w:b/>
                      <w:bCs/>
                      <w:kern w:val="2"/>
                      <w14:ligatures w14:val="standardContextual"/>
                    </w:rPr>
                  </w:pPr>
                  <w:r w:rsidRPr="00036EBA">
                    <w:rPr>
                      <w:rFonts w:ascii="Tahoma" w:eastAsia="Times New Roman" w:hAnsi="Tahoma" w:cs="Tahoma"/>
                      <w:b/>
                      <w:bCs/>
                      <w:kern w:val="2"/>
                      <w14:ligatures w14:val="standardContextual"/>
                    </w:rPr>
                    <w:t>2024-25</w:t>
                  </w:r>
                </w:p>
              </w:tc>
            </w:tr>
            <w:tr w:rsidR="00036EBA" w14:paraId="7D4E6353" w14:textId="77777777" w:rsidTr="00036EBA">
              <w:trPr>
                <w:trHeight w:val="380"/>
              </w:trPr>
              <w:tc>
                <w:tcPr>
                  <w:tcW w:w="2018" w:type="dxa"/>
                </w:tcPr>
                <w:p w14:paraId="59F15356" w14:textId="6F79A164" w:rsidR="00036EBA" w:rsidRPr="00036EBA" w:rsidRDefault="00036EBA" w:rsidP="00036EBA">
                  <w:pPr>
                    <w:spacing w:after="120"/>
                    <w:rPr>
                      <w:rFonts w:ascii="Tahoma" w:eastAsia="Times New Roman" w:hAnsi="Tahoma" w:cs="Tahoma"/>
                      <w:kern w:val="2"/>
                      <w14:ligatures w14:val="standardContextual"/>
                    </w:rPr>
                  </w:pPr>
                  <w:proofErr w:type="spellStart"/>
                  <w:r w:rsidRPr="00036EBA">
                    <w:rPr>
                      <w:rFonts w:ascii="Tahoma" w:eastAsia="Times New Roman" w:hAnsi="Tahoma" w:cs="Tahoma"/>
                      <w:kern w:val="2"/>
                      <w14:ligatures w14:val="standardContextual"/>
                    </w:rPr>
                    <w:t>i</w:t>
                  </w:r>
                  <w:proofErr w:type="spellEnd"/>
                  <w:r w:rsidRPr="00036EBA">
                    <w:rPr>
                      <w:rFonts w:ascii="Tahoma" w:eastAsia="Times New Roman" w:hAnsi="Tahoma" w:cs="Tahoma"/>
                      <w:kern w:val="2"/>
                      <w14:ligatures w14:val="standardContextual"/>
                    </w:rPr>
                    <w:t>)</w:t>
                  </w:r>
                  <w:r>
                    <w:rPr>
                      <w:rFonts w:ascii="Tahoma" w:eastAsia="Times New Roman" w:hAnsi="Tahoma" w:cs="Tahoma"/>
                      <w:kern w:val="2"/>
                      <w14:ligatures w14:val="standardContextual"/>
                    </w:rPr>
                    <w:t xml:space="preserve"> Indigenous crude oil Processing</w:t>
                  </w:r>
                </w:p>
              </w:tc>
              <w:tc>
                <w:tcPr>
                  <w:tcW w:w="851" w:type="dxa"/>
                </w:tcPr>
                <w:p w14:paraId="1A16FDB6" w14:textId="648C92AB" w:rsidR="00036EBA" w:rsidRPr="002F0997" w:rsidRDefault="00036EBA"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29.3</w:t>
                  </w:r>
                </w:p>
              </w:tc>
              <w:tc>
                <w:tcPr>
                  <w:tcW w:w="850" w:type="dxa"/>
                </w:tcPr>
                <w:p w14:paraId="7F0FDF11" w14:textId="4C1A31A7"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28.0</w:t>
                  </w:r>
                </w:p>
              </w:tc>
              <w:tc>
                <w:tcPr>
                  <w:tcW w:w="851" w:type="dxa"/>
                </w:tcPr>
                <w:p w14:paraId="1EED98F9" w14:textId="1D0CB022"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27.0</w:t>
                  </w:r>
                </w:p>
              </w:tc>
              <w:tc>
                <w:tcPr>
                  <w:tcW w:w="850" w:type="dxa"/>
                </w:tcPr>
                <w:p w14:paraId="1C123D6F" w14:textId="57FC9990"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26.5</w:t>
                  </w:r>
                </w:p>
              </w:tc>
              <w:tc>
                <w:tcPr>
                  <w:tcW w:w="851" w:type="dxa"/>
                </w:tcPr>
                <w:p w14:paraId="02CB8EEA" w14:textId="05AF92DA"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26.9</w:t>
                  </w:r>
                </w:p>
              </w:tc>
              <w:tc>
                <w:tcPr>
                  <w:tcW w:w="826" w:type="dxa"/>
                </w:tcPr>
                <w:p w14:paraId="56365457" w14:textId="1E364277"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27.5</w:t>
                  </w:r>
                </w:p>
              </w:tc>
            </w:tr>
            <w:tr w:rsidR="00036EBA" w14:paraId="664483F0" w14:textId="77777777" w:rsidTr="00036EBA">
              <w:trPr>
                <w:trHeight w:val="395"/>
              </w:trPr>
              <w:tc>
                <w:tcPr>
                  <w:tcW w:w="2018" w:type="dxa"/>
                </w:tcPr>
                <w:p w14:paraId="43455034" w14:textId="28D3F7E0" w:rsidR="00036EBA" w:rsidRDefault="00036EBA" w:rsidP="00036EBA">
                  <w:pPr>
                    <w:spacing w:after="120"/>
                    <w:rPr>
                      <w:rFonts w:ascii="Tahoma" w:eastAsia="Times New Roman" w:hAnsi="Tahoma" w:cs="Tahoma"/>
                      <w:kern w:val="2"/>
                      <w14:ligatures w14:val="standardContextual"/>
                    </w:rPr>
                  </w:pPr>
                  <w:r>
                    <w:rPr>
                      <w:rFonts w:ascii="Tahoma" w:eastAsia="Times New Roman" w:hAnsi="Tahoma" w:cs="Tahoma"/>
                      <w:kern w:val="2"/>
                      <w14:ligatures w14:val="standardContextual"/>
                    </w:rPr>
                    <w:t>a) Products from Indigenous crude</w:t>
                  </w:r>
                </w:p>
              </w:tc>
              <w:tc>
                <w:tcPr>
                  <w:tcW w:w="851" w:type="dxa"/>
                </w:tcPr>
                <w:p w14:paraId="5522A7D7" w14:textId="0D39B9C5" w:rsidR="00036EBA" w:rsidRPr="002F0997" w:rsidRDefault="00036EBA"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27.3</w:t>
                  </w:r>
                </w:p>
              </w:tc>
              <w:tc>
                <w:tcPr>
                  <w:tcW w:w="850" w:type="dxa"/>
                </w:tcPr>
                <w:p w14:paraId="2D8DD1DA" w14:textId="51A5F5A5"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26.1</w:t>
                  </w:r>
                </w:p>
              </w:tc>
              <w:tc>
                <w:tcPr>
                  <w:tcW w:w="851" w:type="dxa"/>
                </w:tcPr>
                <w:p w14:paraId="34B85D81" w14:textId="1D6B46D6"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25.2</w:t>
                  </w:r>
                </w:p>
              </w:tc>
              <w:tc>
                <w:tcPr>
                  <w:tcW w:w="850" w:type="dxa"/>
                </w:tcPr>
                <w:p w14:paraId="1FE7F861" w14:textId="2875415C"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24.7</w:t>
                  </w:r>
                </w:p>
              </w:tc>
              <w:tc>
                <w:tcPr>
                  <w:tcW w:w="851" w:type="dxa"/>
                </w:tcPr>
                <w:p w14:paraId="213064E7" w14:textId="05D6CB1B"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25.1</w:t>
                  </w:r>
                </w:p>
              </w:tc>
              <w:tc>
                <w:tcPr>
                  <w:tcW w:w="826" w:type="dxa"/>
                </w:tcPr>
                <w:p w14:paraId="589BA637" w14:textId="1C74C058"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25.7</w:t>
                  </w:r>
                </w:p>
              </w:tc>
            </w:tr>
            <w:tr w:rsidR="00036EBA" w14:paraId="53411B21" w14:textId="77777777" w:rsidTr="00036EBA">
              <w:trPr>
                <w:trHeight w:val="380"/>
              </w:trPr>
              <w:tc>
                <w:tcPr>
                  <w:tcW w:w="2018" w:type="dxa"/>
                </w:tcPr>
                <w:p w14:paraId="6D8686F8" w14:textId="2C3E9F45" w:rsidR="00036EBA" w:rsidRDefault="00036EBA" w:rsidP="00036EBA">
                  <w:pPr>
                    <w:spacing w:after="120"/>
                    <w:rPr>
                      <w:rFonts w:ascii="Tahoma" w:eastAsia="Times New Roman" w:hAnsi="Tahoma" w:cs="Tahoma"/>
                      <w:kern w:val="2"/>
                      <w14:ligatures w14:val="standardContextual"/>
                    </w:rPr>
                  </w:pPr>
                  <w:r>
                    <w:rPr>
                      <w:rFonts w:ascii="Tahoma" w:eastAsia="Times New Roman" w:hAnsi="Tahoma" w:cs="Tahoma"/>
                      <w:kern w:val="2"/>
                      <w14:ligatures w14:val="standardContextual"/>
                    </w:rPr>
                    <w:t>b) Products from fractionators</w:t>
                  </w:r>
                </w:p>
              </w:tc>
              <w:tc>
                <w:tcPr>
                  <w:tcW w:w="851" w:type="dxa"/>
                </w:tcPr>
                <w:p w14:paraId="5CF4D0CD" w14:textId="73155F45"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4.8</w:t>
                  </w:r>
                </w:p>
              </w:tc>
              <w:tc>
                <w:tcPr>
                  <w:tcW w:w="850" w:type="dxa"/>
                </w:tcPr>
                <w:p w14:paraId="36FB3A4A" w14:textId="05BDEB17"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4.2</w:t>
                  </w:r>
                </w:p>
              </w:tc>
              <w:tc>
                <w:tcPr>
                  <w:tcW w:w="851" w:type="dxa"/>
                </w:tcPr>
                <w:p w14:paraId="5EF7FF59" w14:textId="50AF1CF5"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4.1</w:t>
                  </w:r>
                </w:p>
              </w:tc>
              <w:tc>
                <w:tcPr>
                  <w:tcW w:w="850" w:type="dxa"/>
                </w:tcPr>
                <w:p w14:paraId="6B0BEAB2" w14:textId="1078537C"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3.5</w:t>
                  </w:r>
                </w:p>
              </w:tc>
              <w:tc>
                <w:tcPr>
                  <w:tcW w:w="851" w:type="dxa"/>
                </w:tcPr>
                <w:p w14:paraId="4337A80C" w14:textId="5CF18E97"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3.5</w:t>
                  </w:r>
                </w:p>
              </w:tc>
              <w:tc>
                <w:tcPr>
                  <w:tcW w:w="826" w:type="dxa"/>
                </w:tcPr>
                <w:p w14:paraId="4936B817" w14:textId="7E366E86"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3.7</w:t>
                  </w:r>
                </w:p>
              </w:tc>
            </w:tr>
            <w:tr w:rsidR="00036EBA" w14:paraId="54E524A1" w14:textId="77777777" w:rsidTr="00036EBA">
              <w:trPr>
                <w:trHeight w:val="380"/>
              </w:trPr>
              <w:tc>
                <w:tcPr>
                  <w:tcW w:w="2018" w:type="dxa"/>
                </w:tcPr>
                <w:p w14:paraId="03BA937D" w14:textId="0503AA6A" w:rsidR="00036EBA" w:rsidRPr="00036EBA" w:rsidRDefault="00036EBA" w:rsidP="00036EBA">
                  <w:pPr>
                    <w:spacing w:after="120"/>
                    <w:rPr>
                      <w:rFonts w:ascii="Tahoma" w:eastAsia="Times New Roman" w:hAnsi="Tahoma" w:cs="Tahoma"/>
                      <w:b/>
                      <w:bCs/>
                      <w:kern w:val="2"/>
                      <w14:ligatures w14:val="standardContextual"/>
                    </w:rPr>
                  </w:pPr>
                  <w:r w:rsidRPr="00036EBA">
                    <w:rPr>
                      <w:rFonts w:ascii="Tahoma" w:eastAsia="Times New Roman" w:hAnsi="Tahoma" w:cs="Tahoma"/>
                      <w:b/>
                      <w:bCs/>
                      <w:kern w:val="2"/>
                      <w14:ligatures w14:val="standardContextual"/>
                    </w:rPr>
                    <w:t>ii) Total Production from indigenous crude and condensate (</w:t>
                  </w:r>
                  <w:proofErr w:type="spellStart"/>
                  <w:r w:rsidRPr="00036EBA">
                    <w:rPr>
                      <w:rFonts w:ascii="Tahoma" w:eastAsia="Times New Roman" w:hAnsi="Tahoma" w:cs="Tahoma"/>
                      <w:b/>
                      <w:bCs/>
                      <w:kern w:val="2"/>
                      <w14:ligatures w14:val="standardContextual"/>
                    </w:rPr>
                    <w:t>a+b</w:t>
                  </w:r>
                  <w:proofErr w:type="spellEnd"/>
                  <w:r w:rsidRPr="00036EBA">
                    <w:rPr>
                      <w:rFonts w:ascii="Tahoma" w:eastAsia="Times New Roman" w:hAnsi="Tahoma" w:cs="Tahoma"/>
                      <w:b/>
                      <w:bCs/>
                      <w:kern w:val="2"/>
                      <w14:ligatures w14:val="standardContextual"/>
                    </w:rPr>
                    <w:t>)</w:t>
                  </w:r>
                </w:p>
              </w:tc>
              <w:tc>
                <w:tcPr>
                  <w:tcW w:w="851" w:type="dxa"/>
                </w:tcPr>
                <w:p w14:paraId="27B8D55D" w14:textId="79A3EF8B"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32.1</w:t>
                  </w:r>
                </w:p>
              </w:tc>
              <w:tc>
                <w:tcPr>
                  <w:tcW w:w="850" w:type="dxa"/>
                </w:tcPr>
                <w:p w14:paraId="78DE180A" w14:textId="0E1772D8"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30.3</w:t>
                  </w:r>
                </w:p>
              </w:tc>
              <w:tc>
                <w:tcPr>
                  <w:tcW w:w="851" w:type="dxa"/>
                </w:tcPr>
                <w:p w14:paraId="7B4D2DDE" w14:textId="2269E638"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29.3</w:t>
                  </w:r>
                </w:p>
              </w:tc>
              <w:tc>
                <w:tcPr>
                  <w:tcW w:w="850" w:type="dxa"/>
                </w:tcPr>
                <w:p w14:paraId="5AE58FC3" w14:textId="616B27D9"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28.2</w:t>
                  </w:r>
                </w:p>
              </w:tc>
              <w:tc>
                <w:tcPr>
                  <w:tcW w:w="851" w:type="dxa"/>
                </w:tcPr>
                <w:p w14:paraId="33C91E42" w14:textId="14FF0DCA"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28.5</w:t>
                  </w:r>
                </w:p>
              </w:tc>
              <w:tc>
                <w:tcPr>
                  <w:tcW w:w="826" w:type="dxa"/>
                </w:tcPr>
                <w:p w14:paraId="459A8B77" w14:textId="19BA099E"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29.3</w:t>
                  </w:r>
                </w:p>
              </w:tc>
            </w:tr>
            <w:tr w:rsidR="00036EBA" w14:paraId="2DFB1620" w14:textId="77777777" w:rsidTr="00036EBA">
              <w:trPr>
                <w:trHeight w:val="395"/>
              </w:trPr>
              <w:tc>
                <w:tcPr>
                  <w:tcW w:w="2018" w:type="dxa"/>
                </w:tcPr>
                <w:p w14:paraId="75BB0A81" w14:textId="1746EF20" w:rsidR="00036EBA" w:rsidRPr="00036EBA" w:rsidRDefault="00036EBA" w:rsidP="00036EBA">
                  <w:pPr>
                    <w:spacing w:after="120"/>
                    <w:rPr>
                      <w:rFonts w:ascii="Tahoma" w:eastAsia="Times New Roman" w:hAnsi="Tahoma" w:cs="Tahoma"/>
                      <w:b/>
                      <w:bCs/>
                      <w:kern w:val="2"/>
                      <w14:ligatures w14:val="standardContextual"/>
                    </w:rPr>
                  </w:pPr>
                  <w:r w:rsidRPr="00036EBA">
                    <w:rPr>
                      <w:rFonts w:ascii="Tahoma" w:eastAsia="Times New Roman" w:hAnsi="Tahoma" w:cs="Tahoma"/>
                      <w:b/>
                      <w:bCs/>
                      <w:kern w:val="2"/>
                      <w14:ligatures w14:val="standardContextual"/>
                    </w:rPr>
                    <w:t>(iii) Total domestic consumption</w:t>
                  </w:r>
                </w:p>
              </w:tc>
              <w:tc>
                <w:tcPr>
                  <w:tcW w:w="851" w:type="dxa"/>
                </w:tcPr>
                <w:p w14:paraId="238EE4C9" w14:textId="3EFE843F"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214.1</w:t>
                  </w:r>
                </w:p>
              </w:tc>
              <w:tc>
                <w:tcPr>
                  <w:tcW w:w="850" w:type="dxa"/>
                </w:tcPr>
                <w:p w14:paraId="3BEBB87B" w14:textId="3F778747"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194.3</w:t>
                  </w:r>
                </w:p>
              </w:tc>
              <w:tc>
                <w:tcPr>
                  <w:tcW w:w="851" w:type="dxa"/>
                </w:tcPr>
                <w:p w14:paraId="5D1108C5" w14:textId="58284E0B"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201.7</w:t>
                  </w:r>
                </w:p>
              </w:tc>
              <w:tc>
                <w:tcPr>
                  <w:tcW w:w="850" w:type="dxa"/>
                </w:tcPr>
                <w:p w14:paraId="718A4F58" w14:textId="2C21A338"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223.0</w:t>
                  </w:r>
                </w:p>
              </w:tc>
              <w:tc>
                <w:tcPr>
                  <w:tcW w:w="851" w:type="dxa"/>
                </w:tcPr>
                <w:p w14:paraId="6212E4BE" w14:textId="1E706D6A"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234.3</w:t>
                  </w:r>
                </w:p>
              </w:tc>
              <w:tc>
                <w:tcPr>
                  <w:tcW w:w="826" w:type="dxa"/>
                </w:tcPr>
                <w:p w14:paraId="09DE3DF2" w14:textId="3CD28D94"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239.5</w:t>
                  </w:r>
                </w:p>
              </w:tc>
            </w:tr>
            <w:tr w:rsidR="00036EBA" w14:paraId="17FC6062" w14:textId="77777777" w:rsidTr="00036EBA">
              <w:trPr>
                <w:trHeight w:val="380"/>
              </w:trPr>
              <w:tc>
                <w:tcPr>
                  <w:tcW w:w="2018" w:type="dxa"/>
                </w:tcPr>
                <w:p w14:paraId="148C9FB8" w14:textId="443710F0" w:rsidR="00036EBA" w:rsidRDefault="00036EBA" w:rsidP="001A2608">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lastRenderedPageBreak/>
                    <w:t xml:space="preserve">Percentage of </w:t>
                  </w:r>
                  <w:proofErr w:type="spellStart"/>
                  <w:r>
                    <w:rPr>
                      <w:rFonts w:ascii="Tahoma" w:eastAsia="Times New Roman" w:hAnsi="Tahoma" w:cs="Tahoma"/>
                      <w:kern w:val="2"/>
                      <w14:ligatures w14:val="standardContextual"/>
                    </w:rPr>
                    <w:t>self sufficiency</w:t>
                  </w:r>
                  <w:proofErr w:type="spellEnd"/>
                  <w:r>
                    <w:rPr>
                      <w:rFonts w:ascii="Tahoma" w:eastAsia="Times New Roman" w:hAnsi="Tahoma" w:cs="Tahoma"/>
                      <w:kern w:val="2"/>
                      <w14:ligatures w14:val="standardContextual"/>
                    </w:rPr>
                    <w:t xml:space="preserve"> (ii/iii)</w:t>
                  </w:r>
                </w:p>
              </w:tc>
              <w:tc>
                <w:tcPr>
                  <w:tcW w:w="851" w:type="dxa"/>
                </w:tcPr>
                <w:p w14:paraId="71D8245E" w14:textId="0F218FA5"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15.0%</w:t>
                  </w:r>
                </w:p>
              </w:tc>
              <w:tc>
                <w:tcPr>
                  <w:tcW w:w="850" w:type="dxa"/>
                </w:tcPr>
                <w:p w14:paraId="0BF811C7" w14:textId="034359FA"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15.6%</w:t>
                  </w:r>
                </w:p>
              </w:tc>
              <w:tc>
                <w:tcPr>
                  <w:tcW w:w="851" w:type="dxa"/>
                </w:tcPr>
                <w:p w14:paraId="46CEBADC" w14:textId="47B2DBC1"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14.5%</w:t>
                  </w:r>
                </w:p>
              </w:tc>
              <w:tc>
                <w:tcPr>
                  <w:tcW w:w="850" w:type="dxa"/>
                </w:tcPr>
                <w:p w14:paraId="03E37346" w14:textId="45516ACB"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12.6%</w:t>
                  </w:r>
                </w:p>
              </w:tc>
              <w:tc>
                <w:tcPr>
                  <w:tcW w:w="851" w:type="dxa"/>
                </w:tcPr>
                <w:p w14:paraId="47CA06BE" w14:textId="50A897D3"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12.2%</w:t>
                  </w:r>
                </w:p>
              </w:tc>
              <w:tc>
                <w:tcPr>
                  <w:tcW w:w="826" w:type="dxa"/>
                </w:tcPr>
                <w:p w14:paraId="2C717759" w14:textId="1CCDAD95" w:rsidR="00036EBA" w:rsidRPr="002F0997" w:rsidRDefault="002E713E" w:rsidP="001A2608">
                  <w:pPr>
                    <w:spacing w:after="120"/>
                    <w:jc w:val="both"/>
                    <w:rPr>
                      <w:rFonts w:ascii="Tahoma" w:eastAsia="Times New Roman" w:hAnsi="Tahoma" w:cs="Tahoma"/>
                      <w:kern w:val="2"/>
                      <w:sz w:val="20"/>
                      <w:szCs w:val="20"/>
                      <w14:ligatures w14:val="standardContextual"/>
                    </w:rPr>
                  </w:pPr>
                  <w:r w:rsidRPr="002F0997">
                    <w:rPr>
                      <w:rFonts w:ascii="Tahoma" w:eastAsia="Times New Roman" w:hAnsi="Tahoma" w:cs="Tahoma"/>
                      <w:kern w:val="2"/>
                      <w:sz w:val="20"/>
                      <w:szCs w:val="20"/>
                      <w14:ligatures w14:val="standardContextual"/>
                    </w:rPr>
                    <w:t>12.3%</w:t>
                  </w:r>
                </w:p>
              </w:tc>
            </w:tr>
            <w:tr w:rsidR="002E713E" w14:paraId="60420835" w14:textId="77777777" w:rsidTr="00AF6B00">
              <w:trPr>
                <w:trHeight w:val="380"/>
              </w:trPr>
              <w:tc>
                <w:tcPr>
                  <w:tcW w:w="7097" w:type="dxa"/>
                  <w:gridSpan w:val="7"/>
                </w:tcPr>
                <w:p w14:paraId="4827E529" w14:textId="77777777" w:rsidR="002E713E" w:rsidRDefault="002E713E" w:rsidP="001A2608">
                  <w:pPr>
                    <w:spacing w:after="120"/>
                    <w:jc w:val="both"/>
                    <w:rPr>
                      <w:rFonts w:ascii="Tahoma" w:eastAsia="Times New Roman" w:hAnsi="Tahoma" w:cs="Tahoma"/>
                      <w:kern w:val="2"/>
                      <w14:ligatures w14:val="standardContextual"/>
                    </w:rPr>
                  </w:pPr>
                  <w:r w:rsidRPr="002E713E">
                    <w:rPr>
                      <w:rFonts w:ascii="Tahoma" w:eastAsia="Times New Roman" w:hAnsi="Tahoma" w:cs="Tahoma"/>
                      <w:b/>
                      <w:bCs/>
                      <w:kern w:val="2"/>
                      <w14:ligatures w14:val="standardContextual"/>
                    </w:rPr>
                    <w:t>Source:</w:t>
                  </w:r>
                  <w:r>
                    <w:rPr>
                      <w:rFonts w:ascii="Tahoma" w:eastAsia="Times New Roman" w:hAnsi="Tahoma" w:cs="Tahoma"/>
                      <w:kern w:val="2"/>
                      <w14:ligatures w14:val="standardContextual"/>
                    </w:rPr>
                    <w:t xml:space="preserve"> Oil companies</w:t>
                  </w:r>
                </w:p>
                <w:p w14:paraId="40C174B1" w14:textId="77777777" w:rsidR="002E713E" w:rsidRPr="002E713E" w:rsidRDefault="002E713E" w:rsidP="001A2608">
                  <w:pPr>
                    <w:spacing w:after="120"/>
                    <w:jc w:val="both"/>
                    <w:rPr>
                      <w:rFonts w:ascii="Tahoma" w:eastAsia="Times New Roman" w:hAnsi="Tahoma" w:cs="Tahoma"/>
                      <w:b/>
                      <w:bCs/>
                      <w:kern w:val="2"/>
                      <w14:ligatures w14:val="standardContextual"/>
                    </w:rPr>
                  </w:pPr>
                  <w:r w:rsidRPr="002E713E">
                    <w:rPr>
                      <w:rFonts w:ascii="Tahoma" w:eastAsia="Times New Roman" w:hAnsi="Tahoma" w:cs="Tahoma"/>
                      <w:b/>
                      <w:bCs/>
                      <w:kern w:val="2"/>
                      <w14:ligatures w14:val="standardContextual"/>
                    </w:rPr>
                    <w:t>Note:</w:t>
                  </w:r>
                </w:p>
                <w:p w14:paraId="06F46C23" w14:textId="77777777" w:rsidR="002E713E" w:rsidRDefault="002E713E" w:rsidP="002E713E">
                  <w:pPr>
                    <w:pStyle w:val="ListParagraph"/>
                    <w:numPr>
                      <w:ilvl w:val="0"/>
                      <w:numId w:val="35"/>
                    </w:num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Production of petroleum products from indigenous crude considered at 93.3% of indigenous crude oil processing.</w:t>
                  </w:r>
                </w:p>
                <w:p w14:paraId="1FE64717" w14:textId="574CE957" w:rsidR="002E713E" w:rsidRPr="002E713E" w:rsidRDefault="002E713E" w:rsidP="002E713E">
                  <w:pPr>
                    <w:pStyle w:val="ListParagraph"/>
                    <w:numPr>
                      <w:ilvl w:val="0"/>
                      <w:numId w:val="35"/>
                    </w:num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The balance demand of petroleum products is met through import of crude oil and POL Products.</w:t>
                  </w:r>
                </w:p>
              </w:tc>
            </w:tr>
          </w:tbl>
          <w:p w14:paraId="7A20022D" w14:textId="327738D7" w:rsidR="00036EBA" w:rsidRDefault="00036EBA" w:rsidP="001A2608">
            <w:pPr>
              <w:spacing w:after="120"/>
              <w:jc w:val="both"/>
              <w:rPr>
                <w:rFonts w:ascii="Tahoma" w:eastAsia="Times New Roman" w:hAnsi="Tahoma" w:cs="Tahoma"/>
                <w:kern w:val="2"/>
                <w14:ligatures w14:val="standardContextual"/>
              </w:rPr>
            </w:pPr>
          </w:p>
          <w:p w14:paraId="4112EB2D" w14:textId="77777777" w:rsidR="006F729F" w:rsidRDefault="006F729F" w:rsidP="006F729F">
            <w:pPr>
              <w:spacing w:after="120"/>
              <w:jc w:val="both"/>
              <w:rPr>
                <w:rFonts w:ascii="Tahoma" w:hAnsi="Tahoma" w:cs="Tahoma"/>
                <w:lang w:val="en-US"/>
              </w:rPr>
            </w:pPr>
            <w:r>
              <w:rPr>
                <w:rFonts w:ascii="Tahoma" w:hAnsi="Tahoma" w:cs="Tahoma"/>
                <w:lang w:val="en-US"/>
              </w:rPr>
              <w:t>As can be seen from the table the self sufficiency has decrease from 15% to 12.3%</w:t>
            </w:r>
            <w:r w:rsidR="00455084">
              <w:rPr>
                <w:rFonts w:ascii="Tahoma" w:hAnsi="Tahoma" w:cs="Tahoma"/>
                <w:lang w:val="en-US"/>
              </w:rPr>
              <w:t>.</w:t>
            </w:r>
          </w:p>
          <w:p w14:paraId="1C2BC2CF" w14:textId="1D9E48F0" w:rsidR="00455084" w:rsidRPr="00CE5DA4" w:rsidRDefault="00455084" w:rsidP="006F729F">
            <w:pPr>
              <w:spacing w:after="120"/>
              <w:jc w:val="both"/>
              <w:rPr>
                <w:rFonts w:ascii="Tahoma" w:hAnsi="Tahoma" w:cs="Tahoma"/>
                <w:lang w:val="en-US"/>
              </w:rPr>
            </w:pPr>
            <w:r>
              <w:rPr>
                <w:rFonts w:ascii="Tahoma" w:hAnsi="Tahoma" w:cs="Tahoma"/>
                <w:lang w:val="en-US"/>
              </w:rPr>
              <w:t xml:space="preserve">As far as </w:t>
            </w:r>
            <w:r w:rsidRPr="002A31A3">
              <w:rPr>
                <w:rFonts w:ascii="Tahoma" w:hAnsi="Tahoma" w:cs="Tahoma"/>
                <w:lang w:val="en-US"/>
              </w:rPr>
              <w:t>Oil India Limited (OIL) is concerned</w:t>
            </w:r>
            <w:r>
              <w:rPr>
                <w:rFonts w:ascii="Tahoma" w:hAnsi="Tahoma" w:cs="Tahoma"/>
                <w:lang w:val="en-US"/>
              </w:rPr>
              <w:t>, OIL does not import any crude oil.</w:t>
            </w:r>
          </w:p>
        </w:tc>
      </w:tr>
      <w:tr w:rsidR="006F729F" w:rsidRPr="00CE5DA4" w14:paraId="65648DF5" w14:textId="77777777" w:rsidTr="00131348">
        <w:trPr>
          <w:trHeight w:val="911"/>
        </w:trPr>
        <w:tc>
          <w:tcPr>
            <w:tcW w:w="2547" w:type="dxa"/>
          </w:tcPr>
          <w:p w14:paraId="4DE2D955" w14:textId="4814C300" w:rsidR="006F729F" w:rsidRPr="00EE4AA3" w:rsidRDefault="006F729F" w:rsidP="00EE4AA3">
            <w:pPr>
              <w:ind w:right="34"/>
              <w:jc w:val="both"/>
              <w:rPr>
                <w:rFonts w:ascii="Tahoma" w:eastAsia="Times New Roman" w:hAnsi="Tahoma" w:cs="Tahoma"/>
                <w:i/>
                <w:color w:val="000000"/>
                <w:lang w:val="en-US"/>
              </w:rPr>
            </w:pPr>
            <w:r w:rsidRPr="00CE5DA4">
              <w:rPr>
                <w:rFonts w:ascii="Tahoma" w:hAnsi="Tahoma" w:cs="Tahoma"/>
                <w:i/>
                <w:iCs/>
              </w:rPr>
              <w:t xml:space="preserve">Q.(b) </w:t>
            </w:r>
            <w:r w:rsidRPr="00EE4AA3">
              <w:rPr>
                <w:rFonts w:ascii="Tahoma" w:eastAsia="Times New Roman" w:hAnsi="Tahoma" w:cs="Tahoma"/>
                <w:i/>
                <w:color w:val="000000"/>
                <w:lang w:val="en-US"/>
              </w:rPr>
              <w:t>Details on the current percentage of crude oil</w:t>
            </w:r>
            <w:r>
              <w:rPr>
                <w:rFonts w:ascii="Tahoma" w:eastAsia="Times New Roman" w:hAnsi="Tahoma" w:cs="Tahoma"/>
                <w:i/>
                <w:color w:val="000000"/>
                <w:lang w:val="en-US"/>
              </w:rPr>
              <w:t xml:space="preserve"> </w:t>
            </w:r>
            <w:r w:rsidRPr="00EE4AA3">
              <w:rPr>
                <w:rFonts w:ascii="Tahoma" w:eastAsia="Times New Roman" w:hAnsi="Tahoma" w:cs="Tahoma"/>
                <w:i/>
                <w:color w:val="000000"/>
                <w:lang w:val="en-US"/>
              </w:rPr>
              <w:t>imported to meet domestic demand in the country; and</w:t>
            </w:r>
          </w:p>
          <w:p w14:paraId="3A52394B" w14:textId="519EA312" w:rsidR="006F729F" w:rsidRDefault="006F729F" w:rsidP="002C5FB5">
            <w:pPr>
              <w:ind w:right="34"/>
              <w:jc w:val="both"/>
              <w:rPr>
                <w:rFonts w:ascii="Tahoma" w:eastAsia="Times New Roman" w:hAnsi="Tahoma" w:cs="Tahoma"/>
                <w:i/>
                <w:color w:val="000000"/>
                <w:lang w:val="en-US"/>
              </w:rPr>
            </w:pPr>
          </w:p>
          <w:p w14:paraId="08D8FC75" w14:textId="77777777" w:rsidR="006F729F" w:rsidRPr="002C5FB5" w:rsidRDefault="006F729F" w:rsidP="002C5FB5">
            <w:pPr>
              <w:ind w:right="34"/>
              <w:jc w:val="both"/>
              <w:rPr>
                <w:rFonts w:ascii="Tahoma" w:eastAsia="Times New Roman" w:hAnsi="Tahoma" w:cs="Tahoma"/>
                <w:i/>
                <w:color w:val="000000"/>
                <w:lang w:val="en-US"/>
              </w:rPr>
            </w:pPr>
          </w:p>
          <w:p w14:paraId="01947609" w14:textId="0CB657A3" w:rsidR="006F729F" w:rsidRPr="00CE5DA4" w:rsidRDefault="006F729F" w:rsidP="008B492E">
            <w:pPr>
              <w:ind w:right="34"/>
              <w:jc w:val="both"/>
              <w:rPr>
                <w:rFonts w:ascii="Tahoma" w:hAnsi="Tahoma" w:cs="Tahoma"/>
                <w:i/>
                <w:iCs/>
              </w:rPr>
            </w:pPr>
          </w:p>
        </w:tc>
        <w:tc>
          <w:tcPr>
            <w:tcW w:w="7348" w:type="dxa"/>
            <w:vMerge/>
          </w:tcPr>
          <w:p w14:paraId="3780DB29" w14:textId="69BAEEB7" w:rsidR="006F729F" w:rsidRPr="00CE5DA4" w:rsidRDefault="006F729F" w:rsidP="00131348">
            <w:pPr>
              <w:jc w:val="both"/>
              <w:rPr>
                <w:rFonts w:ascii="Tahoma" w:hAnsi="Tahoma" w:cs="Tahoma"/>
                <w:lang w:val="en-US"/>
              </w:rPr>
            </w:pPr>
          </w:p>
        </w:tc>
      </w:tr>
      <w:tr w:rsidR="00131348" w:rsidRPr="00CE5DA4" w14:paraId="2074E92D" w14:textId="77777777" w:rsidTr="00131348">
        <w:trPr>
          <w:trHeight w:val="911"/>
        </w:trPr>
        <w:tc>
          <w:tcPr>
            <w:tcW w:w="2547" w:type="dxa"/>
          </w:tcPr>
          <w:p w14:paraId="379807A4" w14:textId="63270EE6" w:rsidR="00131348" w:rsidRPr="00CE5DA4" w:rsidRDefault="00131348" w:rsidP="00131348">
            <w:pPr>
              <w:ind w:right="34"/>
              <w:jc w:val="both"/>
              <w:rPr>
                <w:rFonts w:ascii="Tahoma" w:hAnsi="Tahoma" w:cs="Tahoma"/>
                <w:i/>
                <w:iCs/>
              </w:rPr>
            </w:pPr>
            <w:r>
              <w:rPr>
                <w:rFonts w:ascii="Tahoma" w:hAnsi="Tahoma" w:cs="Tahoma"/>
                <w:i/>
                <w:iCs/>
              </w:rPr>
              <w:t xml:space="preserve">Q.(c) </w:t>
            </w:r>
            <w:r w:rsidRPr="00EE4AA3">
              <w:rPr>
                <w:rFonts w:ascii="Tahoma" w:hAnsi="Tahoma" w:cs="Tahoma"/>
                <w:i/>
                <w:iCs/>
              </w:rPr>
              <w:t>What strategic measures the Government is taking to reduce import dependence and strengthen energy security?</w:t>
            </w:r>
          </w:p>
        </w:tc>
        <w:tc>
          <w:tcPr>
            <w:tcW w:w="7348" w:type="dxa"/>
          </w:tcPr>
          <w:p w14:paraId="6B03D4DF" w14:textId="5BF8458E" w:rsidR="00131348" w:rsidRPr="002A31A3" w:rsidRDefault="00131348" w:rsidP="00131348">
            <w:pPr>
              <w:spacing w:after="120"/>
              <w:jc w:val="both"/>
              <w:rPr>
                <w:rFonts w:ascii="Tahoma" w:eastAsia="Times New Roman" w:hAnsi="Tahoma" w:cs="Tahoma"/>
                <w:b/>
                <w:bCs/>
                <w:kern w:val="2"/>
                <w14:ligatures w14:val="standardContextual"/>
              </w:rPr>
            </w:pPr>
            <w:r w:rsidRPr="002A31A3">
              <w:rPr>
                <w:rFonts w:ascii="Tahoma" w:hAnsi="Tahoma" w:cs="Tahoma"/>
                <w:b/>
                <w:lang w:val="en-US"/>
              </w:rPr>
              <w:t>Answer to Q(c):</w:t>
            </w:r>
            <w:r w:rsidRPr="002A31A3">
              <w:rPr>
                <w:rFonts w:ascii="Tahoma" w:hAnsi="Tahoma" w:cs="Tahoma"/>
                <w:lang w:val="en-US"/>
              </w:rPr>
              <w:t xml:space="preserve"> </w:t>
            </w:r>
            <w:proofErr w:type="spellStart"/>
            <w:r w:rsidRPr="002A31A3">
              <w:rPr>
                <w:rFonts w:ascii="Tahoma" w:eastAsia="Times New Roman" w:hAnsi="Tahoma" w:cs="Tahoma"/>
                <w:b/>
                <w:bCs/>
                <w:kern w:val="2"/>
                <w14:ligatures w14:val="standardContextual"/>
              </w:rPr>
              <w:t>MoPNG</w:t>
            </w:r>
            <w:proofErr w:type="spellEnd"/>
            <w:r w:rsidRPr="002A31A3">
              <w:rPr>
                <w:rFonts w:ascii="Tahoma" w:eastAsia="Times New Roman" w:hAnsi="Tahoma" w:cs="Tahoma"/>
                <w:b/>
                <w:bCs/>
                <w:kern w:val="2"/>
                <w14:ligatures w14:val="standardContextual"/>
              </w:rPr>
              <w:t xml:space="preserve"> may reply suitably. </w:t>
            </w:r>
          </w:p>
          <w:p w14:paraId="0D0A5777" w14:textId="77777777" w:rsidR="00131348" w:rsidRPr="002A31A3" w:rsidRDefault="00131348" w:rsidP="00131348">
            <w:pPr>
              <w:jc w:val="both"/>
              <w:rPr>
                <w:rFonts w:ascii="Tahoma" w:hAnsi="Tahoma" w:cs="Tahoma"/>
                <w:lang w:val="en-US"/>
              </w:rPr>
            </w:pPr>
            <w:r w:rsidRPr="002A31A3">
              <w:rPr>
                <w:rFonts w:ascii="Tahoma" w:hAnsi="Tahoma" w:cs="Tahoma"/>
                <w:lang w:val="en-US"/>
              </w:rPr>
              <w:t>As far as Oil India Limited (OIL) is concerned, OIL has been aggressively taking up the exploration and production activities along with investment in alternate energy to reduce India’s dependence on imports.</w:t>
            </w:r>
          </w:p>
          <w:p w14:paraId="60CA2BCC" w14:textId="77777777" w:rsidR="00131348" w:rsidRPr="002A31A3" w:rsidRDefault="00131348" w:rsidP="00131348">
            <w:pPr>
              <w:jc w:val="both"/>
              <w:rPr>
                <w:rFonts w:ascii="Tahoma" w:hAnsi="Tahoma" w:cs="Tahoma"/>
                <w:lang w:val="en-US"/>
              </w:rPr>
            </w:pPr>
          </w:p>
          <w:p w14:paraId="46FF1A75" w14:textId="4D30335C" w:rsidR="00131348" w:rsidRPr="002A31A3" w:rsidRDefault="00131348" w:rsidP="00131348">
            <w:pPr>
              <w:jc w:val="both"/>
              <w:rPr>
                <w:rFonts w:ascii="Tahoma" w:hAnsi="Tahoma" w:cs="Tahoma"/>
                <w:lang w:val="en-US"/>
              </w:rPr>
            </w:pPr>
            <w:r w:rsidRPr="002A31A3">
              <w:rPr>
                <w:rFonts w:ascii="Tahoma" w:hAnsi="Tahoma" w:cs="Tahoma"/>
                <w:lang w:val="en-US"/>
              </w:rPr>
              <w:t>OIL presently holds 92,888 sq. km across various regimes divided into 62 blocks across the nation along with also offshore. As part of aggressive drilling program, OIL drilled highe</w:t>
            </w:r>
            <w:r>
              <w:rPr>
                <w:rFonts w:ascii="Tahoma" w:hAnsi="Tahoma" w:cs="Tahoma"/>
                <w:lang w:val="en-US"/>
              </w:rPr>
              <w:t>st</w:t>
            </w:r>
            <w:r w:rsidRPr="002A31A3">
              <w:rPr>
                <w:rFonts w:ascii="Tahoma" w:hAnsi="Tahoma" w:cs="Tahoma"/>
                <w:lang w:val="en-US"/>
              </w:rPr>
              <w:t xml:space="preserve"> ever number of wells</w:t>
            </w:r>
            <w:r>
              <w:rPr>
                <w:rFonts w:ascii="Tahoma" w:hAnsi="Tahoma" w:cs="Tahoma"/>
                <w:lang w:val="en-US"/>
              </w:rPr>
              <w:t xml:space="preserve"> 61 </w:t>
            </w:r>
            <w:proofErr w:type="spellStart"/>
            <w:r>
              <w:rPr>
                <w:rFonts w:ascii="Tahoma" w:hAnsi="Tahoma" w:cs="Tahoma"/>
                <w:lang w:val="en-US"/>
              </w:rPr>
              <w:t>nos</w:t>
            </w:r>
            <w:proofErr w:type="spellEnd"/>
            <w:r w:rsidRPr="002A31A3">
              <w:rPr>
                <w:rFonts w:ascii="Tahoma" w:hAnsi="Tahoma" w:cs="Tahoma"/>
                <w:lang w:val="en-US"/>
              </w:rPr>
              <w:t xml:space="preserve"> in FY 23-24 and 57</w:t>
            </w:r>
            <w:r>
              <w:rPr>
                <w:rFonts w:ascii="Tahoma" w:hAnsi="Tahoma" w:cs="Tahoma"/>
                <w:lang w:val="en-US"/>
              </w:rPr>
              <w:t xml:space="preserve"> </w:t>
            </w:r>
            <w:proofErr w:type="spellStart"/>
            <w:r>
              <w:rPr>
                <w:rFonts w:ascii="Tahoma" w:hAnsi="Tahoma" w:cs="Tahoma"/>
                <w:lang w:val="en-US"/>
              </w:rPr>
              <w:t>nos</w:t>
            </w:r>
            <w:proofErr w:type="spellEnd"/>
            <w:r w:rsidRPr="002A31A3">
              <w:rPr>
                <w:rFonts w:ascii="Tahoma" w:hAnsi="Tahoma" w:cs="Tahoma"/>
                <w:lang w:val="en-US"/>
              </w:rPr>
              <w:t xml:space="preserve"> in FY 24-25 and </w:t>
            </w:r>
            <w:r>
              <w:rPr>
                <w:rFonts w:ascii="Tahoma" w:hAnsi="Tahoma" w:cs="Tahoma"/>
                <w:lang w:val="en-US"/>
              </w:rPr>
              <w:t xml:space="preserve">a target to drill </w:t>
            </w:r>
            <w:r w:rsidR="002F0997">
              <w:rPr>
                <w:rFonts w:ascii="Tahoma" w:hAnsi="Tahoma" w:cs="Tahoma"/>
                <w:lang w:val="en-US"/>
              </w:rPr>
              <w:t>more</w:t>
            </w:r>
            <w:bookmarkStart w:id="0" w:name="_GoBack"/>
            <w:bookmarkEnd w:id="0"/>
            <w:r>
              <w:rPr>
                <w:rFonts w:ascii="Tahoma" w:hAnsi="Tahoma" w:cs="Tahoma"/>
                <w:lang w:val="en-US"/>
              </w:rPr>
              <w:t xml:space="preserve"> wells in FY 25-26</w:t>
            </w:r>
            <w:r w:rsidRPr="002A31A3">
              <w:rPr>
                <w:rFonts w:ascii="Tahoma" w:hAnsi="Tahoma" w:cs="Tahoma"/>
                <w:lang w:val="en-US"/>
              </w:rPr>
              <w:t>.</w:t>
            </w:r>
          </w:p>
          <w:p w14:paraId="43A6E32E" w14:textId="77777777" w:rsidR="00131348" w:rsidRPr="002A31A3" w:rsidRDefault="00131348" w:rsidP="00131348">
            <w:pPr>
              <w:jc w:val="both"/>
              <w:rPr>
                <w:rFonts w:ascii="Tahoma" w:hAnsi="Tahoma" w:cs="Tahoma"/>
                <w:lang w:val="en-US"/>
              </w:rPr>
            </w:pPr>
          </w:p>
          <w:p w14:paraId="74662C08" w14:textId="77777777" w:rsidR="00131348" w:rsidRPr="002A31A3" w:rsidRDefault="00131348" w:rsidP="00131348">
            <w:pPr>
              <w:jc w:val="both"/>
              <w:rPr>
                <w:rFonts w:ascii="Tahoma" w:hAnsi="Tahoma" w:cs="Tahoma"/>
                <w:lang w:val="en-US"/>
              </w:rPr>
            </w:pPr>
            <w:r w:rsidRPr="002A31A3">
              <w:rPr>
                <w:rFonts w:ascii="Tahoma" w:hAnsi="Tahoma" w:cs="Tahoma"/>
                <w:lang w:val="en-US"/>
              </w:rPr>
              <w:t>OIL has plans to produce 4 MMT of crude oil an increase of 16% and 5 BCM an increase of 54% in the coming years with extensive E&amp;P activities and infrastructure development.</w:t>
            </w:r>
          </w:p>
          <w:p w14:paraId="0EB42452" w14:textId="77777777" w:rsidR="00131348" w:rsidRPr="002A31A3" w:rsidRDefault="00131348" w:rsidP="00131348">
            <w:pPr>
              <w:jc w:val="both"/>
              <w:rPr>
                <w:rFonts w:ascii="Tahoma" w:hAnsi="Tahoma" w:cs="Tahoma"/>
                <w:lang w:val="en-US"/>
              </w:rPr>
            </w:pPr>
          </w:p>
          <w:p w14:paraId="2FE2298B" w14:textId="77777777" w:rsidR="00131348" w:rsidRPr="002A31A3" w:rsidRDefault="00131348" w:rsidP="00131348">
            <w:pPr>
              <w:jc w:val="both"/>
              <w:rPr>
                <w:rFonts w:ascii="Tahoma" w:hAnsi="Tahoma" w:cs="Tahoma"/>
              </w:rPr>
            </w:pPr>
            <w:r w:rsidRPr="002A31A3">
              <w:rPr>
                <w:rFonts w:ascii="Tahoma" w:hAnsi="Tahoma" w:cs="Tahoma"/>
                <w:lang w:val="en-US"/>
              </w:rPr>
              <w:t xml:space="preserve">Apart from the conventional sources of energy OIL is also </w:t>
            </w:r>
            <w:r w:rsidRPr="002A31A3">
              <w:rPr>
                <w:rFonts w:ascii="Tahoma" w:hAnsi="Tahoma" w:cs="Tahoma"/>
              </w:rPr>
              <w:t>setting up 25 CBG plants across the country and plant to establish 645 MW of solar power generation through JV with Assam Power Generation Corporation Limited (APGCL).</w:t>
            </w:r>
          </w:p>
          <w:p w14:paraId="1260857A" w14:textId="77777777" w:rsidR="00131348" w:rsidRPr="002A31A3" w:rsidRDefault="00131348" w:rsidP="00131348">
            <w:pPr>
              <w:jc w:val="both"/>
              <w:rPr>
                <w:rFonts w:ascii="Tahoma" w:hAnsi="Tahoma" w:cs="Tahoma"/>
              </w:rPr>
            </w:pPr>
          </w:p>
          <w:p w14:paraId="1BED53D8" w14:textId="77777777" w:rsidR="00131348" w:rsidRPr="002A31A3" w:rsidRDefault="00131348" w:rsidP="00131348">
            <w:pPr>
              <w:jc w:val="both"/>
              <w:rPr>
                <w:rFonts w:ascii="Tahoma" w:hAnsi="Tahoma" w:cs="Tahoma"/>
              </w:rPr>
            </w:pPr>
            <w:r w:rsidRPr="002A31A3">
              <w:rPr>
                <w:rFonts w:ascii="Tahoma" w:hAnsi="Tahoma" w:cs="Tahoma"/>
              </w:rPr>
              <w:t xml:space="preserve">OIL is presently being Green Hydrogen (2%) with natural gas at India’s first AEM-based GH₂ pilot plant (30 kg/day) Jorhat. A 1 MW GH₂ plant (400 kg/day) is under construction at </w:t>
            </w:r>
            <w:proofErr w:type="spellStart"/>
            <w:r w:rsidRPr="002A31A3">
              <w:rPr>
                <w:rFonts w:ascii="Tahoma" w:hAnsi="Tahoma" w:cs="Tahoma"/>
              </w:rPr>
              <w:t>Nalagarh</w:t>
            </w:r>
            <w:proofErr w:type="spellEnd"/>
            <w:r w:rsidRPr="002A31A3">
              <w:rPr>
                <w:rFonts w:ascii="Tahoma" w:hAnsi="Tahoma" w:cs="Tahoma"/>
              </w:rPr>
              <w:t xml:space="preserve">, Himachal Pradesh, in collaboration with Himachal Pradesh Power Corporation Ltd </w:t>
            </w:r>
          </w:p>
          <w:p w14:paraId="7AB6339F" w14:textId="77777777" w:rsidR="00131348" w:rsidRPr="002A31A3" w:rsidRDefault="00131348" w:rsidP="00131348">
            <w:pPr>
              <w:jc w:val="both"/>
              <w:rPr>
                <w:rFonts w:ascii="Tahoma" w:hAnsi="Tahoma" w:cs="Tahoma"/>
              </w:rPr>
            </w:pPr>
          </w:p>
          <w:p w14:paraId="3AE756C5" w14:textId="77777777" w:rsidR="00131348" w:rsidRPr="002A31A3" w:rsidRDefault="00131348" w:rsidP="00131348">
            <w:pPr>
              <w:jc w:val="both"/>
              <w:rPr>
                <w:rFonts w:ascii="Tahoma" w:hAnsi="Tahoma" w:cs="Tahoma"/>
                <w:lang w:val="en-US"/>
              </w:rPr>
            </w:pPr>
            <w:r w:rsidRPr="002A31A3">
              <w:rPr>
                <w:rFonts w:ascii="Tahoma" w:hAnsi="Tahoma" w:cs="Tahoma"/>
              </w:rPr>
              <w:t xml:space="preserve">OIL’s material subsidiary NRL, is about to commission 50 KTPA 2G </w:t>
            </w:r>
            <w:proofErr w:type="spellStart"/>
            <w:r w:rsidRPr="002A31A3">
              <w:rPr>
                <w:rFonts w:ascii="Tahoma" w:hAnsi="Tahoma" w:cs="Tahoma"/>
              </w:rPr>
              <w:t>bioethonal</w:t>
            </w:r>
            <w:proofErr w:type="spellEnd"/>
            <w:r w:rsidRPr="002A31A3">
              <w:rPr>
                <w:rFonts w:ascii="Tahoma" w:hAnsi="Tahoma" w:cs="Tahoma"/>
              </w:rPr>
              <w:t xml:space="preserve"> plant using bamboo feedstock and also 2.4 KTPA Green Hydrogen plant. NRL has also floated tender for 10 KTPA Green Hydrogen on build, own and operate basis.</w:t>
            </w:r>
          </w:p>
          <w:p w14:paraId="57F88EB8" w14:textId="77777777" w:rsidR="00131348" w:rsidRPr="002A31A3" w:rsidRDefault="00131348" w:rsidP="00131348">
            <w:pPr>
              <w:jc w:val="both"/>
              <w:rPr>
                <w:rFonts w:ascii="Tahoma" w:hAnsi="Tahoma" w:cs="Tahoma"/>
                <w:lang w:val="en-US"/>
              </w:rPr>
            </w:pPr>
          </w:p>
          <w:p w14:paraId="758809CC" w14:textId="1BC234D6" w:rsidR="00131348" w:rsidRPr="002A31A3" w:rsidRDefault="00131348" w:rsidP="00131348">
            <w:pPr>
              <w:jc w:val="both"/>
              <w:rPr>
                <w:rFonts w:ascii="Tahoma" w:hAnsi="Tahoma" w:cs="Tahoma"/>
                <w:lang w:val="en-US"/>
              </w:rPr>
            </w:pPr>
            <w:r w:rsidRPr="002A31A3">
              <w:rPr>
                <w:rFonts w:ascii="Tahoma" w:hAnsi="Tahoma" w:cs="Tahoma"/>
                <w:lang w:val="en-US"/>
              </w:rPr>
              <w:t>Government has taken various initiatives and actions to increase domestic exploration and production of petroleum and natural gas. Some of the major initiatives are stated below.</w:t>
            </w:r>
          </w:p>
          <w:p w14:paraId="7EECD8F5" w14:textId="77777777" w:rsidR="00131348" w:rsidRPr="002A31A3" w:rsidRDefault="00131348" w:rsidP="00131348">
            <w:pPr>
              <w:jc w:val="both"/>
              <w:rPr>
                <w:rFonts w:ascii="Tahoma" w:hAnsi="Tahoma" w:cs="Tahoma"/>
                <w:lang w:val="en-US"/>
              </w:rPr>
            </w:pPr>
            <w:r w:rsidRPr="002A31A3">
              <w:rPr>
                <w:rFonts w:ascii="Tahoma" w:hAnsi="Tahoma" w:cs="Tahoma"/>
                <w:lang w:val="en-US"/>
              </w:rPr>
              <w:t>(i) Hydrocarbon Exploration Licensing policy (HELP) &amp; Discovery Small Fields (DSF)</w:t>
            </w:r>
          </w:p>
          <w:p w14:paraId="5F4C26F6" w14:textId="77777777" w:rsidR="00131348" w:rsidRPr="002A31A3" w:rsidRDefault="00131348" w:rsidP="00131348">
            <w:pPr>
              <w:jc w:val="both"/>
              <w:rPr>
                <w:rFonts w:ascii="Tahoma" w:hAnsi="Tahoma" w:cs="Tahoma"/>
                <w:lang w:val="en-US"/>
              </w:rPr>
            </w:pPr>
            <w:r w:rsidRPr="002A31A3">
              <w:rPr>
                <w:rFonts w:ascii="Tahoma" w:hAnsi="Tahoma" w:cs="Tahoma"/>
                <w:lang w:val="en-US"/>
              </w:rPr>
              <w:t xml:space="preserve">(ii) National Seismic </w:t>
            </w:r>
            <w:proofErr w:type="spellStart"/>
            <w:r w:rsidRPr="002A31A3">
              <w:rPr>
                <w:rFonts w:ascii="Tahoma" w:hAnsi="Tahoma" w:cs="Tahoma"/>
                <w:lang w:val="en-US"/>
              </w:rPr>
              <w:t>Programme</w:t>
            </w:r>
            <w:proofErr w:type="spellEnd"/>
            <w:r w:rsidRPr="002A31A3">
              <w:rPr>
                <w:rFonts w:ascii="Tahoma" w:hAnsi="Tahoma" w:cs="Tahoma"/>
                <w:lang w:val="en-US"/>
              </w:rPr>
              <w:t xml:space="preserve"> (NSP) and Deep Andaman offshore Surveys</w:t>
            </w:r>
          </w:p>
          <w:p w14:paraId="077FA43B" w14:textId="77777777" w:rsidR="00131348" w:rsidRPr="002A31A3" w:rsidRDefault="00131348" w:rsidP="00131348">
            <w:pPr>
              <w:jc w:val="both"/>
              <w:rPr>
                <w:rFonts w:ascii="Tahoma" w:hAnsi="Tahoma" w:cs="Tahoma"/>
                <w:lang w:val="en-US"/>
              </w:rPr>
            </w:pPr>
            <w:r w:rsidRPr="002A31A3">
              <w:rPr>
                <w:rFonts w:ascii="Tahoma" w:hAnsi="Tahoma" w:cs="Tahoma"/>
                <w:lang w:val="en-US"/>
              </w:rPr>
              <w:t xml:space="preserve">(iii) Airborne Gravity </w:t>
            </w:r>
            <w:proofErr w:type="spellStart"/>
            <w:r w:rsidRPr="002A31A3">
              <w:rPr>
                <w:rFonts w:ascii="Tahoma" w:hAnsi="Tahoma" w:cs="Tahoma"/>
                <w:lang w:val="en-US"/>
              </w:rPr>
              <w:t>Gradiometry</w:t>
            </w:r>
            <w:proofErr w:type="spellEnd"/>
            <w:r w:rsidRPr="002A31A3">
              <w:rPr>
                <w:rFonts w:ascii="Tahoma" w:hAnsi="Tahoma" w:cs="Tahoma"/>
                <w:lang w:val="en-US"/>
              </w:rPr>
              <w:t xml:space="preserve"> and Gravity-Magnetic survey</w:t>
            </w:r>
          </w:p>
          <w:p w14:paraId="46CC1E62" w14:textId="77777777" w:rsidR="00131348" w:rsidRPr="002A31A3" w:rsidRDefault="00131348" w:rsidP="00131348">
            <w:pPr>
              <w:jc w:val="both"/>
              <w:rPr>
                <w:rFonts w:ascii="Tahoma" w:hAnsi="Tahoma" w:cs="Tahoma"/>
                <w:lang w:val="en-US"/>
              </w:rPr>
            </w:pPr>
            <w:r w:rsidRPr="002A31A3">
              <w:rPr>
                <w:rFonts w:ascii="Tahoma" w:hAnsi="Tahoma" w:cs="Tahoma"/>
                <w:lang w:val="en-US"/>
              </w:rPr>
              <w:t>(iv) Drilling of Stratigraphic Wells</w:t>
            </w:r>
          </w:p>
          <w:p w14:paraId="1FB68339" w14:textId="77777777" w:rsidR="00131348" w:rsidRPr="002A31A3" w:rsidRDefault="00131348" w:rsidP="00131348">
            <w:pPr>
              <w:jc w:val="both"/>
              <w:rPr>
                <w:rFonts w:ascii="Tahoma" w:hAnsi="Tahoma" w:cs="Tahoma"/>
                <w:lang w:val="en-US"/>
              </w:rPr>
            </w:pPr>
            <w:r w:rsidRPr="002A31A3">
              <w:rPr>
                <w:rFonts w:ascii="Tahoma" w:hAnsi="Tahoma" w:cs="Tahoma"/>
                <w:lang w:val="en-US"/>
              </w:rPr>
              <w:t>(v) Seismic Campaign Under Mission Anveshan (MA) &amp; ECS beyond EEZ</w:t>
            </w:r>
          </w:p>
          <w:p w14:paraId="37D4F195" w14:textId="77777777" w:rsidR="00131348" w:rsidRPr="002A31A3" w:rsidRDefault="00131348" w:rsidP="00131348">
            <w:pPr>
              <w:spacing w:after="120"/>
              <w:jc w:val="both"/>
              <w:rPr>
                <w:rFonts w:ascii="Tahoma" w:hAnsi="Tahoma" w:cs="Tahoma"/>
                <w:lang w:val="en-US"/>
              </w:rPr>
            </w:pPr>
            <w:r w:rsidRPr="002A31A3">
              <w:rPr>
                <w:rFonts w:ascii="Tahoma" w:hAnsi="Tahoma" w:cs="Tahoma"/>
                <w:lang w:val="en-US"/>
              </w:rPr>
              <w:lastRenderedPageBreak/>
              <w:t>(vi) Opening of No-Go Areas for E&amp;P Activities.</w:t>
            </w:r>
          </w:p>
          <w:p w14:paraId="7F44ACBA" w14:textId="77777777" w:rsidR="00131348" w:rsidRPr="002A31A3" w:rsidRDefault="00131348" w:rsidP="00131348">
            <w:pPr>
              <w:jc w:val="both"/>
              <w:rPr>
                <w:rFonts w:ascii="Tahoma" w:hAnsi="Tahoma" w:cs="Tahoma"/>
              </w:rPr>
            </w:pPr>
            <w:r w:rsidRPr="002A31A3">
              <w:rPr>
                <w:rFonts w:ascii="Tahoma" w:hAnsi="Tahoma" w:cs="Tahoma"/>
              </w:rPr>
              <w:t>Details of the major initiatives taken by Government of India are stated below.</w:t>
            </w:r>
          </w:p>
          <w:p w14:paraId="08A36657" w14:textId="77777777" w:rsidR="00131348" w:rsidRPr="002A31A3" w:rsidRDefault="00131348" w:rsidP="00131348">
            <w:pPr>
              <w:jc w:val="both"/>
              <w:rPr>
                <w:rFonts w:ascii="Bookman Old Style" w:hAnsi="Bookman Old Style"/>
              </w:rPr>
            </w:pPr>
          </w:p>
          <w:p w14:paraId="7F99DA5D" w14:textId="77777777" w:rsidR="00131348" w:rsidRPr="002A31A3" w:rsidRDefault="00131348" w:rsidP="00131348">
            <w:pPr>
              <w:jc w:val="both"/>
              <w:rPr>
                <w:rFonts w:ascii="Bookman Old Style" w:hAnsi="Bookman Old Style"/>
              </w:rPr>
            </w:pPr>
            <w:r w:rsidRPr="002A31A3">
              <w:rPr>
                <w:rFonts w:ascii="Bookman Old Style" w:hAnsi="Bookman Old Style"/>
                <w:b/>
                <w:bCs/>
                <w:u w:val="single"/>
              </w:rPr>
              <w:t>(i) Hydrocarbon Exploration Licensing policy (HELP) &amp; Discovery Small Fields (DSF):</w:t>
            </w:r>
            <w:r w:rsidRPr="002A31A3">
              <w:rPr>
                <w:rFonts w:ascii="Bookman Old Style" w:hAnsi="Bookman Old Style"/>
              </w:rPr>
              <w:t xml:space="preserve"> The Hydrocarbon Exploration Licensing policy (HELP) was launched by </w:t>
            </w:r>
            <w:proofErr w:type="spellStart"/>
            <w:r w:rsidRPr="002A31A3">
              <w:rPr>
                <w:rFonts w:ascii="Bookman Old Style" w:hAnsi="Bookman Old Style"/>
              </w:rPr>
              <w:t>GoI</w:t>
            </w:r>
            <w:proofErr w:type="spellEnd"/>
            <w:r w:rsidRPr="002A31A3">
              <w:rPr>
                <w:rFonts w:ascii="Bookman Old Style" w:hAnsi="Bookman Old Style"/>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4C5B1BEB" w14:textId="77777777" w:rsidR="00131348" w:rsidRPr="002A31A3" w:rsidRDefault="00131348" w:rsidP="00131348">
            <w:pPr>
              <w:jc w:val="both"/>
              <w:rPr>
                <w:rFonts w:ascii="Bookman Old Style" w:hAnsi="Bookman Old Style"/>
              </w:rPr>
            </w:pPr>
            <w:r w:rsidRPr="002A31A3">
              <w:rPr>
                <w:rFonts w:ascii="Bookman Old Style" w:hAnsi="Bookman Old Style"/>
              </w:rPr>
              <w:t xml:space="preserve">OIL has actively participated in all recent bid rounds of Open Acreage Licensing Policy (OALP) and Discovered Small Fields (DSF) under Hydrocarbon Exploration Licensing Policy (HELP) and has significantly increased its domestic acreages. Presently, OIL has 32 nos. of OALP Blocks (Northeast-17, Rajasthan-3, Odisha-4, Gujarat-1, Andaman shallow offshore-2, Kerela Konkan shallow offshore-1, Mahanadi Ultradeep-2 &amp; KG Ultradeep-2) covering 87,432 sq.km and 3 nos. of DSF Blocks covering 208 sq.km across eight sedimentary basins. So far, OIL has completed drilling of 14 nos. of onshore exploratory wells (5 in Rajasthan, 5 in Odisha and 4 in Assam) in 9 (nine) OALP blocks, and one shallow offshore exploratory well in Andaman Basin. During 2024-25, OIL has established the presence of hydrocarbon in two OALP </w:t>
            </w:r>
            <w:proofErr w:type="gramStart"/>
            <w:r w:rsidRPr="002A31A3">
              <w:rPr>
                <w:rFonts w:ascii="Bookman Old Style" w:hAnsi="Bookman Old Style"/>
              </w:rPr>
              <w:t>blocks  in</w:t>
            </w:r>
            <w:proofErr w:type="gramEnd"/>
            <w:r w:rsidRPr="002A31A3">
              <w:rPr>
                <w:rFonts w:ascii="Bookman Old Style" w:hAnsi="Bookman Old Style"/>
              </w:rPr>
              <w:t xml:space="preserve"> Assam, out of which One discovery has been monetised. Further drilling </w:t>
            </w:r>
            <w:proofErr w:type="gramStart"/>
            <w:r w:rsidRPr="002A31A3">
              <w:rPr>
                <w:rFonts w:ascii="Bookman Old Style" w:hAnsi="Bookman Old Style"/>
              </w:rPr>
              <w:t>and  exploration</w:t>
            </w:r>
            <w:proofErr w:type="gramEnd"/>
            <w:r w:rsidRPr="002A31A3">
              <w:rPr>
                <w:rFonts w:ascii="Bookman Old Style" w:hAnsi="Bookman Old Style"/>
              </w:rPr>
              <w:t xml:space="preserve"> activities are ongoing at full scale in the other OALP blocks also. OIL has drilled 3 DSF wells in Rajasthan (</w:t>
            </w:r>
            <w:proofErr w:type="spellStart"/>
            <w:r w:rsidRPr="002A31A3">
              <w:rPr>
                <w:rFonts w:ascii="Bookman Old Style" w:hAnsi="Bookman Old Style"/>
              </w:rPr>
              <w:t>Bakhrittibba</w:t>
            </w:r>
            <w:proofErr w:type="spellEnd"/>
            <w:r w:rsidRPr="002A31A3">
              <w:rPr>
                <w:rFonts w:ascii="Bookman Old Style" w:hAnsi="Bookman Old Style"/>
              </w:rPr>
              <w:t>) in FY-25 and NG production has brought into stream from these wells. DSF Blocks are under pre-development phase.</w:t>
            </w:r>
          </w:p>
          <w:p w14:paraId="5E4AE335" w14:textId="77777777" w:rsidR="00131348" w:rsidRPr="002A31A3" w:rsidRDefault="00131348" w:rsidP="00131348">
            <w:pPr>
              <w:jc w:val="both"/>
              <w:rPr>
                <w:rFonts w:ascii="Bookman Old Style" w:hAnsi="Bookman Old Style"/>
              </w:rPr>
            </w:pPr>
          </w:p>
          <w:p w14:paraId="79FB441D" w14:textId="77777777" w:rsidR="00131348" w:rsidRPr="002A31A3" w:rsidRDefault="00131348" w:rsidP="00131348">
            <w:pPr>
              <w:jc w:val="both"/>
              <w:rPr>
                <w:rFonts w:ascii="Bookman Old Style" w:hAnsi="Bookman Old Style"/>
              </w:rPr>
            </w:pPr>
            <w:r w:rsidRPr="002A31A3">
              <w:rPr>
                <w:rFonts w:ascii="Bookman Old Style" w:hAnsi="Bookman Old Style"/>
              </w:rPr>
              <w:t>(</w:t>
            </w:r>
            <w:r w:rsidRPr="002A31A3">
              <w:rPr>
                <w:rFonts w:ascii="Bookman Old Style" w:hAnsi="Bookman Old Style"/>
                <w:b/>
                <w:bCs/>
                <w:u w:val="single"/>
              </w:rPr>
              <w:t>ii) National Seismic Programme (NSP) and Deep Andaman offshore Surveys</w:t>
            </w:r>
            <w:r w:rsidRPr="002A31A3">
              <w:rPr>
                <w:rFonts w:ascii="Bookman Old Style" w:hAnsi="Bookman Old Style"/>
              </w:rPr>
              <w:t>: Ministry of Petroleum and Natural Gas (</w:t>
            </w:r>
            <w:proofErr w:type="spellStart"/>
            <w:r w:rsidRPr="002A31A3">
              <w:rPr>
                <w:rFonts w:ascii="Bookman Old Style" w:hAnsi="Bookman Old Style"/>
              </w:rPr>
              <w:t>MoP&amp;NG</w:t>
            </w:r>
            <w:proofErr w:type="spellEnd"/>
            <w:r w:rsidRPr="002A31A3">
              <w:rPr>
                <w:rFonts w:ascii="Bookman Old Style" w:hAnsi="Bookman Old Style"/>
              </w:rPr>
              <w:t>) and DGH had taken an initiative to cover the Un-appraised area of the country with 2D Seismic Survey both onshore through National Seismic Programme (NSP) and Deep Andaman offshore. As entrusted by DGH/</w:t>
            </w:r>
            <w:proofErr w:type="spellStart"/>
            <w:r w:rsidRPr="002A31A3">
              <w:rPr>
                <w:rFonts w:ascii="Bookman Old Style" w:hAnsi="Bookman Old Style"/>
              </w:rPr>
              <w:t>MoP&amp;NG</w:t>
            </w:r>
            <w:proofErr w:type="spellEnd"/>
            <w:r w:rsidRPr="002A31A3">
              <w:rPr>
                <w:rFonts w:ascii="Bookman Old Style" w:hAnsi="Bookman Old Style"/>
              </w:rPr>
              <w:t>, OIL has completed 5245.80 LKM and 22554.60 LKM of 2D Seismic Surveys under the National Seismic Programme (NSP) and Deep Andaman Offshore respectively.</w:t>
            </w:r>
          </w:p>
          <w:p w14:paraId="377100E6" w14:textId="77777777" w:rsidR="00131348" w:rsidRPr="002A31A3" w:rsidRDefault="00131348" w:rsidP="00131348">
            <w:pPr>
              <w:jc w:val="both"/>
              <w:rPr>
                <w:rFonts w:ascii="Bookman Old Style" w:hAnsi="Bookman Old Style"/>
              </w:rPr>
            </w:pPr>
          </w:p>
          <w:p w14:paraId="053C54D8" w14:textId="77777777" w:rsidR="00131348" w:rsidRPr="002A31A3" w:rsidRDefault="00131348" w:rsidP="00131348">
            <w:pPr>
              <w:jc w:val="both"/>
              <w:rPr>
                <w:rFonts w:ascii="Bookman Old Style" w:hAnsi="Bookman Old Style"/>
              </w:rPr>
            </w:pPr>
            <w:r w:rsidRPr="002A31A3">
              <w:rPr>
                <w:rFonts w:ascii="Bookman Old Style" w:hAnsi="Bookman Old Style"/>
                <w:b/>
                <w:bCs/>
                <w:u w:val="single"/>
              </w:rPr>
              <w:t xml:space="preserve">(iii) Airborne Gravity </w:t>
            </w:r>
            <w:proofErr w:type="spellStart"/>
            <w:r w:rsidRPr="002A31A3">
              <w:rPr>
                <w:rFonts w:ascii="Bookman Old Style" w:hAnsi="Bookman Old Style"/>
                <w:b/>
                <w:bCs/>
                <w:u w:val="single"/>
              </w:rPr>
              <w:t>Gradiometry</w:t>
            </w:r>
            <w:proofErr w:type="spellEnd"/>
            <w:r w:rsidRPr="002A31A3">
              <w:rPr>
                <w:rFonts w:ascii="Bookman Old Style" w:hAnsi="Bookman Old Style"/>
                <w:b/>
                <w:bCs/>
                <w:u w:val="single"/>
              </w:rPr>
              <w:t xml:space="preserve"> and Gravity-Magnetic survey:</w:t>
            </w:r>
            <w:r w:rsidRPr="002A31A3">
              <w:rPr>
                <w:rFonts w:ascii="Bookman Old Style" w:hAnsi="Bookman Old Style"/>
              </w:rPr>
              <w:t xml:space="preserve"> To cover areas where seismic data couldn’t be acquired under National Seismic Programme (NSP) due to inaccessible terrain and hostile environment, therefore, with an objective to give impetus to hydrocarbon activities and add value in understanding the regional oil &amp; gas </w:t>
            </w:r>
            <w:proofErr w:type="spellStart"/>
            <w:r w:rsidRPr="002A31A3">
              <w:rPr>
                <w:rFonts w:ascii="Bookman Old Style" w:hAnsi="Bookman Old Style"/>
              </w:rPr>
              <w:t>prospectivity</w:t>
            </w:r>
            <w:proofErr w:type="spellEnd"/>
            <w:r w:rsidRPr="002A31A3">
              <w:rPr>
                <w:rFonts w:ascii="Bookman Old Style" w:hAnsi="Bookman Old Style"/>
              </w:rPr>
              <w:t xml:space="preserve">, </w:t>
            </w:r>
            <w:proofErr w:type="spellStart"/>
            <w:r w:rsidRPr="002A31A3">
              <w:rPr>
                <w:rFonts w:ascii="Bookman Old Style" w:hAnsi="Bookman Old Style"/>
              </w:rPr>
              <w:t>GoI</w:t>
            </w:r>
            <w:proofErr w:type="spellEnd"/>
            <w:r w:rsidRPr="002A31A3">
              <w:rPr>
                <w:rFonts w:ascii="Bookman Old Style" w:hAnsi="Bookman Old Style"/>
              </w:rPr>
              <w:t xml:space="preserve"> formulated a planned to conduct Airborne Geophysical survey to acquire 49,795 flight LKM Gravity </w:t>
            </w:r>
            <w:proofErr w:type="spellStart"/>
            <w:r w:rsidRPr="002A31A3">
              <w:rPr>
                <w:rFonts w:ascii="Bookman Old Style" w:hAnsi="Bookman Old Style"/>
              </w:rPr>
              <w:t>Gradiometry</w:t>
            </w:r>
            <w:proofErr w:type="spellEnd"/>
            <w:r w:rsidRPr="002A31A3">
              <w:rPr>
                <w:rFonts w:ascii="Bookman Old Style" w:hAnsi="Bookman Old Style"/>
              </w:rPr>
              <w:t xml:space="preserve"> and Gravity-Magnetic data. Accordingly, OIL was entrusted by </w:t>
            </w:r>
            <w:proofErr w:type="spellStart"/>
            <w:r w:rsidRPr="002A31A3">
              <w:rPr>
                <w:rFonts w:ascii="Bookman Old Style" w:hAnsi="Bookman Old Style"/>
              </w:rPr>
              <w:t>MoP&amp;NG</w:t>
            </w:r>
            <w:proofErr w:type="spellEnd"/>
            <w:r w:rsidRPr="002A31A3">
              <w:rPr>
                <w:rFonts w:ascii="Bookman Old Style" w:hAnsi="Bookman Old Style"/>
              </w:rPr>
              <w:t xml:space="preserve"> and DGH to execute Acquisition, Processing &amp; Interpretation (API) of Airborne Gravity </w:t>
            </w:r>
            <w:proofErr w:type="spellStart"/>
            <w:r w:rsidRPr="002A31A3">
              <w:rPr>
                <w:rFonts w:ascii="Bookman Old Style" w:hAnsi="Bookman Old Style"/>
              </w:rPr>
              <w:t>Gradiometry</w:t>
            </w:r>
            <w:proofErr w:type="spellEnd"/>
            <w:r w:rsidRPr="002A31A3">
              <w:rPr>
                <w:rFonts w:ascii="Bookman Old Style" w:hAnsi="Bookman Old Style"/>
              </w:rPr>
              <w:t xml:space="preserve"> &amp; Gravity Magnetic (AGG &amp; GM) studies. The areas cover </w:t>
            </w:r>
            <w:proofErr w:type="spellStart"/>
            <w:r w:rsidRPr="002A31A3">
              <w:rPr>
                <w:rFonts w:ascii="Bookman Old Style" w:hAnsi="Bookman Old Style"/>
              </w:rPr>
              <w:t>Spiti</w:t>
            </w:r>
            <w:proofErr w:type="spellEnd"/>
            <w:r w:rsidRPr="002A31A3">
              <w:rPr>
                <w:rFonts w:ascii="Bookman Old Style" w:hAnsi="Bookman Old Style"/>
              </w:rPr>
              <w:t xml:space="preserve"> in Himachal Pradesh &amp; Ladakh, </w:t>
            </w:r>
            <w:proofErr w:type="spellStart"/>
            <w:r w:rsidRPr="002A31A3">
              <w:rPr>
                <w:rFonts w:ascii="Bookman Old Style" w:hAnsi="Bookman Old Style"/>
              </w:rPr>
              <w:t>Jhanskar-Karewa</w:t>
            </w:r>
            <w:proofErr w:type="spellEnd"/>
            <w:r w:rsidRPr="002A31A3">
              <w:rPr>
                <w:rFonts w:ascii="Bookman Old Style" w:hAnsi="Bookman Old Style"/>
              </w:rPr>
              <w:t xml:space="preserve"> in Jammu &amp; Kashmir UT, Bastar in Chhattisgarh &amp; Odisha, Cauvery Basin in Tamil Nadu, and parts of Northeast (Assam, Arunachal Pradesh, Nagaland, Manipur, Meghalaya, Mizoram &amp; Tripura) India. The AGG &amp; GM survey commenced on 27.05.2023 concluded on </w:t>
            </w:r>
            <w:r w:rsidRPr="002A31A3">
              <w:rPr>
                <w:rFonts w:ascii="Bookman Old Style" w:hAnsi="Bookman Old Style"/>
              </w:rPr>
              <w:lastRenderedPageBreak/>
              <w:t>15.02.2024. A total of 42,943.09 flight LKM of data was recorded. The project was completed on 31.03.2024.</w:t>
            </w:r>
          </w:p>
          <w:p w14:paraId="768F9B69" w14:textId="77777777" w:rsidR="00131348" w:rsidRPr="002A31A3" w:rsidRDefault="00131348" w:rsidP="00131348">
            <w:pPr>
              <w:jc w:val="both"/>
              <w:rPr>
                <w:rFonts w:ascii="Bookman Old Style" w:hAnsi="Bookman Old Style"/>
              </w:rPr>
            </w:pPr>
          </w:p>
          <w:p w14:paraId="7E4A0D24" w14:textId="77777777" w:rsidR="00131348" w:rsidRPr="002A31A3" w:rsidRDefault="00131348" w:rsidP="00131348">
            <w:pPr>
              <w:jc w:val="both"/>
              <w:rPr>
                <w:rFonts w:ascii="Bookman Old Style" w:hAnsi="Bookman Old Style"/>
              </w:rPr>
            </w:pPr>
            <w:r w:rsidRPr="002A31A3">
              <w:rPr>
                <w:rFonts w:ascii="Bookman Old Style" w:hAnsi="Bookman Old Style"/>
                <w:b/>
                <w:bCs/>
                <w:u w:val="single"/>
              </w:rPr>
              <w:t>(iv) Drilling of Stratigraphic Wells:</w:t>
            </w:r>
            <w:r w:rsidRPr="002A31A3">
              <w:rPr>
                <w:rFonts w:ascii="Bookman Old Style" w:hAnsi="Bookman Old Style"/>
              </w:rPr>
              <w:t xml:space="preserve"> Under the </w:t>
            </w:r>
            <w:proofErr w:type="spellStart"/>
            <w:r w:rsidRPr="002A31A3">
              <w:rPr>
                <w:rFonts w:ascii="Bookman Old Style" w:hAnsi="Bookman Old Style"/>
              </w:rPr>
              <w:t>GoI</w:t>
            </w:r>
            <w:proofErr w:type="spellEnd"/>
            <w:r w:rsidRPr="002A31A3">
              <w:rPr>
                <w:rFonts w:ascii="Bookman Old Style" w:hAnsi="Bookman Old Style"/>
              </w:rPr>
              <w:t xml:space="preserve"> initiative, OIL is working along with ONGC to drill four stratigraphic wells in Mahanadi, Andaman, Bengal </w:t>
            </w:r>
            <w:proofErr w:type="spellStart"/>
            <w:r w:rsidRPr="002A31A3">
              <w:rPr>
                <w:rFonts w:ascii="Bookman Old Style" w:hAnsi="Bookman Old Style"/>
              </w:rPr>
              <w:t>Purnea</w:t>
            </w:r>
            <w:proofErr w:type="spellEnd"/>
            <w:r w:rsidRPr="002A31A3">
              <w:rPr>
                <w:rFonts w:ascii="Bookman Old Style" w:hAnsi="Bookman Old Style"/>
              </w:rPr>
              <w:t xml:space="preserve"> and Saurashtra Basins to acquire crucial geoscientific data for expediting efforts in making oil and gas discovery in the unexplored offshore frontier regions.</w:t>
            </w:r>
          </w:p>
          <w:p w14:paraId="79E723F9" w14:textId="77777777" w:rsidR="00131348" w:rsidRPr="002A31A3" w:rsidRDefault="00131348" w:rsidP="00131348">
            <w:pPr>
              <w:jc w:val="both"/>
              <w:rPr>
                <w:rFonts w:ascii="Bookman Old Style" w:hAnsi="Bookman Old Style"/>
              </w:rPr>
            </w:pPr>
            <w:r w:rsidRPr="002A31A3">
              <w:rPr>
                <w:rFonts w:ascii="Bookman Old Style" w:hAnsi="Bookman Old Style"/>
              </w:rPr>
              <w:t xml:space="preserve"> </w:t>
            </w:r>
          </w:p>
          <w:p w14:paraId="335BF813" w14:textId="77777777" w:rsidR="00131348" w:rsidRPr="002A31A3" w:rsidRDefault="00131348" w:rsidP="00131348">
            <w:pPr>
              <w:jc w:val="both"/>
              <w:rPr>
                <w:rFonts w:ascii="Bookman Old Style" w:hAnsi="Bookman Old Style"/>
              </w:rPr>
            </w:pPr>
            <w:r w:rsidRPr="002A31A3">
              <w:rPr>
                <w:rFonts w:ascii="Bookman Old Style" w:hAnsi="Bookman Old Style"/>
                <w:b/>
                <w:bCs/>
                <w:u w:val="single"/>
              </w:rPr>
              <w:t>(v) Seismic Campaign Under Mission Anveshan (MA) &amp; Extended Continental Shelf Project (ECS) beyond EEZ:</w:t>
            </w:r>
            <w:r w:rsidRPr="002A31A3">
              <w:rPr>
                <w:rFonts w:ascii="Bookman Old Style" w:hAnsi="Bookman Old Style"/>
              </w:rPr>
              <w:t xml:space="preserve"> The Mission Anveshan (MA) &amp; appraisal of Extended Continental Shelf (ECS) beyond Exclusive Economic Zone (EEZ) of India is a flagship initiative of the Government of India under the aegis of the Ministry of Petroleum and Natural Gas (</w:t>
            </w:r>
            <w:proofErr w:type="spellStart"/>
            <w:r w:rsidRPr="002A31A3">
              <w:rPr>
                <w:rFonts w:ascii="Bookman Old Style" w:hAnsi="Bookman Old Style"/>
              </w:rPr>
              <w:t>MoP&amp;NG</w:t>
            </w:r>
            <w:proofErr w:type="spellEnd"/>
            <w:r w:rsidRPr="002A31A3">
              <w:rPr>
                <w:rFonts w:ascii="Bookman Old Style" w:hAnsi="Bookman Old Style"/>
              </w:rPr>
              <w:t xml:space="preserve">). Mission Anveshan (MA) is a sequel to the National Seismic Program wherein 2D Seismic API was carried across different sedimentary basins of the country. </w:t>
            </w:r>
          </w:p>
          <w:p w14:paraId="6A48CB0A" w14:textId="77777777" w:rsidR="00131348" w:rsidRPr="002A31A3" w:rsidRDefault="00131348" w:rsidP="00131348">
            <w:pPr>
              <w:jc w:val="both"/>
              <w:rPr>
                <w:rFonts w:ascii="Bookman Old Style" w:hAnsi="Bookman Old Style"/>
              </w:rPr>
            </w:pPr>
            <w:r w:rsidRPr="002A31A3">
              <w:rPr>
                <w:rFonts w:ascii="Bookman Old Style" w:hAnsi="Bookman Old Style"/>
              </w:rPr>
              <w:t xml:space="preserve">Recently, </w:t>
            </w:r>
            <w:proofErr w:type="spellStart"/>
            <w:r w:rsidRPr="002A31A3">
              <w:rPr>
                <w:rFonts w:ascii="Bookman Old Style" w:hAnsi="Bookman Old Style"/>
              </w:rPr>
              <w:t>MoP&amp;NG</w:t>
            </w:r>
            <w:proofErr w:type="spellEnd"/>
            <w:r w:rsidRPr="002A31A3">
              <w:rPr>
                <w:rFonts w:ascii="Bookman Old Style" w:hAnsi="Bookman Old Style"/>
              </w:rPr>
              <w:t xml:space="preserve"> has instructed OIL &amp; ONGCL to carryout 2D Seismic Acquisition, Processing &amp; Interpretation (API) of 20,275 LKM in the on land Indian Sedimentary basins and a total quantum of 30,000 LKM for the appraisal of ECS beyond EEZ in the eastern and western Offshore India.</w:t>
            </w:r>
          </w:p>
          <w:p w14:paraId="05A22C2F" w14:textId="77777777" w:rsidR="00131348" w:rsidRPr="002A31A3" w:rsidRDefault="00131348" w:rsidP="00131348">
            <w:pPr>
              <w:jc w:val="both"/>
              <w:rPr>
                <w:rFonts w:ascii="Bookman Old Style" w:hAnsi="Bookman Old Style"/>
              </w:rPr>
            </w:pPr>
            <w:r w:rsidRPr="002A31A3">
              <w:rPr>
                <w:rFonts w:ascii="Bookman Old Style" w:hAnsi="Bookman Old Style"/>
              </w:rPr>
              <w:t xml:space="preserve">Out of the total allocated project quantum of 20,275 LKM 2D seismic API, OIL has been entrusted to carry out a total of 9,400 LKM out of total 20,275 of 2D seismic survey in areas of Rajasthan (4300 LKM) and Ganga-Punjab (5100 LKM) Basins. The survey commenced on 28.10.2024 and is currently under progress. Oil &amp; Natural Gas Corporation (ONGC) has been entrusted with the remaining quantum of 10,875 LKM covering Krishna-Godavari, Chhattisgarh and </w:t>
            </w:r>
            <w:proofErr w:type="spellStart"/>
            <w:r w:rsidRPr="002A31A3">
              <w:rPr>
                <w:rFonts w:ascii="Bookman Old Style" w:hAnsi="Bookman Old Style"/>
              </w:rPr>
              <w:t>Cuddapah</w:t>
            </w:r>
            <w:proofErr w:type="spellEnd"/>
            <w:r w:rsidRPr="002A31A3">
              <w:rPr>
                <w:rFonts w:ascii="Bookman Old Style" w:hAnsi="Bookman Old Style"/>
              </w:rPr>
              <w:t xml:space="preserve">. </w:t>
            </w:r>
          </w:p>
          <w:p w14:paraId="3985A99E" w14:textId="77777777" w:rsidR="00131348" w:rsidRPr="002A31A3" w:rsidRDefault="00131348" w:rsidP="00131348">
            <w:pPr>
              <w:jc w:val="both"/>
              <w:rPr>
                <w:rFonts w:ascii="Bookman Old Style" w:hAnsi="Bookman Old Style"/>
              </w:rPr>
            </w:pPr>
            <w:r w:rsidRPr="002A31A3">
              <w:rPr>
                <w:rFonts w:ascii="Bookman Old Style" w:hAnsi="Bookman Old Style"/>
              </w:rPr>
              <w:t>As on 08.07.2025, the total surface coverage in Rajasthan basin is 2431.60 LKM and in Ganga- Punjab Basin is 2480.64 LKM. The cumulative surface coverage of the Project under OIL is 4912.24 LKM (52.26 %).</w:t>
            </w:r>
          </w:p>
          <w:p w14:paraId="57C8E21F" w14:textId="77777777" w:rsidR="00131348" w:rsidRPr="002A31A3" w:rsidRDefault="00131348" w:rsidP="00131348">
            <w:pPr>
              <w:jc w:val="both"/>
              <w:rPr>
                <w:rFonts w:ascii="Bookman Old Style" w:hAnsi="Bookman Old Style"/>
              </w:rPr>
            </w:pPr>
          </w:p>
          <w:p w14:paraId="5097A34A" w14:textId="77777777" w:rsidR="00131348" w:rsidRPr="002A31A3" w:rsidRDefault="00131348" w:rsidP="00131348">
            <w:pPr>
              <w:jc w:val="both"/>
              <w:rPr>
                <w:rFonts w:ascii="Bookman Old Style" w:hAnsi="Bookman Old Style"/>
              </w:rPr>
            </w:pPr>
            <w:r w:rsidRPr="002A31A3">
              <w:rPr>
                <w:rFonts w:ascii="Bookman Old Style" w:hAnsi="Bookman Old Style"/>
              </w:rPr>
              <w:t>Similarly, out of the total allocated project quantum of 30,000 LKM offshore 2D seismic API, Oil India limited (OIL) is entrusted to carry out 14,500 LKM 2D seismic API in ECS of Eastern offshore and the remaining 15,500 LKM to be carried out by ONGCL in the western offshore. The acquisition operation commenced on 04.02.2025 and completed on 13.06.2025 after acquiring a total surface coverage of 14513 LKM. At present, the processing of the raw data is under progress.</w:t>
            </w:r>
          </w:p>
          <w:p w14:paraId="64603A87" w14:textId="77777777" w:rsidR="00131348" w:rsidRPr="002A31A3" w:rsidRDefault="00131348" w:rsidP="00131348">
            <w:pPr>
              <w:jc w:val="both"/>
              <w:rPr>
                <w:rFonts w:ascii="Bookman Old Style" w:hAnsi="Bookman Old Style"/>
              </w:rPr>
            </w:pPr>
          </w:p>
          <w:p w14:paraId="5AB2356B" w14:textId="77777777" w:rsidR="00131348" w:rsidRPr="002A31A3" w:rsidRDefault="00131348" w:rsidP="00131348">
            <w:pPr>
              <w:jc w:val="both"/>
              <w:rPr>
                <w:rFonts w:ascii="Bookman Old Style" w:hAnsi="Bookman Old Style"/>
              </w:rPr>
            </w:pPr>
            <w:r w:rsidRPr="002A31A3">
              <w:rPr>
                <w:rFonts w:ascii="Bookman Old Style" w:hAnsi="Bookman Old Style"/>
                <w:b/>
                <w:bCs/>
                <w:u w:val="single"/>
              </w:rPr>
              <w:t>(vi) Opening of No-Go Areas for E&amp;P Activities:</w:t>
            </w:r>
            <w:r w:rsidRPr="002A31A3">
              <w:rPr>
                <w:rFonts w:ascii="Bookman Old Style" w:hAnsi="Bookman Old Style"/>
              </w:rPr>
              <w:t xml:space="preserve"> Recently, </w:t>
            </w:r>
            <w:proofErr w:type="spellStart"/>
            <w:r w:rsidRPr="002A31A3">
              <w:rPr>
                <w:rFonts w:ascii="Bookman Old Style" w:hAnsi="Bookman Old Style"/>
              </w:rPr>
              <w:t>GoI</w:t>
            </w:r>
            <w:proofErr w:type="spellEnd"/>
            <w:r w:rsidRPr="002A31A3">
              <w:rPr>
                <w:rFonts w:ascii="Bookman Old Style" w:hAnsi="Bookman Old Style"/>
              </w:rPr>
              <w:t xml:space="preserve"> has significantly reduced the earlier "No-Go" areas by around 98% and this also includes 99% of area earlier prohibited for security reasons in India's Exclusive Economic Zone (EEZ). The total exempted area from No-Go restriction is around 1 million Sq. Km. </w:t>
            </w:r>
          </w:p>
          <w:p w14:paraId="01B824B0" w14:textId="77777777" w:rsidR="00131348" w:rsidRPr="002A31A3" w:rsidRDefault="00131348" w:rsidP="00131348">
            <w:pPr>
              <w:jc w:val="both"/>
              <w:rPr>
                <w:rFonts w:ascii="Bookman Old Style" w:hAnsi="Bookman Old Style"/>
              </w:rPr>
            </w:pPr>
            <w:r w:rsidRPr="002A31A3">
              <w:rPr>
                <w:rFonts w:ascii="Bookman Old Style" w:hAnsi="Bookman Old Style"/>
              </w:rPr>
              <w:t xml:space="preserve">The opening up of over 1 million Sq. Km of area will allow the E&amp;P operators to stretch their exploration campaign to a much larger area which includes a significant area under EEZ. Exploration activities in the newly opened up frontiers of deep &amp; ultra deep offshore of the country is being highly encouraged by the Government thereby creating opportunities of making new discoveries and increasing domestic oil and gas production. The government expects significant increase of capex by the oil </w:t>
            </w:r>
            <w:r w:rsidRPr="002A31A3">
              <w:rPr>
                <w:rFonts w:ascii="Bookman Old Style" w:hAnsi="Bookman Old Style"/>
              </w:rPr>
              <w:lastRenderedPageBreak/>
              <w:t>companies in the forthcoming years on account of opening of No-Go areas and other policy initiatives like OALP, DSF etc.</w:t>
            </w:r>
          </w:p>
          <w:p w14:paraId="5E69EB4E" w14:textId="10642D1C" w:rsidR="00131348" w:rsidRPr="00CE5DA4" w:rsidRDefault="00131348" w:rsidP="00131348">
            <w:pPr>
              <w:spacing w:after="120"/>
              <w:jc w:val="both"/>
              <w:rPr>
                <w:rFonts w:ascii="Tahoma" w:hAnsi="Tahoma" w:cs="Tahoma"/>
                <w:b/>
                <w:lang w:val="en-US"/>
              </w:rPr>
            </w:pPr>
            <w:r w:rsidRPr="002A31A3">
              <w:rPr>
                <w:rFonts w:ascii="Bookman Old Style" w:hAnsi="Bookman Old Style"/>
              </w:rPr>
              <w:t>Oil India Limited also views this as a significant opportunity and intends to acquire exploration acreages through forthcoming OALP Bid Rounds in these newly opened-up areas. Under OALP Bid Round IX, basis bid opening, OIL has secured 6 blocks as Operator with a total area of 40,590 Sq. Km and 3 Blocks Jointly with ONGC with a total area of 10,965 Sq. Km. Official notification is awaited (Letter of Award &amp; RSC signing is awaited).</w:t>
            </w:r>
          </w:p>
        </w:tc>
      </w:tr>
    </w:tbl>
    <w:p w14:paraId="210939C9" w14:textId="77777777" w:rsidR="00E14F53" w:rsidRDefault="00E14F53" w:rsidP="0044759C">
      <w:pPr>
        <w:spacing w:after="0"/>
        <w:ind w:right="-482"/>
        <w:jc w:val="right"/>
        <w:rPr>
          <w:rFonts w:ascii="Tahoma" w:hAnsi="Tahoma" w:cs="Tahoma"/>
          <w:lang w:val="en-US"/>
        </w:rPr>
      </w:pPr>
    </w:p>
    <w:p w14:paraId="23352F1B" w14:textId="6E4325AC"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5961CAD7" w14:textId="0EBA5C20" w:rsidR="00F26CC7" w:rsidRDefault="00F26CC7" w:rsidP="0044759C">
      <w:pPr>
        <w:spacing w:after="0" w:line="240" w:lineRule="auto"/>
        <w:ind w:right="-482"/>
        <w:jc w:val="right"/>
        <w:rPr>
          <w:rFonts w:ascii="Tahoma" w:hAnsi="Tahoma" w:cs="Tahoma"/>
          <w:b/>
          <w:lang w:val="en-US"/>
        </w:rPr>
      </w:pPr>
    </w:p>
    <w:p w14:paraId="3A08BC9D" w14:textId="77777777" w:rsidR="00AE10C1" w:rsidRPr="00CE5DA4" w:rsidRDefault="00AE10C1"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F226C5"/>
    <w:multiLevelType w:val="hybridMultilevel"/>
    <w:tmpl w:val="9FBEB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0D726FA"/>
    <w:multiLevelType w:val="hybridMultilevel"/>
    <w:tmpl w:val="69DEDB7E"/>
    <w:lvl w:ilvl="0" w:tplc="64BAD4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3"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num>
  <w:num w:numId="7">
    <w:abstractNumId w:val="5"/>
  </w:num>
  <w:num w:numId="8">
    <w:abstractNumId w:val="10"/>
  </w:num>
  <w:num w:numId="9">
    <w:abstractNumId w:val="21"/>
  </w:num>
  <w:num w:numId="10">
    <w:abstractNumId w:val="33"/>
  </w:num>
  <w:num w:numId="11">
    <w:abstractNumId w:val="20"/>
  </w:num>
  <w:num w:numId="12">
    <w:abstractNumId w:val="17"/>
  </w:num>
  <w:num w:numId="13">
    <w:abstractNumId w:val="28"/>
  </w:num>
  <w:num w:numId="14">
    <w:abstractNumId w:val="23"/>
  </w:num>
  <w:num w:numId="15">
    <w:abstractNumId w:val="30"/>
  </w:num>
  <w:num w:numId="16">
    <w:abstractNumId w:val="15"/>
  </w:num>
  <w:num w:numId="17">
    <w:abstractNumId w:val="16"/>
  </w:num>
  <w:num w:numId="18">
    <w:abstractNumId w:val="12"/>
  </w:num>
  <w:num w:numId="19">
    <w:abstractNumId w:val="26"/>
  </w:num>
  <w:num w:numId="20">
    <w:abstractNumId w:val="27"/>
  </w:num>
  <w:num w:numId="21">
    <w:abstractNumId w:val="4"/>
  </w:num>
  <w:num w:numId="22">
    <w:abstractNumId w:val="32"/>
  </w:num>
  <w:num w:numId="23">
    <w:abstractNumId w:val="24"/>
  </w:num>
  <w:num w:numId="24">
    <w:abstractNumId w:val="19"/>
  </w:num>
  <w:num w:numId="25">
    <w:abstractNumId w:val="9"/>
  </w:num>
  <w:num w:numId="26">
    <w:abstractNumId w:val="6"/>
  </w:num>
  <w:num w:numId="27">
    <w:abstractNumId w:val="2"/>
  </w:num>
  <w:num w:numId="28">
    <w:abstractNumId w:val="29"/>
  </w:num>
  <w:num w:numId="29">
    <w:abstractNumId w:val="31"/>
  </w:num>
  <w:num w:numId="3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2"/>
    <w:lvlOverride w:ilvl="0">
      <w:startOverride w:val="1"/>
    </w:lvlOverride>
    <w:lvlOverride w:ilvl="1"/>
    <w:lvlOverride w:ilvl="2"/>
    <w:lvlOverride w:ilvl="3"/>
    <w:lvlOverride w:ilvl="4"/>
    <w:lvlOverride w:ilvl="5"/>
    <w:lvlOverride w:ilvl="6"/>
    <w:lvlOverride w:ilvl="7"/>
    <w:lvlOverride w:ilvl="8"/>
  </w:num>
  <w:num w:numId="33">
    <w:abstractNumId w:val="13"/>
  </w:num>
  <w:num w:numId="34">
    <w:abstractNumId w:val="18"/>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36EBA"/>
    <w:rsid w:val="0005506B"/>
    <w:rsid w:val="0006232A"/>
    <w:rsid w:val="000715A3"/>
    <w:rsid w:val="00071650"/>
    <w:rsid w:val="000730D5"/>
    <w:rsid w:val="0007784F"/>
    <w:rsid w:val="000977F8"/>
    <w:rsid w:val="000A09A2"/>
    <w:rsid w:val="000A2F38"/>
    <w:rsid w:val="000B6878"/>
    <w:rsid w:val="000B717E"/>
    <w:rsid w:val="000C5232"/>
    <w:rsid w:val="000C5B3E"/>
    <w:rsid w:val="000C6679"/>
    <w:rsid w:val="000C780F"/>
    <w:rsid w:val="000F07AB"/>
    <w:rsid w:val="000F5C49"/>
    <w:rsid w:val="00106CAF"/>
    <w:rsid w:val="001151F2"/>
    <w:rsid w:val="00131348"/>
    <w:rsid w:val="00133A75"/>
    <w:rsid w:val="001352A6"/>
    <w:rsid w:val="001360E3"/>
    <w:rsid w:val="001368FD"/>
    <w:rsid w:val="001465BD"/>
    <w:rsid w:val="00157286"/>
    <w:rsid w:val="00172997"/>
    <w:rsid w:val="00175FC8"/>
    <w:rsid w:val="001A2608"/>
    <w:rsid w:val="001A27F8"/>
    <w:rsid w:val="001B4C58"/>
    <w:rsid w:val="001C6223"/>
    <w:rsid w:val="001D70D4"/>
    <w:rsid w:val="001E301A"/>
    <w:rsid w:val="001F17B4"/>
    <w:rsid w:val="001F253B"/>
    <w:rsid w:val="002254E2"/>
    <w:rsid w:val="00230158"/>
    <w:rsid w:val="00235041"/>
    <w:rsid w:val="00261595"/>
    <w:rsid w:val="002618BC"/>
    <w:rsid w:val="002639D6"/>
    <w:rsid w:val="00265CDC"/>
    <w:rsid w:val="00284B8F"/>
    <w:rsid w:val="00287BE4"/>
    <w:rsid w:val="002A7B0E"/>
    <w:rsid w:val="002C07CD"/>
    <w:rsid w:val="002C2F3A"/>
    <w:rsid w:val="002C5FB5"/>
    <w:rsid w:val="002E2DA8"/>
    <w:rsid w:val="002E5790"/>
    <w:rsid w:val="002E61F1"/>
    <w:rsid w:val="002E713E"/>
    <w:rsid w:val="002E7EBA"/>
    <w:rsid w:val="002F0997"/>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2B73"/>
    <w:rsid w:val="003E3F64"/>
    <w:rsid w:val="003E4220"/>
    <w:rsid w:val="003F0C3B"/>
    <w:rsid w:val="003F381E"/>
    <w:rsid w:val="003F39FC"/>
    <w:rsid w:val="004040E1"/>
    <w:rsid w:val="0041688D"/>
    <w:rsid w:val="0042311F"/>
    <w:rsid w:val="0044759C"/>
    <w:rsid w:val="00454932"/>
    <w:rsid w:val="00455084"/>
    <w:rsid w:val="00463A0C"/>
    <w:rsid w:val="004A407D"/>
    <w:rsid w:val="004A4DED"/>
    <w:rsid w:val="004B1CCA"/>
    <w:rsid w:val="004B3795"/>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2449"/>
    <w:rsid w:val="00551830"/>
    <w:rsid w:val="00556073"/>
    <w:rsid w:val="00562579"/>
    <w:rsid w:val="005632FA"/>
    <w:rsid w:val="0056541D"/>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0819"/>
    <w:rsid w:val="00654ECF"/>
    <w:rsid w:val="0066060F"/>
    <w:rsid w:val="006702D9"/>
    <w:rsid w:val="00671E00"/>
    <w:rsid w:val="0067744F"/>
    <w:rsid w:val="006914A0"/>
    <w:rsid w:val="006A0F75"/>
    <w:rsid w:val="006A2B11"/>
    <w:rsid w:val="006A7AF4"/>
    <w:rsid w:val="006B5433"/>
    <w:rsid w:val="006C405C"/>
    <w:rsid w:val="006E5B6B"/>
    <w:rsid w:val="006F2F7A"/>
    <w:rsid w:val="006F5F9D"/>
    <w:rsid w:val="006F729F"/>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AE10C1"/>
    <w:rsid w:val="00B234E6"/>
    <w:rsid w:val="00B32638"/>
    <w:rsid w:val="00B3384E"/>
    <w:rsid w:val="00B475C0"/>
    <w:rsid w:val="00B50E79"/>
    <w:rsid w:val="00B71914"/>
    <w:rsid w:val="00B742ED"/>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3E94"/>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0E10"/>
    <w:rsid w:val="00D62161"/>
    <w:rsid w:val="00D6256F"/>
    <w:rsid w:val="00D65242"/>
    <w:rsid w:val="00D66546"/>
    <w:rsid w:val="00D8213C"/>
    <w:rsid w:val="00D86755"/>
    <w:rsid w:val="00D90377"/>
    <w:rsid w:val="00DA33EC"/>
    <w:rsid w:val="00DB6DCD"/>
    <w:rsid w:val="00DD18E7"/>
    <w:rsid w:val="00DD26AF"/>
    <w:rsid w:val="00DD5CA9"/>
    <w:rsid w:val="00DE347B"/>
    <w:rsid w:val="00DF1C17"/>
    <w:rsid w:val="00DF270C"/>
    <w:rsid w:val="00E02CD6"/>
    <w:rsid w:val="00E06B03"/>
    <w:rsid w:val="00E14F53"/>
    <w:rsid w:val="00E37BCB"/>
    <w:rsid w:val="00E44632"/>
    <w:rsid w:val="00E454EE"/>
    <w:rsid w:val="00E74050"/>
    <w:rsid w:val="00E869E0"/>
    <w:rsid w:val="00EB0203"/>
    <w:rsid w:val="00EB5F4C"/>
    <w:rsid w:val="00EB6DB5"/>
    <w:rsid w:val="00ED2EBB"/>
    <w:rsid w:val="00EE37B2"/>
    <w:rsid w:val="00EE4AA3"/>
    <w:rsid w:val="00EF357F"/>
    <w:rsid w:val="00EF4BEA"/>
    <w:rsid w:val="00F211B3"/>
    <w:rsid w:val="00F21622"/>
    <w:rsid w:val="00F255CA"/>
    <w:rsid w:val="00F26A26"/>
    <w:rsid w:val="00F26CC7"/>
    <w:rsid w:val="00F270A6"/>
    <w:rsid w:val="00F322FF"/>
    <w:rsid w:val="00F34A50"/>
    <w:rsid w:val="00F47FDD"/>
    <w:rsid w:val="00F636E8"/>
    <w:rsid w:val="00F6408C"/>
    <w:rsid w:val="00F90735"/>
    <w:rsid w:val="00F977D6"/>
    <w:rsid w:val="00F97BB8"/>
    <w:rsid w:val="00FA4B57"/>
    <w:rsid w:val="00FB3301"/>
    <w:rsid w:val="00FB3A1A"/>
    <w:rsid w:val="00FC22E2"/>
    <w:rsid w:val="00FC2310"/>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2550664">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7797711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760104621">
      <w:bodyDiv w:val="1"/>
      <w:marLeft w:val="0"/>
      <w:marRight w:val="0"/>
      <w:marTop w:val="0"/>
      <w:marBottom w:val="0"/>
      <w:divBdr>
        <w:top w:val="none" w:sz="0" w:space="0" w:color="auto"/>
        <w:left w:val="none" w:sz="0" w:space="0" w:color="auto"/>
        <w:bottom w:val="none" w:sz="0" w:space="0" w:color="auto"/>
        <w:right w:val="none" w:sz="0" w:space="0" w:color="auto"/>
      </w:divBdr>
    </w:div>
    <w:div w:id="767966053">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21628932">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42422678">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1422241">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3761213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761561281">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52858667">
      <w:bodyDiv w:val="1"/>
      <w:marLeft w:val="0"/>
      <w:marRight w:val="0"/>
      <w:marTop w:val="0"/>
      <w:marBottom w:val="0"/>
      <w:divBdr>
        <w:top w:val="none" w:sz="0" w:space="0" w:color="auto"/>
        <w:left w:val="none" w:sz="0" w:space="0" w:color="auto"/>
        <w:bottom w:val="none" w:sz="0" w:space="0" w:color="auto"/>
        <w:right w:val="none" w:sz="0" w:space="0" w:color="auto"/>
      </w:divBdr>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0353EC-7842-4C6F-8F6E-0E36408452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FF6C17-92CF-42DF-8025-ABE169859AC3}">
  <ds:schemaRefs>
    <ds:schemaRef ds:uri="http://schemas.microsoft.com/sharepoint/v3/contenttype/forms"/>
  </ds:schemaRefs>
</ds:datastoreItem>
</file>

<file path=customXml/itemProps3.xml><?xml version="1.0" encoding="utf-8"?>
<ds:datastoreItem xmlns:ds="http://schemas.openxmlformats.org/officeDocument/2006/customXml" ds:itemID="{51D9BF7F-6D68-4287-BD5D-30C2293BF0A6}">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97A23857-698D-4F6E-8D1F-6D5F2F035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1662</Words>
  <Characters>9476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2025-07-22T12:54:00Z</cp:lastPrinted>
  <dcterms:created xsi:type="dcterms:W3CDTF">2025-07-22T12:59:00Z</dcterms:created>
  <dcterms:modified xsi:type="dcterms:W3CDTF">2025-07-22T12:59:00Z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