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68B0639E" w14:textId="51EA850E" w:rsidR="004012F4" w:rsidRDefault="004012F4"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133D36B" w14:textId="3C425064" w:rsidR="004012F4" w:rsidRDefault="004012F4" w:rsidP="001368FD">
      <w:pPr>
        <w:spacing w:after="0"/>
        <w:jc w:val="center"/>
        <w:rPr>
          <w:rFonts w:ascii="Tahoma" w:hAnsi="Tahoma" w:cs="Tahoma"/>
          <w:lang w:val="en-US"/>
        </w:rPr>
      </w:pPr>
    </w:p>
    <w:p w14:paraId="5712DFB9" w14:textId="77777777" w:rsidR="004012F4" w:rsidRPr="00971AC9" w:rsidRDefault="004012F4" w:rsidP="001368FD">
      <w:pPr>
        <w:spacing w:after="0"/>
        <w:jc w:val="center"/>
        <w:rPr>
          <w:rFonts w:ascii="Tahoma" w:hAnsi="Tahoma" w:cs="Tahoma"/>
          <w:lang w:val="en-US"/>
        </w:rPr>
      </w:pPr>
    </w:p>
    <w:p w14:paraId="0C934999" w14:textId="7032CFFB"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971AC9" w:rsidRPr="00971AC9">
        <w:rPr>
          <w:rFonts w:ascii="Tahoma" w:hAnsi="Tahoma" w:cs="Tahoma"/>
          <w:b/>
          <w:lang w:val="en-US"/>
        </w:rPr>
        <w:t>4</w:t>
      </w:r>
      <w:r w:rsidR="00595E64">
        <w:rPr>
          <w:rFonts w:ascii="Tahoma" w:hAnsi="Tahoma" w:cs="Tahoma"/>
          <w:b/>
          <w:lang w:val="en-US"/>
        </w:rPr>
        <w:t>2</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93458A" w:rsidRPr="00971AC9">
        <w:rPr>
          <w:rFonts w:ascii="Tahoma" w:hAnsi="Tahoma" w:cs="Tahoma"/>
          <w:b/>
          <w:lang w:val="en-US"/>
        </w:rPr>
        <w:t>2</w:t>
      </w:r>
      <w:r w:rsidR="00BD4A5C">
        <w:rPr>
          <w:rFonts w:ascii="Tahoma" w:hAnsi="Tahoma" w:cs="Tahoma"/>
          <w:b/>
          <w:lang w:val="en-US"/>
        </w:rPr>
        <w:t>8</w:t>
      </w:r>
      <w:bookmarkStart w:id="0" w:name="_GoBack"/>
      <w:bookmarkEnd w:id="0"/>
      <w:proofErr w:type="gramStart"/>
      <w:r w:rsidR="003D094A" w:rsidRPr="00971AC9">
        <w:rPr>
          <w:rFonts w:ascii="Tahoma" w:hAnsi="Tahoma" w:cs="Tahoma"/>
          <w:b/>
          <w:vertAlign w:val="superscript"/>
          <w:lang w:val="en-US"/>
        </w:rPr>
        <w:t>th</w:t>
      </w:r>
      <w:r w:rsidR="003D094A" w:rsidRPr="00971AC9">
        <w:rPr>
          <w:rFonts w:ascii="Tahoma" w:hAnsi="Tahoma" w:cs="Tahoma"/>
          <w:b/>
          <w:lang w:val="en-US"/>
        </w:rPr>
        <w:t xml:space="preserve"> </w:t>
      </w:r>
      <w:r w:rsidR="00187C39" w:rsidRPr="00971AC9">
        <w:rPr>
          <w:rFonts w:ascii="Tahoma" w:hAnsi="Tahoma" w:cs="Tahoma"/>
          <w:b/>
          <w:lang w:val="en-US"/>
        </w:rPr>
        <w:t xml:space="preserve"> July</w:t>
      </w:r>
      <w:proofErr w:type="gramEnd"/>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r w:rsidR="008F1905">
        <w:rPr>
          <w:rFonts w:ascii="Tahoma" w:hAnsi="Tahoma" w:cs="Tahoma"/>
          <w:b/>
          <w:lang w:val="en-US"/>
        </w:rPr>
        <w:t>Pinki</w:t>
      </w:r>
    </w:p>
    <w:p w14:paraId="7B68B911" w14:textId="3B6D43FE"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6586FF46" w14:textId="77777777" w:rsidR="00274628" w:rsidRPr="00971AC9" w:rsidRDefault="00274628" w:rsidP="00274628">
      <w:pPr>
        <w:tabs>
          <w:tab w:val="left" w:pos="1440"/>
        </w:tabs>
        <w:spacing w:after="0" w:line="360" w:lineRule="auto"/>
        <w:ind w:right="-23"/>
        <w:rPr>
          <w:rFonts w:ascii="Tahoma" w:hAnsi="Tahoma" w:cs="Tahoma"/>
          <w:b/>
          <w:lang w:val="en-US"/>
        </w:rPr>
      </w:pPr>
    </w:p>
    <w:p w14:paraId="24F1D845" w14:textId="5614E3E4"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595E64">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595E64">
        <w:rPr>
          <w:rFonts w:ascii="Tahoma" w:hAnsi="Tahoma" w:cs="Tahoma"/>
          <w:lang w:val="en-US"/>
        </w:rPr>
        <w:t>U3898</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595E64">
        <w:rPr>
          <w:rFonts w:ascii="Tahoma" w:hAnsi="Tahoma" w:cs="Tahoma"/>
          <w:lang w:val="en-US"/>
        </w:rPr>
        <w:t>04</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4E1A67A5"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595E64">
        <w:rPr>
          <w:rFonts w:ascii="Tahoma" w:hAnsi="Tahoma" w:cs="Tahoma"/>
          <w:b/>
          <w:lang w:val="en-US"/>
        </w:rPr>
        <w:t>Andaman Basin Offshore Oil Discoveries</w:t>
      </w:r>
      <w:r w:rsidRPr="00971AC9">
        <w:rPr>
          <w:rFonts w:ascii="Tahoma" w:hAnsi="Tahoma" w:cs="Tahoma"/>
          <w:b/>
          <w:lang w:val="en-US"/>
        </w:rPr>
        <w:t>”</w:t>
      </w:r>
    </w:p>
    <w:p w14:paraId="3297E00F" w14:textId="38FE0713"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93458A" w:rsidRPr="00971AC9">
        <w:rPr>
          <w:rFonts w:ascii="Tahoma" w:hAnsi="Tahoma" w:cs="Tahoma"/>
          <w:lang w:val="en-US"/>
        </w:rPr>
        <w:t>2</w:t>
      </w:r>
      <w:r w:rsidR="00595E64">
        <w:rPr>
          <w:rFonts w:ascii="Tahoma" w:hAnsi="Tahoma" w:cs="Tahoma"/>
          <w:lang w:val="en-US"/>
        </w:rPr>
        <w:t>5</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14FA839B"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595E64">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3539"/>
        <w:gridCol w:w="5954"/>
      </w:tblGrid>
      <w:tr w:rsidR="00F47FDD" w:rsidRPr="00971AC9" w14:paraId="55DD2EA1" w14:textId="77777777" w:rsidTr="00EC719F">
        <w:trPr>
          <w:trHeight w:val="1455"/>
        </w:trPr>
        <w:tc>
          <w:tcPr>
            <w:tcW w:w="3539" w:type="dxa"/>
          </w:tcPr>
          <w:p w14:paraId="4062B524" w14:textId="49DF5FC8" w:rsidR="00971AC9" w:rsidRPr="00971AC9" w:rsidRDefault="00F47FDD" w:rsidP="004012F4">
            <w:pPr>
              <w:ind w:right="-23"/>
              <w:jc w:val="both"/>
              <w:rPr>
                <w:rFonts w:ascii="Tahoma" w:hAnsi="Tahoma" w:cs="Tahoma"/>
                <w:i/>
                <w:iCs/>
              </w:rPr>
            </w:pPr>
            <w:r w:rsidRPr="00971AC9">
              <w:rPr>
                <w:rFonts w:ascii="Tahoma" w:hAnsi="Tahoma" w:cs="Tahoma"/>
                <w:i/>
                <w:iCs/>
              </w:rPr>
              <w:t>Q.(a)</w:t>
            </w:r>
            <w:r w:rsidR="006D18F4" w:rsidRPr="00971AC9">
              <w:rPr>
                <w:rFonts w:ascii="Tahoma" w:hAnsi="Tahoma" w:cs="Tahoma"/>
                <w:i/>
                <w:iCs/>
                <w:lang w:val="en-US"/>
              </w:rPr>
              <w:t xml:space="preserve"> </w:t>
            </w:r>
            <w:r w:rsidR="00595E64" w:rsidRPr="00595E64">
              <w:rPr>
                <w:rFonts w:ascii="Tahoma" w:hAnsi="Tahoma" w:cs="Tahoma"/>
                <w:i/>
                <w:iCs/>
                <w:lang w:val="en-US"/>
              </w:rPr>
              <w:t>Could the Ministry provide detailed estimates of the total potential reserves in the Andaman Sea, including both oil and gas?</w:t>
            </w:r>
            <w:r w:rsidR="004012F4" w:rsidRPr="004012F4">
              <w:rPr>
                <w:rFonts w:ascii="Tahoma" w:hAnsi="Tahoma" w:cs="Tahoma"/>
                <w:i/>
                <w:iCs/>
                <w:lang w:val="en-US"/>
              </w:rPr>
              <w:t xml:space="preserve"> </w:t>
            </w:r>
          </w:p>
        </w:tc>
        <w:tc>
          <w:tcPr>
            <w:tcW w:w="5954" w:type="dxa"/>
          </w:tcPr>
          <w:p w14:paraId="2E5BC3AA" w14:textId="52D2BA0E" w:rsidR="00187C39"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C2BC2CF" w14:textId="192AB2C0" w:rsidR="00F47FDD" w:rsidRPr="00971AC9" w:rsidRDefault="00120F7C" w:rsidP="004012F4">
            <w:pPr>
              <w:ind w:right="-23"/>
              <w:jc w:val="both"/>
              <w:rPr>
                <w:rFonts w:ascii="Tahoma" w:hAnsi="Tahoma" w:cs="Tahoma"/>
                <w:lang w:val="en-US"/>
              </w:rPr>
            </w:pPr>
            <w:r>
              <w:rPr>
                <w:rFonts w:ascii="Tahoma" w:hAnsi="Tahoma" w:cs="Tahoma"/>
                <w:lang w:val="en-US"/>
              </w:rPr>
              <w:t>The</w:t>
            </w:r>
            <w:r w:rsidRPr="00120F7C">
              <w:rPr>
                <w:rFonts w:ascii="Tahoma" w:hAnsi="Tahoma" w:cs="Tahoma"/>
              </w:rPr>
              <w:t xml:space="preserve"> total potential reserves in the Andaman Sea as published in the </w:t>
            </w:r>
            <w:r w:rsidRPr="00120F7C">
              <w:rPr>
                <w:rFonts w:ascii="Tahoma" w:hAnsi="Tahoma" w:cs="Tahoma"/>
                <w:b/>
                <w:bCs/>
              </w:rPr>
              <w:t>Hydrocarbon Resource Reassessment Study, 2017</w:t>
            </w:r>
            <w:r w:rsidRPr="00120F7C">
              <w:rPr>
                <w:rFonts w:ascii="Tahoma" w:hAnsi="Tahoma" w:cs="Tahoma"/>
              </w:rPr>
              <w:t xml:space="preserve"> has estimated the total Prognosticated Resource of 371 MMTOE, out of which, 2 MMTOE has been discovered.</w:t>
            </w:r>
          </w:p>
        </w:tc>
      </w:tr>
      <w:tr w:rsidR="00F47FDD" w:rsidRPr="00971AC9" w14:paraId="65648DF5" w14:textId="77777777" w:rsidTr="00EC719F">
        <w:trPr>
          <w:trHeight w:val="890"/>
        </w:trPr>
        <w:tc>
          <w:tcPr>
            <w:tcW w:w="3539" w:type="dxa"/>
          </w:tcPr>
          <w:p w14:paraId="01947609" w14:textId="653FE2ED" w:rsidR="00971AC9" w:rsidRPr="00971AC9" w:rsidRDefault="00F47FDD" w:rsidP="004012F4">
            <w:pPr>
              <w:ind w:right="-23"/>
              <w:jc w:val="both"/>
              <w:rPr>
                <w:rFonts w:ascii="Tahoma" w:hAnsi="Tahoma" w:cs="Tahoma"/>
                <w:i/>
                <w:iCs/>
              </w:rPr>
            </w:pPr>
            <w:r w:rsidRPr="00971AC9">
              <w:rPr>
                <w:rFonts w:ascii="Tahoma" w:hAnsi="Tahoma" w:cs="Tahoma"/>
                <w:i/>
                <w:iCs/>
              </w:rPr>
              <w:t xml:space="preserve">Q.(b) </w:t>
            </w:r>
            <w:r w:rsidR="00595E64" w:rsidRPr="00595E64">
              <w:rPr>
                <w:rFonts w:ascii="Tahoma" w:hAnsi="Tahoma" w:cs="Tahoma"/>
                <w:i/>
                <w:iCs/>
              </w:rPr>
              <w:t>How does the Ministry plan to manage the technical challenges associated with deep</w:t>
            </w:r>
            <w:r w:rsidR="00595E64">
              <w:rPr>
                <w:rFonts w:ascii="Tahoma" w:hAnsi="Tahoma" w:cs="Tahoma"/>
                <w:i/>
                <w:iCs/>
              </w:rPr>
              <w:t xml:space="preserve"> </w:t>
            </w:r>
            <w:r w:rsidR="00595E64" w:rsidRPr="00595E64">
              <w:rPr>
                <w:rFonts w:ascii="Tahoma" w:hAnsi="Tahoma" w:cs="Tahoma"/>
                <w:i/>
                <w:iCs/>
              </w:rPr>
              <w:t>water drilling in the Andaman Sea?</w:t>
            </w:r>
          </w:p>
        </w:tc>
        <w:tc>
          <w:tcPr>
            <w:tcW w:w="5954"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2D645706" w14:textId="32C17153" w:rsidR="00EC719F" w:rsidRPr="00EC719F" w:rsidRDefault="00971AC9" w:rsidP="00EC719F">
            <w:pPr>
              <w:ind w:right="-23"/>
              <w:jc w:val="both"/>
              <w:rPr>
                <w:rFonts w:ascii="Tahoma" w:hAnsi="Tahoma" w:cs="Tahoma"/>
              </w:rPr>
            </w:pPr>
            <w:r w:rsidRPr="00971AC9">
              <w:rPr>
                <w:rFonts w:ascii="Tahoma" w:hAnsi="Tahoma" w:cs="Tahoma"/>
                <w:lang w:val="en-US"/>
              </w:rPr>
              <w:t>As far as OIL is concerned,</w:t>
            </w:r>
            <w:r w:rsidR="00EC719F">
              <w:rPr>
                <w:rFonts w:ascii="Tahoma" w:hAnsi="Tahoma" w:cs="Tahoma"/>
                <w:lang w:val="en-US"/>
              </w:rPr>
              <w:t xml:space="preserve"> </w:t>
            </w:r>
            <w:r w:rsidR="00EC719F">
              <w:rPr>
                <w:rFonts w:ascii="Tahoma" w:hAnsi="Tahoma" w:cs="Tahoma"/>
                <w:b/>
                <w:bCs/>
              </w:rPr>
              <w:t>OIL</w:t>
            </w:r>
            <w:r w:rsidR="00EC719F" w:rsidRPr="00EC719F">
              <w:rPr>
                <w:rFonts w:ascii="Tahoma" w:hAnsi="Tahoma" w:cs="Tahoma"/>
              </w:rPr>
              <w:t> is undertaking comprehensive planning to address the anticipated technical complexities of deepwater drilling in the Andaman Sea. To ensure optimal outcomes, OIL is adopting a collaborative approach by partnering with globally renowned experts. Key initiatives include:</w:t>
            </w:r>
          </w:p>
          <w:p w14:paraId="7D6B570B" w14:textId="77777777" w:rsidR="00EC719F" w:rsidRPr="00EC719F" w:rsidRDefault="00EC719F" w:rsidP="00EC719F">
            <w:pPr>
              <w:ind w:right="-23"/>
              <w:jc w:val="both"/>
              <w:rPr>
                <w:rFonts w:ascii="Tahoma" w:hAnsi="Tahoma" w:cs="Tahoma"/>
              </w:rPr>
            </w:pPr>
          </w:p>
          <w:p w14:paraId="19F74758" w14:textId="77777777" w:rsidR="00EC719F" w:rsidRPr="00EC719F" w:rsidRDefault="00EC719F" w:rsidP="00EC719F">
            <w:pPr>
              <w:ind w:right="-23"/>
              <w:jc w:val="both"/>
              <w:rPr>
                <w:rFonts w:ascii="Tahoma" w:hAnsi="Tahoma" w:cs="Tahoma"/>
              </w:rPr>
            </w:pPr>
            <w:r w:rsidRPr="00EC719F">
              <w:rPr>
                <w:rFonts w:ascii="Tahoma" w:hAnsi="Tahoma" w:cs="Tahoma"/>
                <w:b/>
                <w:bCs/>
              </w:rPr>
              <w:t>1.Technical Consultancy</w:t>
            </w:r>
            <w:r w:rsidRPr="00EC719F">
              <w:rPr>
                <w:rFonts w:ascii="Tahoma" w:hAnsi="Tahoma" w:cs="Tahoma"/>
              </w:rPr>
              <w:t xml:space="preserve">: OIL has engaged </w:t>
            </w:r>
            <w:r w:rsidRPr="00EC719F">
              <w:rPr>
                <w:rFonts w:ascii="Tahoma" w:hAnsi="Tahoma" w:cs="Tahoma"/>
                <w:i/>
                <w:iCs/>
              </w:rPr>
              <w:t>Blade Energy</w:t>
            </w:r>
            <w:r w:rsidRPr="00EC719F">
              <w:rPr>
                <w:rFonts w:ascii="Tahoma" w:hAnsi="Tahoma" w:cs="Tahoma"/>
              </w:rPr>
              <w:t>, an internationally reputed technical consultancy, to provide expert guidance in mitigating complex drilling challenges.</w:t>
            </w:r>
          </w:p>
          <w:p w14:paraId="3E78C8AB" w14:textId="77777777" w:rsidR="00EC719F" w:rsidRPr="00EC719F" w:rsidRDefault="00EC719F" w:rsidP="00EC719F">
            <w:pPr>
              <w:ind w:right="-23"/>
              <w:jc w:val="both"/>
              <w:rPr>
                <w:rFonts w:ascii="Tahoma" w:hAnsi="Tahoma" w:cs="Tahoma"/>
              </w:rPr>
            </w:pPr>
          </w:p>
          <w:p w14:paraId="3AB72FD3" w14:textId="77777777" w:rsidR="00EC719F" w:rsidRPr="00EC719F" w:rsidRDefault="00EC719F" w:rsidP="00EC719F">
            <w:pPr>
              <w:ind w:right="-23"/>
              <w:jc w:val="both"/>
              <w:rPr>
                <w:rFonts w:ascii="Tahoma" w:hAnsi="Tahoma" w:cs="Tahoma"/>
              </w:rPr>
            </w:pPr>
            <w:r w:rsidRPr="00EC719F">
              <w:rPr>
                <w:rFonts w:ascii="Tahoma" w:hAnsi="Tahoma" w:cs="Tahoma"/>
                <w:b/>
                <w:bCs/>
              </w:rPr>
              <w:t>2.Project Management Consultancy</w:t>
            </w:r>
            <w:r w:rsidRPr="00EC719F">
              <w:rPr>
                <w:rFonts w:ascii="Tahoma" w:hAnsi="Tahoma" w:cs="Tahoma"/>
              </w:rPr>
              <w:t>: A dedicated consultant has been appointed for well design, formulation of specifications for selecting drilling rigs and associated services, and for providing support during the execution phase in the technically demanding Andaman offshore region.</w:t>
            </w:r>
          </w:p>
          <w:p w14:paraId="20B2741E" w14:textId="77777777" w:rsidR="00EC719F" w:rsidRPr="00EC719F" w:rsidRDefault="00EC719F" w:rsidP="00EC719F">
            <w:pPr>
              <w:ind w:right="-23"/>
              <w:jc w:val="both"/>
              <w:rPr>
                <w:rFonts w:ascii="Tahoma" w:hAnsi="Tahoma" w:cs="Tahoma"/>
              </w:rPr>
            </w:pPr>
          </w:p>
          <w:p w14:paraId="791D5ACB" w14:textId="77777777" w:rsidR="00EC719F" w:rsidRPr="00EC719F" w:rsidRDefault="00EC719F" w:rsidP="00EC719F">
            <w:pPr>
              <w:ind w:right="-23"/>
              <w:jc w:val="both"/>
              <w:rPr>
                <w:rFonts w:ascii="Tahoma" w:hAnsi="Tahoma" w:cs="Tahoma"/>
              </w:rPr>
            </w:pPr>
            <w:r w:rsidRPr="00EC719F">
              <w:rPr>
                <w:rFonts w:ascii="Tahoma" w:hAnsi="Tahoma" w:cs="Tahoma"/>
                <w:b/>
                <w:bCs/>
              </w:rPr>
              <w:lastRenderedPageBreak/>
              <w:t>3.Well Control Readiness</w:t>
            </w:r>
            <w:r w:rsidRPr="00EC719F">
              <w:rPr>
                <w:rFonts w:ascii="Tahoma" w:hAnsi="Tahoma" w:cs="Tahoma"/>
              </w:rPr>
              <w:t xml:space="preserve">: A Memorandum of Understanding (MoU) has been signed with </w:t>
            </w:r>
            <w:r w:rsidRPr="00EC719F">
              <w:rPr>
                <w:rFonts w:ascii="Tahoma" w:hAnsi="Tahoma" w:cs="Tahoma"/>
                <w:i/>
                <w:iCs/>
              </w:rPr>
              <w:t>Wild Well Control, USA</w:t>
            </w:r>
            <w:r w:rsidRPr="00EC719F">
              <w:rPr>
                <w:rFonts w:ascii="Tahoma" w:hAnsi="Tahoma" w:cs="Tahoma"/>
              </w:rPr>
              <w:t>, to provide access to subsea well capping stacks and specialized technical expertise in the event of a well control incident.</w:t>
            </w:r>
          </w:p>
          <w:p w14:paraId="76310AEA" w14:textId="77777777" w:rsidR="00EC719F" w:rsidRPr="00EC719F" w:rsidRDefault="00EC719F" w:rsidP="00EC719F">
            <w:pPr>
              <w:ind w:right="-23"/>
              <w:jc w:val="both"/>
              <w:rPr>
                <w:rFonts w:ascii="Tahoma" w:hAnsi="Tahoma" w:cs="Tahoma"/>
              </w:rPr>
            </w:pPr>
          </w:p>
          <w:p w14:paraId="527CA5DF" w14:textId="77777777" w:rsidR="00EC719F" w:rsidRPr="00EC719F" w:rsidRDefault="00EC719F" w:rsidP="00EC719F">
            <w:pPr>
              <w:ind w:right="-23"/>
              <w:jc w:val="both"/>
              <w:rPr>
                <w:rFonts w:ascii="Tahoma" w:hAnsi="Tahoma" w:cs="Tahoma"/>
              </w:rPr>
            </w:pPr>
            <w:r w:rsidRPr="00EC719F">
              <w:rPr>
                <w:rFonts w:ascii="Tahoma" w:hAnsi="Tahoma" w:cs="Tahoma"/>
              </w:rPr>
              <w:t>4.</w:t>
            </w:r>
            <w:r w:rsidRPr="00EC719F">
              <w:rPr>
                <w:rFonts w:ascii="Tahoma" w:hAnsi="Tahoma" w:cs="Tahoma"/>
                <w:b/>
                <w:bCs/>
              </w:rPr>
              <w:t>Oil Spill Response Preparedness</w:t>
            </w:r>
            <w:r w:rsidRPr="00EC719F">
              <w:rPr>
                <w:rFonts w:ascii="Tahoma" w:hAnsi="Tahoma" w:cs="Tahoma"/>
              </w:rPr>
              <w:t>:</w:t>
            </w:r>
          </w:p>
          <w:p w14:paraId="12F44763" w14:textId="77777777" w:rsidR="00EC719F" w:rsidRPr="00EC719F" w:rsidRDefault="00EC719F" w:rsidP="00EC719F">
            <w:pPr>
              <w:ind w:right="-23"/>
              <w:jc w:val="both"/>
              <w:rPr>
                <w:rFonts w:ascii="Tahoma" w:hAnsi="Tahoma" w:cs="Tahoma"/>
              </w:rPr>
            </w:pPr>
          </w:p>
          <w:p w14:paraId="40635F9B" w14:textId="77777777" w:rsidR="00EC719F" w:rsidRPr="00EC719F" w:rsidRDefault="00EC719F" w:rsidP="00EC719F">
            <w:pPr>
              <w:ind w:left="720" w:right="-23"/>
              <w:jc w:val="both"/>
              <w:rPr>
                <w:rFonts w:ascii="Tahoma" w:hAnsi="Tahoma" w:cs="Tahoma"/>
              </w:rPr>
            </w:pPr>
            <w:proofErr w:type="gramStart"/>
            <w:r w:rsidRPr="00EC719F">
              <w:rPr>
                <w:rFonts w:ascii="Tahoma" w:hAnsi="Tahoma" w:cs="Tahoma"/>
              </w:rPr>
              <w:t>i).For</w:t>
            </w:r>
            <w:proofErr w:type="gramEnd"/>
            <w:r w:rsidRPr="00EC719F">
              <w:rPr>
                <w:rFonts w:ascii="Tahoma" w:hAnsi="Tahoma" w:cs="Tahoma"/>
              </w:rPr>
              <w:t xml:space="preserve"> </w:t>
            </w:r>
            <w:r w:rsidRPr="00EC719F">
              <w:rPr>
                <w:rFonts w:ascii="Tahoma" w:hAnsi="Tahoma" w:cs="Tahoma"/>
                <w:b/>
                <w:bCs/>
              </w:rPr>
              <w:t>Tier-III</w:t>
            </w:r>
            <w:r w:rsidRPr="00EC719F">
              <w:rPr>
                <w:rFonts w:ascii="Tahoma" w:hAnsi="Tahoma" w:cs="Tahoma"/>
              </w:rPr>
              <w:t xml:space="preserve"> oil spill response, OIL has a service agreement with </w:t>
            </w:r>
            <w:r w:rsidRPr="00EC719F">
              <w:rPr>
                <w:rFonts w:ascii="Tahoma" w:hAnsi="Tahoma" w:cs="Tahoma"/>
                <w:i/>
                <w:iCs/>
              </w:rPr>
              <w:t>Oil Spill Response Limited (OSRL), UK</w:t>
            </w:r>
            <w:r w:rsidRPr="00EC719F">
              <w:rPr>
                <w:rFonts w:ascii="Tahoma" w:hAnsi="Tahoma" w:cs="Tahoma"/>
              </w:rPr>
              <w:t>.</w:t>
            </w:r>
          </w:p>
          <w:p w14:paraId="3F579174" w14:textId="77777777" w:rsidR="00EC719F" w:rsidRPr="00EC719F" w:rsidRDefault="00EC719F" w:rsidP="00EC719F">
            <w:pPr>
              <w:ind w:left="720" w:right="-23"/>
              <w:jc w:val="both"/>
              <w:rPr>
                <w:rFonts w:ascii="Tahoma" w:hAnsi="Tahoma" w:cs="Tahoma"/>
              </w:rPr>
            </w:pPr>
            <w:proofErr w:type="gramStart"/>
            <w:r w:rsidRPr="00EC719F">
              <w:rPr>
                <w:rFonts w:ascii="Tahoma" w:hAnsi="Tahoma" w:cs="Tahoma"/>
              </w:rPr>
              <w:t>ii).For</w:t>
            </w:r>
            <w:proofErr w:type="gramEnd"/>
            <w:r w:rsidRPr="00EC719F">
              <w:rPr>
                <w:rFonts w:ascii="Tahoma" w:hAnsi="Tahoma" w:cs="Tahoma"/>
              </w:rPr>
              <w:t xml:space="preserve"> </w:t>
            </w:r>
            <w:r w:rsidRPr="00EC719F">
              <w:rPr>
                <w:rFonts w:ascii="Tahoma" w:hAnsi="Tahoma" w:cs="Tahoma"/>
                <w:b/>
                <w:bCs/>
              </w:rPr>
              <w:t>Tier-II</w:t>
            </w:r>
            <w:r w:rsidRPr="00EC719F">
              <w:rPr>
                <w:rFonts w:ascii="Tahoma" w:hAnsi="Tahoma" w:cs="Tahoma"/>
              </w:rPr>
              <w:t xml:space="preserve"> response, OIL is part of a MoU with key Indian E&amp;P companies – </w:t>
            </w:r>
            <w:r w:rsidRPr="00EC719F">
              <w:rPr>
                <w:rFonts w:ascii="Tahoma" w:hAnsi="Tahoma" w:cs="Tahoma"/>
                <w:i/>
                <w:iCs/>
              </w:rPr>
              <w:t>ONGC, Cairn Energy,</w:t>
            </w:r>
            <w:r w:rsidRPr="00EC719F">
              <w:rPr>
                <w:rFonts w:ascii="Tahoma" w:hAnsi="Tahoma" w:cs="Tahoma"/>
              </w:rPr>
              <w:t xml:space="preserve"> and </w:t>
            </w:r>
            <w:r w:rsidRPr="00EC719F">
              <w:rPr>
                <w:rFonts w:ascii="Tahoma" w:hAnsi="Tahoma" w:cs="Tahoma"/>
                <w:i/>
                <w:iCs/>
              </w:rPr>
              <w:t>Reliance</w:t>
            </w:r>
            <w:r w:rsidRPr="00EC719F">
              <w:rPr>
                <w:rFonts w:ascii="Tahoma" w:hAnsi="Tahoma" w:cs="Tahoma"/>
              </w:rPr>
              <w:t> – ensuring a coordinated response capability.</w:t>
            </w:r>
          </w:p>
          <w:p w14:paraId="1D73E84F" w14:textId="77777777" w:rsidR="00EC719F" w:rsidRPr="00EC719F" w:rsidRDefault="00EC719F" w:rsidP="00EC719F">
            <w:pPr>
              <w:ind w:left="720" w:right="-23"/>
              <w:jc w:val="both"/>
              <w:rPr>
                <w:rFonts w:ascii="Tahoma" w:hAnsi="Tahoma" w:cs="Tahoma"/>
              </w:rPr>
            </w:pPr>
            <w:proofErr w:type="gramStart"/>
            <w:r w:rsidRPr="00EC719F">
              <w:rPr>
                <w:rFonts w:ascii="Tahoma" w:hAnsi="Tahoma" w:cs="Tahoma"/>
              </w:rPr>
              <w:t>iii).For</w:t>
            </w:r>
            <w:proofErr w:type="gramEnd"/>
            <w:r w:rsidRPr="00EC719F">
              <w:rPr>
                <w:rFonts w:ascii="Tahoma" w:hAnsi="Tahoma" w:cs="Tahoma"/>
              </w:rPr>
              <w:t xml:space="preserve"> </w:t>
            </w:r>
            <w:r w:rsidRPr="00EC719F">
              <w:rPr>
                <w:rFonts w:ascii="Tahoma" w:hAnsi="Tahoma" w:cs="Tahoma"/>
                <w:b/>
                <w:bCs/>
              </w:rPr>
              <w:t>Tier-I</w:t>
            </w:r>
            <w:r w:rsidRPr="00EC719F">
              <w:rPr>
                <w:rFonts w:ascii="Tahoma" w:hAnsi="Tahoma" w:cs="Tahoma"/>
              </w:rPr>
              <w:t xml:space="preserve"> preparedness, a contract is in place with </w:t>
            </w:r>
            <w:r w:rsidRPr="00EC719F">
              <w:rPr>
                <w:rFonts w:ascii="Tahoma" w:hAnsi="Tahoma" w:cs="Tahoma"/>
                <w:i/>
                <w:iCs/>
              </w:rPr>
              <w:t>JVM</w:t>
            </w:r>
            <w:r w:rsidRPr="00EC719F">
              <w:rPr>
                <w:rFonts w:ascii="Tahoma" w:hAnsi="Tahoma" w:cs="Tahoma"/>
              </w:rPr>
              <w:t>.</w:t>
            </w:r>
          </w:p>
          <w:p w14:paraId="3780DB29" w14:textId="02A3D806" w:rsidR="00F47FDD" w:rsidRPr="00971AC9" w:rsidRDefault="00F47FDD" w:rsidP="004012F4">
            <w:pPr>
              <w:ind w:right="-23"/>
              <w:jc w:val="both"/>
              <w:rPr>
                <w:rFonts w:ascii="Tahoma" w:hAnsi="Tahoma" w:cs="Tahoma"/>
                <w:lang w:val="en-US"/>
              </w:rPr>
            </w:pPr>
          </w:p>
        </w:tc>
      </w:tr>
      <w:tr w:rsidR="00120F7C" w:rsidRPr="00971AC9" w14:paraId="3E0DF5D5" w14:textId="77777777" w:rsidTr="00EC719F">
        <w:trPr>
          <w:trHeight w:val="890"/>
        </w:trPr>
        <w:tc>
          <w:tcPr>
            <w:tcW w:w="3539" w:type="dxa"/>
          </w:tcPr>
          <w:p w14:paraId="667E7B0C" w14:textId="6DDB1E6D" w:rsidR="00120F7C" w:rsidRPr="00971AC9" w:rsidRDefault="00120F7C" w:rsidP="00274628">
            <w:pPr>
              <w:ind w:right="-23"/>
              <w:jc w:val="both"/>
              <w:rPr>
                <w:rFonts w:ascii="Tahoma" w:hAnsi="Tahoma" w:cs="Tahoma"/>
                <w:i/>
                <w:iCs/>
              </w:rPr>
            </w:pPr>
            <w:r w:rsidRPr="00971AC9">
              <w:rPr>
                <w:rFonts w:ascii="Tahoma" w:hAnsi="Tahoma" w:cs="Tahoma"/>
                <w:i/>
                <w:iCs/>
              </w:rPr>
              <w:lastRenderedPageBreak/>
              <w:t xml:space="preserve">Q.(c) </w:t>
            </w:r>
            <w:r w:rsidRPr="00595E64">
              <w:rPr>
                <w:rFonts w:ascii="Tahoma" w:hAnsi="Tahoma" w:cs="Tahoma"/>
                <w:i/>
                <w:iCs/>
              </w:rPr>
              <w:t>Does the Ministry have environmental safeguards in place to protect the unique ecosystems of the region during oil exploration activities?</w:t>
            </w:r>
          </w:p>
        </w:tc>
        <w:tc>
          <w:tcPr>
            <w:tcW w:w="5954" w:type="dxa"/>
            <w:vMerge w:val="restart"/>
          </w:tcPr>
          <w:p w14:paraId="0C3C1462" w14:textId="19AFAEEB" w:rsidR="00120F7C" w:rsidRPr="00971AC9" w:rsidRDefault="00120F7C"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Q(c)</w:t>
            </w:r>
            <w:r>
              <w:rPr>
                <w:rFonts w:ascii="Tahoma" w:hAnsi="Tahoma" w:cs="Tahoma"/>
                <w:b/>
                <w:lang w:val="en-US"/>
              </w:rPr>
              <w:t xml:space="preserve"> &amp; Q(d)</w:t>
            </w:r>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06D18045" w14:textId="77777777" w:rsidR="00120F7C" w:rsidRPr="00971AC9" w:rsidRDefault="00120F7C" w:rsidP="004012F4">
            <w:pPr>
              <w:spacing w:after="120"/>
              <w:ind w:right="-23"/>
              <w:jc w:val="both"/>
              <w:rPr>
                <w:rFonts w:ascii="Tahoma" w:hAnsi="Tahoma" w:cs="Tahoma"/>
                <w:b/>
                <w:lang w:val="en-US"/>
              </w:rPr>
            </w:pPr>
            <w:r w:rsidRPr="00971AC9">
              <w:rPr>
                <w:rFonts w:ascii="Tahoma" w:hAnsi="Tahoma" w:cs="Tahoma"/>
                <w:lang w:val="en-US"/>
              </w:rPr>
              <w:t xml:space="preserve">As far as OIL is concerned, </w:t>
            </w:r>
            <w:r>
              <w:rPr>
                <w:rFonts w:ascii="Tahoma" w:hAnsi="Tahoma" w:cs="Tahoma"/>
              </w:rPr>
              <w:t>OIL</w:t>
            </w:r>
            <w:r w:rsidRPr="00120F7C">
              <w:rPr>
                <w:rFonts w:ascii="Tahoma" w:hAnsi="Tahoma" w:cs="Tahoma"/>
              </w:rPr>
              <w:t xml:space="preserve"> has necessary environmental safeguards in place to protect the unique ecosystems of the region during oil exploration activities</w:t>
            </w:r>
            <w:r>
              <w:rPr>
                <w:rFonts w:ascii="Tahoma" w:hAnsi="Tahoma" w:cs="Tahoma"/>
              </w:rPr>
              <w:t>.</w:t>
            </w:r>
          </w:p>
          <w:p w14:paraId="1D436888" w14:textId="63FAE084" w:rsidR="00120F7C" w:rsidRPr="00120F7C" w:rsidRDefault="00120F7C" w:rsidP="004012F4">
            <w:pPr>
              <w:spacing w:after="120"/>
              <w:ind w:right="-23"/>
              <w:jc w:val="both"/>
              <w:rPr>
                <w:rFonts w:ascii="Tahoma" w:hAnsi="Tahoma" w:cs="Tahoma"/>
                <w:bCs/>
                <w:lang w:val="en-US"/>
              </w:rPr>
            </w:pPr>
            <w:r w:rsidRPr="00120F7C">
              <w:rPr>
                <w:rFonts w:ascii="Tahoma" w:hAnsi="Tahoma" w:cs="Tahoma"/>
                <w:bCs/>
                <w:lang w:val="en-US"/>
              </w:rPr>
              <w:t xml:space="preserve">OIL </w:t>
            </w:r>
            <w:r w:rsidRPr="00120F7C">
              <w:rPr>
                <w:rFonts w:ascii="Tahoma" w:hAnsi="Tahoma" w:cs="Tahoma"/>
                <w:bCs/>
              </w:rPr>
              <w:t>Carried out Environmental Impact Assessment (EIA) Study, Obtained Environmental Clearance (EC), Coastal Regulation Zone (CRZ) clearance, Consent to Establish (CTE), Consent to Operate (CTO) under Air &amp; Water Act from State Pollution Control Board (SPCB). Accordingly, necessary Environmental Management Plan (EMP) and necessary safeguards are in place. Like use of Eco-friendly water-based mud system, Oil spill Management System, Waste Management System as per applicable statutory norms.</w:t>
            </w:r>
          </w:p>
        </w:tc>
      </w:tr>
      <w:tr w:rsidR="00120F7C" w:rsidRPr="00971AC9" w14:paraId="1F957F91" w14:textId="77777777" w:rsidTr="00EC719F">
        <w:trPr>
          <w:trHeight w:val="890"/>
        </w:trPr>
        <w:tc>
          <w:tcPr>
            <w:tcW w:w="3539" w:type="dxa"/>
          </w:tcPr>
          <w:p w14:paraId="3D8AFA5E" w14:textId="77777777" w:rsidR="00120F7C" w:rsidRPr="00595E64" w:rsidRDefault="00120F7C" w:rsidP="00595E64">
            <w:pPr>
              <w:ind w:right="-23"/>
              <w:jc w:val="both"/>
              <w:rPr>
                <w:rFonts w:ascii="Tahoma" w:hAnsi="Tahoma" w:cs="Tahoma"/>
                <w:i/>
                <w:iCs/>
              </w:rPr>
            </w:pPr>
            <w:r>
              <w:rPr>
                <w:rFonts w:ascii="Tahoma" w:hAnsi="Tahoma" w:cs="Tahoma"/>
                <w:i/>
                <w:iCs/>
              </w:rPr>
              <w:t xml:space="preserve">Q.(d) </w:t>
            </w:r>
            <w:r w:rsidRPr="00595E64">
              <w:rPr>
                <w:rFonts w:ascii="Tahoma" w:hAnsi="Tahoma" w:cs="Tahoma"/>
                <w:i/>
                <w:iCs/>
              </w:rPr>
              <w:t>If yes, the details thereon.</w:t>
            </w:r>
          </w:p>
          <w:p w14:paraId="17B3BBFF" w14:textId="77777777" w:rsidR="00120F7C" w:rsidRPr="00595E64" w:rsidRDefault="00120F7C" w:rsidP="00595E64">
            <w:pPr>
              <w:ind w:right="-23"/>
              <w:jc w:val="both"/>
              <w:rPr>
                <w:rFonts w:ascii="Tahoma" w:hAnsi="Tahoma" w:cs="Tahoma"/>
                <w:i/>
                <w:iCs/>
              </w:rPr>
            </w:pPr>
          </w:p>
          <w:p w14:paraId="1AC16E0F" w14:textId="75DD1567" w:rsidR="00120F7C" w:rsidRPr="004012F4" w:rsidRDefault="00120F7C" w:rsidP="004012F4">
            <w:pPr>
              <w:ind w:right="-23"/>
              <w:jc w:val="both"/>
              <w:rPr>
                <w:rFonts w:ascii="Tahoma" w:hAnsi="Tahoma" w:cs="Tahoma"/>
                <w:i/>
                <w:iCs/>
              </w:rPr>
            </w:pPr>
          </w:p>
          <w:p w14:paraId="09A8069A" w14:textId="77777777" w:rsidR="00120F7C" w:rsidRPr="004012F4" w:rsidRDefault="00120F7C" w:rsidP="004012F4">
            <w:pPr>
              <w:ind w:right="-23"/>
              <w:jc w:val="both"/>
              <w:rPr>
                <w:rFonts w:ascii="Tahoma" w:hAnsi="Tahoma" w:cs="Tahoma"/>
                <w:i/>
                <w:iCs/>
              </w:rPr>
            </w:pPr>
          </w:p>
          <w:p w14:paraId="1C92E302" w14:textId="4ECC31EF" w:rsidR="00120F7C" w:rsidRPr="00971AC9" w:rsidRDefault="00120F7C" w:rsidP="00274628">
            <w:pPr>
              <w:ind w:right="-23"/>
              <w:jc w:val="both"/>
              <w:rPr>
                <w:rFonts w:ascii="Tahoma" w:hAnsi="Tahoma" w:cs="Tahoma"/>
                <w:i/>
                <w:iCs/>
              </w:rPr>
            </w:pPr>
          </w:p>
        </w:tc>
        <w:tc>
          <w:tcPr>
            <w:tcW w:w="5954" w:type="dxa"/>
            <w:vMerge/>
          </w:tcPr>
          <w:p w14:paraId="4A1B97A5" w14:textId="727ED580" w:rsidR="00120F7C" w:rsidRPr="00971AC9" w:rsidRDefault="00120F7C" w:rsidP="004012F4">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87579A"/>
    <w:multiLevelType w:val="multilevel"/>
    <w:tmpl w:val="F4980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9"/>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0"/>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8"/>
  </w:num>
  <w:num w:numId="26">
    <w:abstractNumId w:val="5"/>
  </w:num>
  <w:num w:numId="27">
    <w:abstractNumId w:val="1"/>
  </w:num>
  <w:num w:numId="28">
    <w:abstractNumId w:val="25"/>
  </w:num>
  <w:num w:numId="29">
    <w:abstractNumId w:val="27"/>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20F7C"/>
    <w:rsid w:val="0012642E"/>
    <w:rsid w:val="00133A75"/>
    <w:rsid w:val="001352A6"/>
    <w:rsid w:val="001360E3"/>
    <w:rsid w:val="001368FD"/>
    <w:rsid w:val="00157286"/>
    <w:rsid w:val="00163312"/>
    <w:rsid w:val="00175FC8"/>
    <w:rsid w:val="00187C39"/>
    <w:rsid w:val="001A27F8"/>
    <w:rsid w:val="001B4C58"/>
    <w:rsid w:val="001C6223"/>
    <w:rsid w:val="001E301A"/>
    <w:rsid w:val="001F253B"/>
    <w:rsid w:val="001F72C6"/>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04F1"/>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95E6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F1905"/>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B174DA"/>
    <w:rsid w:val="00B234E6"/>
    <w:rsid w:val="00B32638"/>
    <w:rsid w:val="00B475C0"/>
    <w:rsid w:val="00B50E79"/>
    <w:rsid w:val="00B71914"/>
    <w:rsid w:val="00B810F9"/>
    <w:rsid w:val="00BC0366"/>
    <w:rsid w:val="00BC4C9F"/>
    <w:rsid w:val="00BC74A8"/>
    <w:rsid w:val="00BD30F6"/>
    <w:rsid w:val="00BD4A5C"/>
    <w:rsid w:val="00BD5E52"/>
    <w:rsid w:val="00BE2646"/>
    <w:rsid w:val="00BE27FC"/>
    <w:rsid w:val="00BF024B"/>
    <w:rsid w:val="00C05387"/>
    <w:rsid w:val="00C07081"/>
    <w:rsid w:val="00C1363F"/>
    <w:rsid w:val="00C26DD0"/>
    <w:rsid w:val="00C31228"/>
    <w:rsid w:val="00C34382"/>
    <w:rsid w:val="00C3476E"/>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C719F"/>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06936025">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45718287">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DC2F5F18-C9BA-4701-AD78-8EE78C7EE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2025-07-28T08:05:00Z</cp:lastPrinted>
  <dcterms:created xsi:type="dcterms:W3CDTF">2025-07-28T08:53:00Z</dcterms:created>
  <dcterms:modified xsi:type="dcterms:W3CDTF">2025-07-28T08:53:00Z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