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4FB996C7"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331EEB">
        <w:rPr>
          <w:rFonts w:ascii="Tahoma" w:hAnsi="Tahoma" w:cs="Tahoma"/>
          <w:b/>
          <w:lang w:val="en-US"/>
        </w:rPr>
        <w:t>65</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0C1282">
        <w:rPr>
          <w:rFonts w:ascii="Tahoma" w:hAnsi="Tahoma" w:cs="Tahoma"/>
          <w:b/>
          <w:lang w:val="en-US"/>
        </w:rPr>
        <w:t>1</w:t>
      </w:r>
      <w:r w:rsidR="000A2B80">
        <w:rPr>
          <w:rFonts w:ascii="Tahoma" w:hAnsi="Tahoma" w:cs="Tahoma"/>
          <w:b/>
          <w:lang w:val="en-US"/>
        </w:rPr>
        <w:t>3</w:t>
      </w:r>
      <w:bookmarkStart w:id="0" w:name="_GoBack"/>
      <w:bookmarkEnd w:id="0"/>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061DDCF2" w14:textId="77777777" w:rsidR="005A7C72" w:rsidRPr="005A7C72" w:rsidRDefault="00506AF9" w:rsidP="005A7C72">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06BF3">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5A7C72" w:rsidRPr="005A7C72">
        <w:rPr>
          <w:rFonts w:ascii="Tahoma" w:hAnsi="Tahoma" w:cs="Tahoma"/>
          <w:b/>
        </w:rPr>
        <w:t>Pinki</w:t>
      </w:r>
    </w:p>
    <w:p w14:paraId="08B02684" w14:textId="1D1636DA" w:rsidR="003E2B73" w:rsidRPr="005A7C72" w:rsidRDefault="005A7C72" w:rsidP="005A7C72">
      <w:pPr>
        <w:spacing w:after="0"/>
        <w:ind w:right="-482"/>
        <w:rPr>
          <w:rFonts w:ascii="Tahoma" w:hAnsi="Tahoma" w:cs="Tahoma"/>
          <w:u w:val="single"/>
        </w:rPr>
      </w:pPr>
      <w:r>
        <w:rPr>
          <w:rFonts w:ascii="Tahoma" w:hAnsi="Tahoma" w:cs="Tahoma"/>
          <w:b/>
        </w:rPr>
        <w:t xml:space="preserve">                                                                                                             </w:t>
      </w:r>
      <w:r w:rsidR="000C1282">
        <w:rPr>
          <w:rFonts w:ascii="Tahoma" w:hAnsi="Tahoma" w:cs="Tahoma"/>
          <w:u w:val="single"/>
          <w:lang w:val="en-US"/>
        </w:rPr>
        <w:t>(</w:t>
      </w:r>
      <w:r w:rsidRPr="005A7C72">
        <w:rPr>
          <w:rFonts w:ascii="Tahoma" w:hAnsi="Tahoma" w:cs="Tahoma"/>
          <w:u w:val="single"/>
        </w:rPr>
        <w:t>Section Officer (ONG-II)</w:t>
      </w:r>
    </w:p>
    <w:p w14:paraId="4A27420B" w14:textId="77777777" w:rsidR="00092EAE" w:rsidRPr="00040065" w:rsidRDefault="00092EAE" w:rsidP="003E2B73">
      <w:pPr>
        <w:spacing w:after="0"/>
        <w:ind w:right="-482"/>
        <w:jc w:val="center"/>
        <w:rPr>
          <w:rFonts w:ascii="Tahoma" w:hAnsi="Tahoma" w:cs="Tahoma"/>
          <w:u w:val="single"/>
          <w:lang w:val="en-US"/>
        </w:rPr>
      </w:pPr>
    </w:p>
    <w:p w14:paraId="6D88C26E" w14:textId="1E742E46" w:rsidR="00F211B3" w:rsidRPr="00E65064" w:rsidRDefault="00F211B3" w:rsidP="002E7B37">
      <w:pPr>
        <w:tabs>
          <w:tab w:val="left" w:pos="1440"/>
        </w:tabs>
        <w:spacing w:after="0" w:line="360" w:lineRule="auto"/>
        <w:ind w:right="-563"/>
        <w:rPr>
          <w:rFonts w:ascii="Tahoma" w:hAnsi="Tahoma" w:cs="Tahoma"/>
          <w:b/>
          <w:bC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331EEB">
        <w:rPr>
          <w:rFonts w:ascii="Tahoma" w:hAnsi="Tahoma" w:cs="Tahoma"/>
          <w:lang w:val="en-US"/>
        </w:rPr>
        <w:t>U</w:t>
      </w:r>
      <w:r w:rsidR="005A7C72">
        <w:rPr>
          <w:rFonts w:ascii="Tahoma" w:hAnsi="Tahoma" w:cs="Tahoma"/>
          <w:lang w:val="en-US"/>
        </w:rPr>
        <w:t>50</w:t>
      </w:r>
      <w:r w:rsidR="00E65064">
        <w:rPr>
          <w:rFonts w:ascii="Tahoma" w:hAnsi="Tahoma" w:cs="Tahoma"/>
          <w:lang w:val="en-US"/>
        </w:rPr>
        <w:t>3</w:t>
      </w:r>
      <w:r w:rsidR="005A7C72">
        <w:rPr>
          <w:rFonts w:ascii="Tahoma" w:hAnsi="Tahoma" w:cs="Tahoma"/>
          <w:lang w:val="en-US"/>
        </w:rPr>
        <w:t>0</w:t>
      </w:r>
      <w:r w:rsidR="00D42DA1" w:rsidRPr="00040065">
        <w:rPr>
          <w:rFonts w:ascii="Tahoma" w:hAnsi="Tahoma" w:cs="Tahoma"/>
          <w:lang w:val="en-US"/>
        </w:rPr>
        <w:t xml:space="preserve"> </w:t>
      </w:r>
      <w:proofErr w:type="gramStart"/>
      <w:r w:rsidR="000C1282">
        <w:rPr>
          <w:rFonts w:ascii="Tahoma" w:hAnsi="Tahoma" w:cs="Tahoma"/>
          <w:lang w:val="en-US"/>
        </w:rPr>
        <w:t>regarding</w:t>
      </w:r>
      <w:r w:rsidR="000C1282" w:rsidRPr="000C1282">
        <w:rPr>
          <w:rFonts w:ascii="Tahoma" w:hAnsi="Tahoma" w:cs="Tahoma"/>
          <w:b/>
          <w:bCs/>
          <w:lang w:val="en-US"/>
        </w:rPr>
        <w:t>“</w:t>
      </w:r>
      <w:proofErr w:type="gramEnd"/>
      <w:r w:rsidR="00E65064" w:rsidRPr="00E65064">
        <w:rPr>
          <w:rFonts w:ascii="Tahoma" w:hAnsi="Tahoma" w:cs="Tahoma"/>
          <w:b/>
          <w:bCs/>
        </w:rPr>
        <w:t>Oil and Gas Exploration Projects, Policy Support, and Investment in Andhra Pradesh and Across Indi</w:t>
      </w:r>
      <w:r w:rsidR="00E65064">
        <w:rPr>
          <w:rFonts w:ascii="Tahoma" w:hAnsi="Tahoma" w:cs="Tahoma"/>
          <w:b/>
          <w:bCs/>
        </w:rPr>
        <w:t>a</w:t>
      </w:r>
      <w:r w:rsidR="000C1282" w:rsidRPr="000C1282">
        <w:rPr>
          <w:rFonts w:ascii="Tahoma" w:hAnsi="Tahoma" w:cs="Tahoma"/>
          <w:b/>
          <w:bCs/>
        </w:rPr>
        <w:t>”</w:t>
      </w:r>
    </w:p>
    <w:p w14:paraId="3297E00F" w14:textId="45E3AB69"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092EAE">
        <w:rPr>
          <w:rFonts w:ascii="Tahoma" w:hAnsi="Tahoma" w:cs="Tahoma"/>
          <w:lang w:val="en-US"/>
        </w:rPr>
        <w:t>0</w:t>
      </w:r>
      <w:r w:rsidR="00E65064">
        <w:rPr>
          <w:rFonts w:ascii="Tahoma" w:hAnsi="Tahoma" w:cs="Tahoma"/>
          <w:lang w:val="en-US"/>
        </w:rPr>
        <w:t>8</w:t>
      </w:r>
      <w:r w:rsidRPr="00040065">
        <w:rPr>
          <w:rFonts w:ascii="Tahoma" w:hAnsi="Tahoma" w:cs="Tahoma"/>
          <w:lang w:val="en-US"/>
        </w:rPr>
        <w:t>.</w:t>
      </w:r>
      <w:r w:rsidR="00F270A6" w:rsidRPr="00040065">
        <w:rPr>
          <w:rFonts w:ascii="Tahoma" w:hAnsi="Tahoma" w:cs="Tahoma"/>
          <w:lang w:val="en-US"/>
        </w:rPr>
        <w:t>0</w:t>
      </w:r>
      <w:r w:rsidR="00092EAE">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4616309"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331D6F6" w14:textId="77777777" w:rsidR="00092EAE" w:rsidRPr="00040065" w:rsidRDefault="00092EAE" w:rsidP="00C42C3F">
      <w:pPr>
        <w:spacing w:after="0"/>
        <w:rPr>
          <w:rFonts w:ascii="Tahoma" w:hAnsi="Tahoma" w:cs="Tahoma"/>
          <w:lang w:val="en-US"/>
        </w:rPr>
      </w:pPr>
    </w:p>
    <w:tbl>
      <w:tblPr>
        <w:tblStyle w:val="TableGrid"/>
        <w:tblW w:w="10201" w:type="dxa"/>
        <w:tblInd w:w="-431" w:type="dxa"/>
        <w:tblLayout w:type="fixed"/>
        <w:tblLook w:val="04A0" w:firstRow="1" w:lastRow="0" w:firstColumn="1" w:lastColumn="0" w:noHBand="0" w:noVBand="1"/>
      </w:tblPr>
      <w:tblGrid>
        <w:gridCol w:w="3256"/>
        <w:gridCol w:w="6945"/>
      </w:tblGrid>
      <w:tr w:rsidR="005457B8" w:rsidRPr="00040065" w14:paraId="55DD2EA1" w14:textId="77777777" w:rsidTr="00E65064">
        <w:trPr>
          <w:trHeight w:val="871"/>
        </w:trPr>
        <w:tc>
          <w:tcPr>
            <w:tcW w:w="3256" w:type="dxa"/>
          </w:tcPr>
          <w:p w14:paraId="4062B524" w14:textId="66881154" w:rsidR="005457B8" w:rsidRPr="00040065" w:rsidRDefault="005457B8" w:rsidP="005457B8">
            <w:pPr>
              <w:ind w:right="34"/>
              <w:jc w:val="both"/>
              <w:rPr>
                <w:rFonts w:ascii="Tahoma" w:hAnsi="Tahoma" w:cs="Tahoma"/>
                <w:i/>
                <w:iCs/>
              </w:rPr>
            </w:pPr>
            <w:r w:rsidRPr="00040065">
              <w:rPr>
                <w:rFonts w:ascii="Tahoma" w:hAnsi="Tahoma" w:cs="Tahoma"/>
                <w:i/>
                <w:iCs/>
              </w:rPr>
              <w:t>Q.(</w:t>
            </w:r>
            <w:r w:rsidR="005A7C72">
              <w:rPr>
                <w:rFonts w:ascii="Tahoma" w:hAnsi="Tahoma" w:cs="Tahoma"/>
                <w:i/>
                <w:iCs/>
              </w:rPr>
              <w:t>a</w:t>
            </w:r>
            <w:r w:rsidRPr="00040065">
              <w:rPr>
                <w:rFonts w:ascii="Tahoma" w:hAnsi="Tahoma" w:cs="Tahoma"/>
                <w:i/>
                <w:iCs/>
              </w:rPr>
              <w:t xml:space="preserve">) </w:t>
            </w:r>
            <w:r w:rsidR="00331EEB">
              <w:rPr>
                <w:rFonts w:ascii="Tahoma" w:hAnsi="Tahoma" w:cs="Tahoma"/>
                <w:i/>
                <w:iCs/>
              </w:rPr>
              <w:t>T</w:t>
            </w:r>
            <w:r w:rsidR="00E65064" w:rsidRPr="00E65064">
              <w:rPr>
                <w:rFonts w:ascii="Tahoma" w:hAnsi="Tahoma" w:cs="Tahoma"/>
                <w:i/>
                <w:iCs/>
              </w:rPr>
              <w:t>he details of onshore and offshore oil and gas exploration and production projects across India, State-wise, including project names, locations, production capacity, project cost and status;</w:t>
            </w:r>
          </w:p>
        </w:tc>
        <w:tc>
          <w:tcPr>
            <w:tcW w:w="6945" w:type="dxa"/>
          </w:tcPr>
          <w:p w14:paraId="348CCD18" w14:textId="796E6DD5"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5A7C72">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371AC96" w14:textId="29D7FF38" w:rsidR="006F4FB9" w:rsidRDefault="000C1282" w:rsidP="006F4FB9">
            <w:pPr>
              <w:spacing w:after="120"/>
              <w:jc w:val="both"/>
              <w:rPr>
                <w:rFonts w:ascii="Tahoma" w:eastAsia="Times New Roman" w:hAnsi="Tahoma" w:cs="Tahoma"/>
                <w:kern w:val="2"/>
                <w14:ligatures w14:val="standardContextual"/>
              </w:rPr>
            </w:pPr>
            <w:r w:rsidRPr="000C1282">
              <w:rPr>
                <w:rFonts w:ascii="Tahoma" w:eastAsia="Times New Roman" w:hAnsi="Tahoma" w:cs="Tahoma"/>
                <w:kern w:val="2"/>
                <w14:ligatures w14:val="standardContextual"/>
              </w:rPr>
              <w:t xml:space="preserve">As far as Oil India Limited (OIL) is concerned, </w:t>
            </w:r>
            <w:r w:rsidR="00E65064">
              <w:rPr>
                <w:rFonts w:ascii="Tahoma" w:eastAsia="Times New Roman" w:hAnsi="Tahoma" w:cs="Tahoma"/>
                <w:kern w:val="2"/>
                <w14:ligatures w14:val="standardContextual"/>
              </w:rPr>
              <w:t xml:space="preserve">details of exploration onshore projects </w:t>
            </w:r>
            <w:proofErr w:type="gramStart"/>
            <w:r w:rsidR="00E65064">
              <w:rPr>
                <w:rFonts w:ascii="Tahoma" w:eastAsia="Times New Roman" w:hAnsi="Tahoma" w:cs="Tahoma"/>
                <w:kern w:val="2"/>
                <w14:ligatures w14:val="standardContextual"/>
              </w:rPr>
              <w:t>is</w:t>
            </w:r>
            <w:proofErr w:type="gramEnd"/>
            <w:r w:rsidR="00E65064">
              <w:rPr>
                <w:rFonts w:ascii="Tahoma" w:eastAsia="Times New Roman" w:hAnsi="Tahoma" w:cs="Tahoma"/>
                <w:kern w:val="2"/>
                <w14:ligatures w14:val="standardContextual"/>
              </w:rPr>
              <w:t xml:space="preserve"> attached herewith as </w:t>
            </w:r>
            <w:r w:rsidR="00E65064" w:rsidRPr="00331EEB">
              <w:rPr>
                <w:rFonts w:ascii="Tahoma" w:eastAsia="Times New Roman" w:hAnsi="Tahoma" w:cs="Tahoma"/>
                <w:b/>
                <w:bCs/>
                <w:kern w:val="2"/>
                <w:u w:val="single"/>
                <w14:ligatures w14:val="standardContextual"/>
              </w:rPr>
              <w:t>Annexure-I</w:t>
            </w:r>
            <w:r w:rsidR="00E65064">
              <w:rPr>
                <w:rFonts w:ascii="Tahoma" w:eastAsia="Times New Roman" w:hAnsi="Tahoma" w:cs="Tahoma"/>
                <w:kern w:val="2"/>
                <w14:ligatures w14:val="standardContextual"/>
              </w:rPr>
              <w:t xml:space="preserve"> and the details of onshore production related projects is attached herewith as </w:t>
            </w:r>
            <w:r w:rsidR="00E65064" w:rsidRPr="00331EEB">
              <w:rPr>
                <w:rFonts w:ascii="Tahoma" w:eastAsia="Times New Roman" w:hAnsi="Tahoma" w:cs="Tahoma"/>
                <w:b/>
                <w:bCs/>
                <w:kern w:val="2"/>
                <w:u w:val="single"/>
                <w14:ligatures w14:val="standardContextual"/>
              </w:rPr>
              <w:t>Annexure-II</w:t>
            </w:r>
            <w:r w:rsidR="00331EEB">
              <w:rPr>
                <w:rFonts w:ascii="Tahoma" w:eastAsia="Times New Roman" w:hAnsi="Tahoma" w:cs="Tahoma"/>
                <w:b/>
                <w:bCs/>
                <w:kern w:val="2"/>
                <w:u w:val="single"/>
                <w14:ligatures w14:val="standardContextual"/>
              </w:rPr>
              <w:t>.</w:t>
            </w:r>
          </w:p>
          <w:p w14:paraId="1C2BC2CF" w14:textId="096538C7" w:rsidR="005859CE" w:rsidRPr="00040065" w:rsidRDefault="005859CE" w:rsidP="00E65064">
            <w:pPr>
              <w:spacing w:after="120"/>
              <w:jc w:val="both"/>
              <w:rPr>
                <w:rFonts w:ascii="Tahoma" w:eastAsia="Times New Roman" w:hAnsi="Tahoma" w:cs="Tahoma"/>
                <w:kern w:val="2"/>
                <w14:ligatures w14:val="standardContextual"/>
              </w:rPr>
            </w:pPr>
          </w:p>
        </w:tc>
      </w:tr>
      <w:tr w:rsidR="005A7C72" w:rsidRPr="00040065" w14:paraId="65648DF5" w14:textId="77777777" w:rsidTr="00E65064">
        <w:trPr>
          <w:trHeight w:val="1017"/>
        </w:trPr>
        <w:tc>
          <w:tcPr>
            <w:tcW w:w="3256" w:type="dxa"/>
          </w:tcPr>
          <w:p w14:paraId="01947609" w14:textId="61571B54" w:rsidR="005A7C72" w:rsidRPr="00E65064" w:rsidRDefault="005A7C72" w:rsidP="005457B8">
            <w:pPr>
              <w:ind w:right="34"/>
              <w:jc w:val="both"/>
              <w:rPr>
                <w:rFonts w:ascii="Tahoma" w:hAnsi="Tahoma" w:cs="Tahoma"/>
                <w:i/>
                <w:iCs/>
              </w:rPr>
            </w:pPr>
            <w:r w:rsidRPr="00040065">
              <w:rPr>
                <w:rFonts w:ascii="Tahoma" w:hAnsi="Tahoma" w:cs="Tahoma"/>
                <w:i/>
                <w:iCs/>
              </w:rPr>
              <w:t>Q.(</w:t>
            </w:r>
            <w:r>
              <w:rPr>
                <w:rFonts w:ascii="Tahoma" w:hAnsi="Tahoma" w:cs="Tahoma"/>
                <w:i/>
                <w:iCs/>
              </w:rPr>
              <w:t>b</w:t>
            </w:r>
            <w:r w:rsidRPr="00040065">
              <w:rPr>
                <w:rFonts w:ascii="Tahoma" w:hAnsi="Tahoma" w:cs="Tahoma"/>
                <w:i/>
                <w:iCs/>
              </w:rPr>
              <w:t xml:space="preserve">) </w:t>
            </w:r>
            <w:r w:rsidR="00331EEB">
              <w:rPr>
                <w:rFonts w:ascii="Tahoma" w:hAnsi="Tahoma" w:cs="Tahoma"/>
                <w:i/>
                <w:iCs/>
              </w:rPr>
              <w:t>T</w:t>
            </w:r>
            <w:r w:rsidR="00E65064" w:rsidRPr="00E65064">
              <w:rPr>
                <w:rFonts w:ascii="Tahoma" w:hAnsi="Tahoma" w:cs="Tahoma"/>
                <w:i/>
                <w:iCs/>
              </w:rPr>
              <w:t>he specific details of such projects in Andhra Pradesh, including those under implementation or in the bidding stage;</w:t>
            </w:r>
          </w:p>
        </w:tc>
        <w:tc>
          <w:tcPr>
            <w:tcW w:w="6945" w:type="dxa"/>
          </w:tcPr>
          <w:p w14:paraId="3750FA90" w14:textId="465C1CFB" w:rsidR="00E65064" w:rsidRPr="005A7C72" w:rsidRDefault="00E65064" w:rsidP="00E65064">
            <w:pPr>
              <w:spacing w:after="120"/>
              <w:jc w:val="both"/>
              <w:rPr>
                <w:rFonts w:ascii="Tahoma" w:eastAsia="Times New Roman" w:hAnsi="Tahoma" w:cs="Tahoma"/>
                <w:b/>
                <w:kern w:val="2"/>
                <w14:ligatures w14:val="standardContextual"/>
              </w:rPr>
            </w:pPr>
            <w:r w:rsidRPr="005A7C72">
              <w:rPr>
                <w:rFonts w:ascii="Tahoma" w:hAnsi="Tahoma" w:cs="Tahoma"/>
                <w:b/>
                <w:lang w:val="en-US"/>
              </w:rPr>
              <w:t>Answer to Q(</w:t>
            </w:r>
            <w:r>
              <w:rPr>
                <w:rFonts w:ascii="Tahoma" w:hAnsi="Tahoma" w:cs="Tahoma"/>
                <w:b/>
                <w:lang w:val="en-US"/>
              </w:rPr>
              <w:t>b</w:t>
            </w:r>
            <w:r w:rsidRPr="005A7C72">
              <w:rPr>
                <w:rFonts w:ascii="Tahoma" w:hAnsi="Tahoma" w:cs="Tahoma"/>
                <w:b/>
                <w:lang w:val="en-US"/>
              </w:rPr>
              <w:t xml:space="preserve">): </w:t>
            </w:r>
            <w:proofErr w:type="spellStart"/>
            <w:r w:rsidRPr="005A7C72">
              <w:rPr>
                <w:rFonts w:ascii="Tahoma" w:eastAsia="Times New Roman" w:hAnsi="Tahoma" w:cs="Tahoma"/>
                <w:b/>
                <w:kern w:val="2"/>
                <w14:ligatures w14:val="standardContextual"/>
              </w:rPr>
              <w:t>MoPNG</w:t>
            </w:r>
            <w:proofErr w:type="spellEnd"/>
            <w:r w:rsidRPr="005A7C72">
              <w:rPr>
                <w:rFonts w:ascii="Tahoma" w:eastAsia="Times New Roman" w:hAnsi="Tahoma" w:cs="Tahoma"/>
                <w:b/>
                <w:kern w:val="2"/>
                <w14:ligatures w14:val="standardContextual"/>
              </w:rPr>
              <w:t xml:space="preserve"> may reply suitably. </w:t>
            </w:r>
          </w:p>
          <w:p w14:paraId="441FF5FC" w14:textId="77777777" w:rsidR="00C94DE7" w:rsidRPr="00C94DE7" w:rsidRDefault="00C94DE7" w:rsidP="00C94DE7">
            <w:pPr>
              <w:spacing w:after="12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As far as Oil India Limited (OIL) is concerned, OIL do not have any exploration block or activities in onshore Andhra Pradesh for hydrocarbon exploration.</w:t>
            </w:r>
          </w:p>
          <w:p w14:paraId="3780DB29" w14:textId="728D84D2" w:rsidR="005A7C72" w:rsidRPr="00C94DE7" w:rsidRDefault="00C94DE7" w:rsidP="00E65064">
            <w:pPr>
              <w:spacing w:after="120"/>
              <w:jc w:val="both"/>
              <w:rPr>
                <w:rFonts w:ascii="Tahoma" w:eastAsia="Times New Roman" w:hAnsi="Tahoma" w:cs="Tahoma"/>
                <w:kern w:val="2"/>
                <w:u w:val="single"/>
                <w14:ligatures w14:val="standardContextual"/>
              </w:rPr>
            </w:pPr>
            <w:r w:rsidRPr="00C94DE7">
              <w:rPr>
                <w:rFonts w:ascii="Tahoma" w:eastAsia="Times New Roman" w:hAnsi="Tahoma" w:cs="Tahoma"/>
                <w:kern w:val="2"/>
                <w14:ligatures w14:val="standardContextual"/>
              </w:rPr>
              <w:t xml:space="preserve">OIL has one Discovered Small Field (DSF) Block in shallow offshore KG Basin awarded under DSF Round II. Details are given in </w:t>
            </w:r>
            <w:r w:rsidRPr="00331EEB">
              <w:rPr>
                <w:rFonts w:ascii="Tahoma" w:eastAsia="Times New Roman" w:hAnsi="Tahoma" w:cs="Tahoma"/>
                <w:b/>
                <w:bCs/>
                <w:kern w:val="2"/>
                <w:u w:val="single"/>
                <w14:ligatures w14:val="standardContextual"/>
              </w:rPr>
              <w:t>Annexure-I.</w:t>
            </w:r>
          </w:p>
        </w:tc>
      </w:tr>
      <w:tr w:rsidR="005A7C72" w:rsidRPr="00040065" w14:paraId="6959C557" w14:textId="77777777" w:rsidTr="00E65064">
        <w:trPr>
          <w:trHeight w:val="1017"/>
        </w:trPr>
        <w:tc>
          <w:tcPr>
            <w:tcW w:w="3256" w:type="dxa"/>
          </w:tcPr>
          <w:p w14:paraId="3D7DFB5A" w14:textId="1DACBC51" w:rsidR="005A7C72" w:rsidRPr="00040065" w:rsidRDefault="005A7C72" w:rsidP="005457B8">
            <w:pPr>
              <w:ind w:right="34"/>
              <w:jc w:val="both"/>
              <w:rPr>
                <w:rFonts w:ascii="Tahoma" w:hAnsi="Tahoma" w:cs="Tahoma"/>
                <w:i/>
                <w:iCs/>
              </w:rPr>
            </w:pPr>
            <w:r w:rsidRPr="00040065">
              <w:rPr>
                <w:rFonts w:ascii="Tahoma" w:hAnsi="Tahoma" w:cs="Tahoma"/>
                <w:i/>
                <w:iCs/>
              </w:rPr>
              <w:t>Q.(</w:t>
            </w:r>
            <w:r>
              <w:rPr>
                <w:rFonts w:ascii="Tahoma" w:hAnsi="Tahoma" w:cs="Tahoma"/>
                <w:i/>
                <w:iCs/>
              </w:rPr>
              <w:t>c</w:t>
            </w:r>
            <w:r w:rsidRPr="00040065">
              <w:rPr>
                <w:rFonts w:ascii="Tahoma" w:hAnsi="Tahoma" w:cs="Tahoma"/>
                <w:i/>
                <w:iCs/>
              </w:rPr>
              <w:t xml:space="preserve">) </w:t>
            </w:r>
            <w:r w:rsidR="00331EEB">
              <w:rPr>
                <w:rFonts w:ascii="Tahoma" w:hAnsi="Tahoma" w:cs="Tahoma"/>
                <w:i/>
                <w:iCs/>
              </w:rPr>
              <w:t>W</w:t>
            </w:r>
            <w:r w:rsidR="00E65064" w:rsidRPr="00E65064">
              <w:rPr>
                <w:rFonts w:ascii="Tahoma" w:hAnsi="Tahoma" w:cs="Tahoma"/>
                <w:i/>
                <w:iCs/>
              </w:rPr>
              <w:t>hether any regulatory reforms have been introduced to ease doing business and encourage private sector participation in this sector; and</w:t>
            </w:r>
          </w:p>
        </w:tc>
        <w:tc>
          <w:tcPr>
            <w:tcW w:w="6945" w:type="dxa"/>
          </w:tcPr>
          <w:p w14:paraId="38A925C7" w14:textId="1E893DA7" w:rsidR="00E65064" w:rsidRPr="005A7C72" w:rsidRDefault="00E65064" w:rsidP="00E65064">
            <w:pPr>
              <w:spacing w:after="120"/>
              <w:jc w:val="both"/>
              <w:rPr>
                <w:rFonts w:ascii="Tahoma" w:eastAsia="Times New Roman" w:hAnsi="Tahoma" w:cs="Tahoma"/>
                <w:b/>
                <w:kern w:val="2"/>
                <w14:ligatures w14:val="standardContextual"/>
              </w:rPr>
            </w:pPr>
            <w:r w:rsidRPr="005A7C72">
              <w:rPr>
                <w:rFonts w:ascii="Tahoma" w:hAnsi="Tahoma" w:cs="Tahoma"/>
                <w:b/>
                <w:lang w:val="en-US"/>
              </w:rPr>
              <w:t>Answer to Q(</w:t>
            </w:r>
            <w:r>
              <w:rPr>
                <w:rFonts w:ascii="Tahoma" w:hAnsi="Tahoma" w:cs="Tahoma"/>
                <w:b/>
                <w:lang w:val="en-US"/>
              </w:rPr>
              <w:t>c</w:t>
            </w:r>
            <w:r w:rsidRPr="005A7C72">
              <w:rPr>
                <w:rFonts w:ascii="Tahoma" w:hAnsi="Tahoma" w:cs="Tahoma"/>
                <w:b/>
                <w:lang w:val="en-US"/>
              </w:rPr>
              <w:t xml:space="preserve">): </w:t>
            </w:r>
            <w:proofErr w:type="spellStart"/>
            <w:r w:rsidRPr="005A7C72">
              <w:rPr>
                <w:rFonts w:ascii="Tahoma" w:eastAsia="Times New Roman" w:hAnsi="Tahoma" w:cs="Tahoma"/>
                <w:b/>
                <w:kern w:val="2"/>
                <w14:ligatures w14:val="standardContextual"/>
              </w:rPr>
              <w:t>MoPNG</w:t>
            </w:r>
            <w:proofErr w:type="spellEnd"/>
            <w:r w:rsidRPr="005A7C72">
              <w:rPr>
                <w:rFonts w:ascii="Tahoma" w:eastAsia="Times New Roman" w:hAnsi="Tahoma" w:cs="Tahoma"/>
                <w:b/>
                <w:kern w:val="2"/>
                <w14:ligatures w14:val="standardContextual"/>
              </w:rPr>
              <w:t xml:space="preserve"> may reply suitably. </w:t>
            </w:r>
          </w:p>
          <w:p w14:paraId="782B227C" w14:textId="77777777" w:rsidR="00C94DE7" w:rsidRPr="00C94DE7" w:rsidRDefault="00C94DE7" w:rsidP="00C94DE7">
            <w:pPr>
              <w:spacing w:after="120"/>
              <w:jc w:val="both"/>
              <w:rPr>
                <w:rFonts w:ascii="Tahoma" w:eastAsia="Times New Roman" w:hAnsi="Tahoma" w:cs="Tahoma"/>
                <w:kern w:val="2"/>
                <w14:ligatures w14:val="standardContextual"/>
              </w:rPr>
            </w:pPr>
            <w:bookmarkStart w:id="1" w:name="_Hlk182400226"/>
            <w:r w:rsidRPr="00C94DE7">
              <w:rPr>
                <w:rFonts w:ascii="Tahoma" w:eastAsia="Times New Roman" w:hAnsi="Tahoma" w:cs="Tahoma"/>
                <w:kern w:val="2"/>
                <w14:ligatures w14:val="standardContextual"/>
              </w:rPr>
              <w:t>The major initiatives taken by the Government to streamline the operational processes to catalyse investment in the country's oil and gas exploration and production sector include: -</w:t>
            </w:r>
          </w:p>
          <w:p w14:paraId="29D6EF2D" w14:textId="3ACE320B" w:rsidR="00C94DE7" w:rsidRPr="00C94DE7" w:rsidRDefault="00C94DE7" w:rsidP="00C94DE7">
            <w:pPr>
              <w:pStyle w:val="ListParagraph"/>
              <w:numPr>
                <w:ilvl w:val="0"/>
                <w:numId w:val="30"/>
              </w:numPr>
              <w:spacing w:after="12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35A25C34"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lastRenderedPageBreak/>
              <w:t>Single license for both conventional and unconventional hydrocarbons under Hydrocarbon Exploration and Licensing Policy (HELP).</w:t>
            </w:r>
          </w:p>
          <w:p w14:paraId="30B7FBFA"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Open acreage Licensing policy (OALP):  Through this, any company can bid for any block in accordance with its competitive advantage.</w:t>
            </w:r>
          </w:p>
          <w:p w14:paraId="1D4A6B6E"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Revenue sharing model: To encourages cost efficiency in mining operations by replacing the profit-sharing contract established by NELP. The contractor pays the government a share of its revenue (net of royalty) as per the contract.</w:t>
            </w:r>
          </w:p>
          <w:p w14:paraId="4B082AFC"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Discovered Small Field policy to incentivize production from marginal fields.</w:t>
            </w:r>
          </w:p>
          <w:p w14:paraId="1365DF17"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Incentivization of Early production to motivate Operators to expedite development plans of new discoveries.</w:t>
            </w:r>
          </w:p>
          <w:p w14:paraId="462C2B27"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Policy to Promote and Incentivize Enhanced Recovery Methods for Oil and Gas.</w:t>
            </w:r>
          </w:p>
          <w:p w14:paraId="2780610B"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Natural Gas marketing reforms to move towards Gas based economy.</w:t>
            </w:r>
          </w:p>
          <w:p w14:paraId="0317AFBA"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Policy on Crude Oil Deregulations.</w:t>
            </w:r>
          </w:p>
          <w:p w14:paraId="3EBD260C"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Guidelines for Early Monetization of Hydrocarbon Discoveries.</w:t>
            </w:r>
          </w:p>
          <w:p w14:paraId="79696C08"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Policy framework for exploration and exploitation of Unconventional Hydrocarbons under existing Production Sharing Contracts, Coal Bed Methane contracts and Nomination fields.</w:t>
            </w:r>
          </w:p>
          <w:p w14:paraId="5C625F4C"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Fast tracking of regulatory clearance by active participation of DGH through portals like Urja Pragati, has helped expedite E&amp;P activities.</w:t>
            </w:r>
          </w:p>
          <w:bookmarkEnd w:id="1"/>
          <w:p w14:paraId="44EED222" w14:textId="60CB2588" w:rsidR="00C94DE7" w:rsidRPr="00C94DE7" w:rsidRDefault="00C94DE7" w:rsidP="00C94DE7">
            <w:pPr>
              <w:spacing w:after="12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 xml:space="preserve">The Government has also brought major reforms in and regulatory processes for Ease of Doing Business (EODB) which primarily include: </w:t>
            </w:r>
          </w:p>
          <w:p w14:paraId="19002EEE"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Single License Management: Streamlines administrative processes and reduces the need for multiple licenses, easing regulatory compliance.</w:t>
            </w:r>
          </w:p>
          <w:p w14:paraId="37152C5D"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Flexibility in Operations: Facilitates seamless transition between conventional and unconventional hydrocarbon projects, optimizing resource use and operational planning.</w:t>
            </w:r>
          </w:p>
          <w:p w14:paraId="4253C5B3"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Cost Savings: Eliminates the need for multiple license fees and associated administrative costs.</w:t>
            </w:r>
          </w:p>
          <w:p w14:paraId="22D43CAB"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Incentivizes Exploration and Development: Facilitates exploration of both types of resources in a single block, potentially increasing discovery rates and production.</w:t>
            </w:r>
          </w:p>
          <w:p w14:paraId="43284164"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 xml:space="preserve">Accelerates Development: Enables faster development of resources by avoiding the delays associated with obtaining separate licenses for different types of hydrocarbons. </w:t>
            </w:r>
          </w:p>
          <w:p w14:paraId="7A6167ED"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lastRenderedPageBreak/>
              <w:t>Reducing Compliance Burden: Simplification of Procedures and Processes for submission of Documents on Self Certification basis.</w:t>
            </w:r>
          </w:p>
          <w:p w14:paraId="05DCDDB2"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Setting up of Dispute Resolution Committee.</w:t>
            </w:r>
          </w:p>
          <w:p w14:paraId="533E4E58" w14:textId="77777777" w:rsid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Delegation of powers to DGH for Contract Management.</w:t>
            </w:r>
          </w:p>
          <w:p w14:paraId="252075F4" w14:textId="4CA0E357" w:rsidR="005A7C72"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Implementation of Single Window Clearance System</w:t>
            </w:r>
          </w:p>
        </w:tc>
      </w:tr>
      <w:tr w:rsidR="005A7C72" w:rsidRPr="00040065" w14:paraId="66EE5E17" w14:textId="77777777" w:rsidTr="00E65064">
        <w:trPr>
          <w:trHeight w:val="1017"/>
        </w:trPr>
        <w:tc>
          <w:tcPr>
            <w:tcW w:w="3256" w:type="dxa"/>
          </w:tcPr>
          <w:p w14:paraId="2799A862" w14:textId="3BA0FB5D" w:rsidR="005A7C72" w:rsidRPr="00040065" w:rsidRDefault="005A7C72" w:rsidP="005457B8">
            <w:pPr>
              <w:ind w:right="34"/>
              <w:jc w:val="both"/>
              <w:rPr>
                <w:rFonts w:ascii="Tahoma" w:hAnsi="Tahoma" w:cs="Tahoma"/>
                <w:i/>
                <w:iCs/>
              </w:rPr>
            </w:pPr>
            <w:r w:rsidRPr="00040065">
              <w:rPr>
                <w:rFonts w:ascii="Tahoma" w:hAnsi="Tahoma" w:cs="Tahoma"/>
                <w:i/>
                <w:iCs/>
              </w:rPr>
              <w:lastRenderedPageBreak/>
              <w:t>Q.(</w:t>
            </w:r>
            <w:r>
              <w:rPr>
                <w:rFonts w:ascii="Tahoma" w:hAnsi="Tahoma" w:cs="Tahoma"/>
                <w:i/>
                <w:iCs/>
              </w:rPr>
              <w:t>d</w:t>
            </w:r>
            <w:r w:rsidRPr="00040065">
              <w:rPr>
                <w:rFonts w:ascii="Tahoma" w:hAnsi="Tahoma" w:cs="Tahoma"/>
                <w:i/>
                <w:iCs/>
              </w:rPr>
              <w:t xml:space="preserve">) </w:t>
            </w:r>
            <w:r w:rsidR="00331EEB">
              <w:rPr>
                <w:rFonts w:ascii="Tahoma" w:hAnsi="Tahoma" w:cs="Tahoma"/>
                <w:i/>
                <w:iCs/>
              </w:rPr>
              <w:t>T</w:t>
            </w:r>
            <w:r w:rsidR="00E65064" w:rsidRPr="00E65064">
              <w:rPr>
                <w:rFonts w:ascii="Tahoma" w:hAnsi="Tahoma" w:cs="Tahoma"/>
                <w:i/>
                <w:iCs/>
              </w:rPr>
              <w:t>he extent of private and foreign investment received in Andhra Pradesh under onshore and offshore oil and gas exploration and production projects</w:t>
            </w:r>
          </w:p>
        </w:tc>
        <w:tc>
          <w:tcPr>
            <w:tcW w:w="6945" w:type="dxa"/>
          </w:tcPr>
          <w:p w14:paraId="124947EC" w14:textId="0B8EFA98" w:rsidR="005A7C72" w:rsidRPr="005A7C72" w:rsidRDefault="005A7C72" w:rsidP="005A7C72">
            <w:pPr>
              <w:spacing w:after="120"/>
              <w:jc w:val="both"/>
              <w:rPr>
                <w:rFonts w:ascii="Tahoma" w:eastAsia="Times New Roman" w:hAnsi="Tahoma" w:cs="Tahoma"/>
                <w:b/>
                <w:kern w:val="2"/>
                <w14:ligatures w14:val="standardContextual"/>
              </w:rPr>
            </w:pPr>
            <w:r w:rsidRPr="005A7C72">
              <w:rPr>
                <w:rFonts w:ascii="Tahoma" w:hAnsi="Tahoma" w:cs="Tahoma"/>
                <w:b/>
                <w:lang w:val="en-US"/>
              </w:rPr>
              <w:t xml:space="preserve">Answer to Q(d): </w:t>
            </w:r>
            <w:proofErr w:type="spellStart"/>
            <w:r w:rsidRPr="005A7C72">
              <w:rPr>
                <w:rFonts w:ascii="Tahoma" w:eastAsia="Times New Roman" w:hAnsi="Tahoma" w:cs="Tahoma"/>
                <w:b/>
                <w:kern w:val="2"/>
                <w14:ligatures w14:val="standardContextual"/>
              </w:rPr>
              <w:t>MoPNG</w:t>
            </w:r>
            <w:proofErr w:type="spellEnd"/>
            <w:r w:rsidRPr="005A7C72">
              <w:rPr>
                <w:rFonts w:ascii="Tahoma" w:eastAsia="Times New Roman" w:hAnsi="Tahoma" w:cs="Tahoma"/>
                <w:b/>
                <w:kern w:val="2"/>
                <w14:ligatures w14:val="standardContextual"/>
              </w:rPr>
              <w:t xml:space="preserve"> may reply suitably. </w:t>
            </w:r>
          </w:p>
          <w:p w14:paraId="4CDD756B" w14:textId="6434C5AF" w:rsidR="005A7C72" w:rsidRPr="00FD1DE9" w:rsidRDefault="005A7C72" w:rsidP="005457B8">
            <w:pPr>
              <w:spacing w:after="120"/>
              <w:jc w:val="both"/>
              <w:rPr>
                <w:rFonts w:ascii="Tahoma" w:eastAsia="Times New Roman" w:hAnsi="Tahoma" w:cs="Tahoma"/>
                <w:bCs/>
                <w:kern w:val="2"/>
                <w:lang w:val="en-US"/>
                <w14:ligatures w14:val="standardContextual"/>
              </w:rPr>
            </w:pP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170E6D"/>
    <w:multiLevelType w:val="hybridMultilevel"/>
    <w:tmpl w:val="94B8C996"/>
    <w:lvl w:ilvl="0" w:tplc="4009001B">
      <w:start w:val="1"/>
      <w:numFmt w:val="lowerRoman"/>
      <w:lvlText w:val="%1."/>
      <w:lvlJc w:val="right"/>
      <w:pPr>
        <w:tabs>
          <w:tab w:val="num" w:pos="720"/>
        </w:tabs>
        <w:ind w:left="720" w:hanging="360"/>
      </w:pPr>
    </w:lvl>
    <w:lvl w:ilvl="1" w:tplc="FFFFFFFF">
      <w:numFmt w:val="decimal"/>
      <w:lvlText w:val=""/>
      <w:lvlJc w:val="left"/>
      <w:pPr>
        <w:tabs>
          <w:tab w:val="num" w:pos="1440"/>
        </w:tabs>
        <w:ind w:left="1440" w:hanging="360"/>
      </w:pPr>
      <w:rPr>
        <w:rFonts w:ascii="Wingdings" w:hAnsi="Wingdings" w:hint="default"/>
      </w:rPr>
    </w:lvl>
    <w:lvl w:ilvl="2" w:tplc="FFFFFFFF">
      <w:numFmt w:val="decimal"/>
      <w:lvlText w:val=""/>
      <w:lvlJc w:val="left"/>
      <w:pPr>
        <w:tabs>
          <w:tab w:val="num" w:pos="2160"/>
        </w:tabs>
        <w:ind w:left="2160" w:hanging="360"/>
      </w:pPr>
      <w:rPr>
        <w:rFonts w:ascii="Wingdings" w:hAnsi="Wingdings" w:hint="default"/>
      </w:rPr>
    </w:lvl>
    <w:lvl w:ilvl="3" w:tplc="FFFFFFFF">
      <w:numFmt w:val="decimal"/>
      <w:lvlText w:val=""/>
      <w:lvlJc w:val="left"/>
      <w:pPr>
        <w:tabs>
          <w:tab w:val="num" w:pos="2880"/>
        </w:tabs>
        <w:ind w:left="2880" w:hanging="360"/>
      </w:pPr>
      <w:rPr>
        <w:rFonts w:ascii="Wingdings" w:hAnsi="Wingdings" w:hint="default"/>
      </w:rPr>
    </w:lvl>
    <w:lvl w:ilvl="4" w:tplc="FFFFFFFF">
      <w:numFmt w:val="decimal"/>
      <w:lvlText w:val=""/>
      <w:lvlJc w:val="left"/>
      <w:pPr>
        <w:tabs>
          <w:tab w:val="num" w:pos="3600"/>
        </w:tabs>
        <w:ind w:left="3600" w:hanging="360"/>
      </w:pPr>
      <w:rPr>
        <w:rFonts w:ascii="Wingdings" w:hAnsi="Wingdings" w:hint="default"/>
      </w:rPr>
    </w:lvl>
    <w:lvl w:ilvl="5" w:tplc="FFFFFFFF">
      <w:numFmt w:val="decimal"/>
      <w:lvlText w:val=""/>
      <w:lvlJc w:val="left"/>
      <w:pPr>
        <w:tabs>
          <w:tab w:val="num" w:pos="4320"/>
        </w:tabs>
        <w:ind w:left="4320" w:hanging="360"/>
      </w:pPr>
      <w:rPr>
        <w:rFonts w:ascii="Wingdings" w:hAnsi="Wingdings" w:hint="default"/>
      </w:rPr>
    </w:lvl>
    <w:lvl w:ilvl="6" w:tplc="FFFFFFFF">
      <w:numFmt w:val="decimal"/>
      <w:lvlText w:val=""/>
      <w:lvlJc w:val="left"/>
      <w:pPr>
        <w:tabs>
          <w:tab w:val="num" w:pos="5040"/>
        </w:tabs>
        <w:ind w:left="5040" w:hanging="360"/>
      </w:pPr>
      <w:rPr>
        <w:rFonts w:ascii="Wingdings" w:hAnsi="Wingdings" w:hint="default"/>
      </w:rPr>
    </w:lvl>
    <w:lvl w:ilvl="7" w:tplc="FFFFFFFF">
      <w:numFmt w:val="decimal"/>
      <w:lvlText w:val=""/>
      <w:lvlJc w:val="left"/>
      <w:pPr>
        <w:tabs>
          <w:tab w:val="num" w:pos="5760"/>
        </w:tabs>
        <w:ind w:left="5760" w:hanging="360"/>
      </w:pPr>
      <w:rPr>
        <w:rFonts w:ascii="Wingdings" w:hAnsi="Wingdings" w:hint="default"/>
      </w:rPr>
    </w:lvl>
    <w:lvl w:ilvl="8" w:tplc="FFFFFFFF">
      <w:numFmt w:val="decimal"/>
      <w:lvlText w:val=""/>
      <w:lvlJc w:val="left"/>
      <w:pPr>
        <w:tabs>
          <w:tab w:val="num" w:pos="6480"/>
        </w:tabs>
        <w:ind w:left="6480" w:hanging="360"/>
      </w:pPr>
      <w:rPr>
        <w:rFonts w:ascii="Wingdings" w:hAnsi="Wingdings" w:hint="default"/>
      </w:rPr>
    </w:lvl>
  </w:abstractNum>
  <w:abstractNum w:abstractNumId="3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4D80387"/>
    <w:multiLevelType w:val="hybridMultilevel"/>
    <w:tmpl w:val="ADB68F06"/>
    <w:lvl w:ilvl="0" w:tplc="4009001B">
      <w:start w:val="1"/>
      <w:numFmt w:val="lowerRoman"/>
      <w:lvlText w:val="%1."/>
      <w:lvlJc w:val="right"/>
      <w:pPr>
        <w:ind w:left="1440" w:hanging="360"/>
      </w:pPr>
    </w:lvl>
    <w:lvl w:ilvl="1" w:tplc="FFFFFFFF">
      <w:numFmt w:val="decimal"/>
      <w:lvlText w:val="o"/>
      <w:lvlJc w:val="left"/>
      <w:pPr>
        <w:ind w:left="2160" w:hanging="360"/>
      </w:pPr>
      <w:rPr>
        <w:rFonts w:ascii="Courier New" w:hAnsi="Courier New" w:cs="Courier New" w:hint="default"/>
      </w:rPr>
    </w:lvl>
    <w:lvl w:ilvl="2" w:tplc="FFFFFFFF">
      <w:numFmt w:val="decimal"/>
      <w:lvlText w:val=""/>
      <w:lvlJc w:val="left"/>
      <w:pPr>
        <w:ind w:left="2880" w:hanging="360"/>
      </w:pPr>
      <w:rPr>
        <w:rFonts w:ascii="Wingdings" w:hAnsi="Wingdings" w:hint="default"/>
      </w:rPr>
    </w:lvl>
    <w:lvl w:ilvl="3" w:tplc="FFFFFFFF">
      <w:numFmt w:val="decimal"/>
      <w:lvlText w:val=""/>
      <w:lvlJc w:val="left"/>
      <w:pPr>
        <w:ind w:left="3600" w:hanging="360"/>
      </w:pPr>
      <w:rPr>
        <w:rFonts w:ascii="Symbol" w:hAnsi="Symbol" w:hint="default"/>
      </w:rPr>
    </w:lvl>
    <w:lvl w:ilvl="4" w:tplc="FFFFFFFF">
      <w:numFmt w:val="decimal"/>
      <w:lvlText w:val="o"/>
      <w:lvlJc w:val="left"/>
      <w:pPr>
        <w:ind w:left="4320" w:hanging="360"/>
      </w:pPr>
      <w:rPr>
        <w:rFonts w:ascii="Courier New" w:hAnsi="Courier New" w:cs="Courier New" w:hint="default"/>
      </w:rPr>
    </w:lvl>
    <w:lvl w:ilvl="5" w:tplc="FFFFFFFF">
      <w:numFmt w:val="decimal"/>
      <w:lvlText w:val=""/>
      <w:lvlJc w:val="left"/>
      <w:pPr>
        <w:ind w:left="5040" w:hanging="360"/>
      </w:pPr>
      <w:rPr>
        <w:rFonts w:ascii="Wingdings" w:hAnsi="Wingdings" w:hint="default"/>
      </w:rPr>
    </w:lvl>
    <w:lvl w:ilvl="6" w:tplc="FFFFFFFF">
      <w:numFmt w:val="decimal"/>
      <w:lvlText w:val=""/>
      <w:lvlJc w:val="left"/>
      <w:pPr>
        <w:ind w:left="5760" w:hanging="360"/>
      </w:pPr>
      <w:rPr>
        <w:rFonts w:ascii="Symbol" w:hAnsi="Symbol" w:hint="default"/>
      </w:rPr>
    </w:lvl>
    <w:lvl w:ilvl="7" w:tplc="FFFFFFFF">
      <w:numFmt w:val="decimal"/>
      <w:lvlText w:val="o"/>
      <w:lvlJc w:val="left"/>
      <w:pPr>
        <w:ind w:left="6480" w:hanging="360"/>
      </w:pPr>
      <w:rPr>
        <w:rFonts w:ascii="Courier New" w:hAnsi="Courier New" w:cs="Courier New" w:hint="default"/>
      </w:rPr>
    </w:lvl>
    <w:lvl w:ilvl="8" w:tplc="FFFFFFFF">
      <w:numFmt w:val="decimal"/>
      <w:lvlText w:val=""/>
      <w:lvlJc w:val="left"/>
      <w:pPr>
        <w:ind w:left="7200" w:hanging="360"/>
      </w:pPr>
      <w:rPr>
        <w:rFonts w:ascii="Wingdings" w:hAnsi="Wingdings" w:hint="default"/>
      </w:rPr>
    </w:lvl>
  </w:abstractNum>
  <w:abstractNum w:abstractNumId="3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5"/>
  </w:num>
  <w:num w:numId="14">
    <w:abstractNumId w:val="27"/>
  </w:num>
  <w:num w:numId="15">
    <w:abstractNumId w:val="38"/>
  </w:num>
  <w:num w:numId="16">
    <w:abstractNumId w:val="19"/>
  </w:num>
  <w:num w:numId="17">
    <w:abstractNumId w:val="20"/>
  </w:num>
  <w:num w:numId="18">
    <w:abstractNumId w:val="15"/>
  </w:num>
  <w:num w:numId="19">
    <w:abstractNumId w:val="31"/>
  </w:num>
  <w:num w:numId="20">
    <w:abstractNumId w:val="33"/>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7"/>
  </w:num>
  <w:num w:numId="29">
    <w:abstractNumId w:val="39"/>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2"/>
  </w:num>
  <w:num w:numId="35">
    <w:abstractNumId w:val="41"/>
  </w:num>
  <w:num w:numId="36">
    <w:abstractNumId w:val="16"/>
  </w:num>
  <w:num w:numId="37">
    <w:abstractNumId w:val="2"/>
  </w:num>
  <w:num w:numId="38">
    <w:abstractNumId w:val="1"/>
  </w:num>
  <w:num w:numId="39">
    <w:abstractNumId w:val="7"/>
  </w:num>
  <w:num w:numId="40">
    <w:abstractNumId w:val="24"/>
  </w:num>
  <w:num w:numId="41">
    <w:abstractNumId w:val="34"/>
  </w:num>
  <w:num w:numId="42">
    <w:abstractNumId w:val="40"/>
  </w:num>
  <w:num w:numId="43">
    <w:abstractNumId w:val="14"/>
  </w:num>
  <w:num w:numId="44">
    <w:abstractNumId w:val="30"/>
    <w:lvlOverride w:ilvl="0">
      <w:startOverride w:val="1"/>
    </w:lvlOverride>
    <w:lvlOverride w:ilvl="1"/>
    <w:lvlOverride w:ilvl="2"/>
    <w:lvlOverride w:ilvl="3"/>
    <w:lvlOverride w:ilvl="4"/>
    <w:lvlOverride w:ilvl="5"/>
    <w:lvlOverride w:ilvl="6"/>
    <w:lvlOverride w:ilvl="7"/>
    <w:lvlOverride w:ilvl="8"/>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5506B"/>
    <w:rsid w:val="0006232A"/>
    <w:rsid w:val="000715A3"/>
    <w:rsid w:val="00071650"/>
    <w:rsid w:val="000730D5"/>
    <w:rsid w:val="0007784F"/>
    <w:rsid w:val="00092EAE"/>
    <w:rsid w:val="000977F8"/>
    <w:rsid w:val="000A09A2"/>
    <w:rsid w:val="000A2B80"/>
    <w:rsid w:val="000A2F38"/>
    <w:rsid w:val="000B4AC8"/>
    <w:rsid w:val="000B6878"/>
    <w:rsid w:val="000B717E"/>
    <w:rsid w:val="000C1282"/>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7B0E"/>
    <w:rsid w:val="002B36D7"/>
    <w:rsid w:val="002C07CD"/>
    <w:rsid w:val="002C2F3A"/>
    <w:rsid w:val="002C7DA7"/>
    <w:rsid w:val="002E2DA8"/>
    <w:rsid w:val="002E31A2"/>
    <w:rsid w:val="002E5790"/>
    <w:rsid w:val="002E61F1"/>
    <w:rsid w:val="002E7B37"/>
    <w:rsid w:val="002E7EBA"/>
    <w:rsid w:val="002F2731"/>
    <w:rsid w:val="002F3F8D"/>
    <w:rsid w:val="002F5F62"/>
    <w:rsid w:val="0030475B"/>
    <w:rsid w:val="00312D2B"/>
    <w:rsid w:val="003179D3"/>
    <w:rsid w:val="0032755B"/>
    <w:rsid w:val="00331EE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6073"/>
    <w:rsid w:val="00562579"/>
    <w:rsid w:val="005632FA"/>
    <w:rsid w:val="0056541D"/>
    <w:rsid w:val="00575BE9"/>
    <w:rsid w:val="005765F5"/>
    <w:rsid w:val="005859CE"/>
    <w:rsid w:val="00587F15"/>
    <w:rsid w:val="005910DF"/>
    <w:rsid w:val="00594A78"/>
    <w:rsid w:val="005A784C"/>
    <w:rsid w:val="005A7C72"/>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E5B6B"/>
    <w:rsid w:val="006F2F7A"/>
    <w:rsid w:val="006F4FB9"/>
    <w:rsid w:val="006F5F9D"/>
    <w:rsid w:val="00700063"/>
    <w:rsid w:val="00702DC3"/>
    <w:rsid w:val="00705E51"/>
    <w:rsid w:val="00707A79"/>
    <w:rsid w:val="007102AE"/>
    <w:rsid w:val="00715CA5"/>
    <w:rsid w:val="00724C3D"/>
    <w:rsid w:val="007420CA"/>
    <w:rsid w:val="00744E45"/>
    <w:rsid w:val="0075600F"/>
    <w:rsid w:val="007566E9"/>
    <w:rsid w:val="007601BC"/>
    <w:rsid w:val="00787588"/>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3558"/>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363A9"/>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38B4"/>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3D2A"/>
    <w:rsid w:val="00B475C0"/>
    <w:rsid w:val="00B50E79"/>
    <w:rsid w:val="00B519EF"/>
    <w:rsid w:val="00B71914"/>
    <w:rsid w:val="00B810F9"/>
    <w:rsid w:val="00B85579"/>
    <w:rsid w:val="00BC0366"/>
    <w:rsid w:val="00BC4C9F"/>
    <w:rsid w:val="00BC59F7"/>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4DE7"/>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65064"/>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1DE9"/>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8909062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27478669">
      <w:bodyDiv w:val="1"/>
      <w:marLeft w:val="0"/>
      <w:marRight w:val="0"/>
      <w:marTop w:val="0"/>
      <w:marBottom w:val="0"/>
      <w:divBdr>
        <w:top w:val="none" w:sz="0" w:space="0" w:color="auto"/>
        <w:left w:val="none" w:sz="0" w:space="0" w:color="auto"/>
        <w:bottom w:val="none" w:sz="0" w:space="0" w:color="auto"/>
        <w:right w:val="none" w:sz="0" w:space="0" w:color="auto"/>
      </w:divBdr>
    </w:div>
    <w:div w:id="132217948">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37454220">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174929782">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17517959">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36136638">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29417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75357383">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85685441">
      <w:bodyDiv w:val="1"/>
      <w:marLeft w:val="0"/>
      <w:marRight w:val="0"/>
      <w:marTop w:val="0"/>
      <w:marBottom w:val="0"/>
      <w:divBdr>
        <w:top w:val="none" w:sz="0" w:space="0" w:color="auto"/>
        <w:left w:val="none" w:sz="0" w:space="0" w:color="auto"/>
        <w:bottom w:val="none" w:sz="0" w:space="0" w:color="auto"/>
        <w:right w:val="none" w:sz="0" w:space="0" w:color="auto"/>
      </w:divBdr>
    </w:div>
    <w:div w:id="386686029">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48472083">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52011305">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76464529">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5879993">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78911131">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27094616">
      <w:bodyDiv w:val="1"/>
      <w:marLeft w:val="0"/>
      <w:marRight w:val="0"/>
      <w:marTop w:val="0"/>
      <w:marBottom w:val="0"/>
      <w:divBdr>
        <w:top w:val="none" w:sz="0" w:space="0" w:color="auto"/>
        <w:left w:val="none" w:sz="0" w:space="0" w:color="auto"/>
        <w:bottom w:val="none" w:sz="0" w:space="0" w:color="auto"/>
        <w:right w:val="none" w:sz="0" w:space="0" w:color="auto"/>
      </w:divBdr>
    </w:div>
    <w:div w:id="827285961">
      <w:bodyDiv w:val="1"/>
      <w:marLeft w:val="0"/>
      <w:marRight w:val="0"/>
      <w:marTop w:val="0"/>
      <w:marBottom w:val="0"/>
      <w:divBdr>
        <w:top w:val="none" w:sz="0" w:space="0" w:color="auto"/>
        <w:left w:val="none" w:sz="0" w:space="0" w:color="auto"/>
        <w:bottom w:val="none" w:sz="0" w:space="0" w:color="auto"/>
        <w:right w:val="none" w:sz="0" w:space="0" w:color="auto"/>
      </w:divBdr>
    </w:div>
    <w:div w:id="85611708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193486">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894464313">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0624671">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7086876">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09148756">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215577389">
      <w:bodyDiv w:val="1"/>
      <w:marLeft w:val="0"/>
      <w:marRight w:val="0"/>
      <w:marTop w:val="0"/>
      <w:marBottom w:val="0"/>
      <w:divBdr>
        <w:top w:val="none" w:sz="0" w:space="0" w:color="auto"/>
        <w:left w:val="none" w:sz="0" w:space="0" w:color="auto"/>
        <w:bottom w:val="none" w:sz="0" w:space="0" w:color="auto"/>
        <w:right w:val="none" w:sz="0" w:space="0" w:color="auto"/>
      </w:divBdr>
    </w:div>
    <w:div w:id="1230652581">
      <w:bodyDiv w:val="1"/>
      <w:marLeft w:val="0"/>
      <w:marRight w:val="0"/>
      <w:marTop w:val="0"/>
      <w:marBottom w:val="0"/>
      <w:divBdr>
        <w:top w:val="none" w:sz="0" w:space="0" w:color="auto"/>
        <w:left w:val="none" w:sz="0" w:space="0" w:color="auto"/>
        <w:bottom w:val="none" w:sz="0" w:space="0" w:color="auto"/>
        <w:right w:val="none" w:sz="0" w:space="0" w:color="auto"/>
      </w:divBdr>
    </w:div>
    <w:div w:id="1296721837">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8555">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490709309">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5670167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83453244">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7927283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891191866">
      <w:bodyDiv w:val="1"/>
      <w:marLeft w:val="0"/>
      <w:marRight w:val="0"/>
      <w:marTop w:val="0"/>
      <w:marBottom w:val="0"/>
      <w:divBdr>
        <w:top w:val="none" w:sz="0" w:space="0" w:color="auto"/>
        <w:left w:val="none" w:sz="0" w:space="0" w:color="auto"/>
        <w:bottom w:val="none" w:sz="0" w:space="0" w:color="auto"/>
        <w:right w:val="none" w:sz="0" w:space="0" w:color="auto"/>
      </w:divBdr>
    </w:div>
    <w:div w:id="1906255767">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39875025">
      <w:bodyDiv w:val="1"/>
      <w:marLeft w:val="0"/>
      <w:marRight w:val="0"/>
      <w:marTop w:val="0"/>
      <w:marBottom w:val="0"/>
      <w:divBdr>
        <w:top w:val="none" w:sz="0" w:space="0" w:color="auto"/>
        <w:left w:val="none" w:sz="0" w:space="0" w:color="auto"/>
        <w:bottom w:val="none" w:sz="0" w:space="0" w:color="auto"/>
        <w:right w:val="none" w:sz="0" w:space="0" w:color="auto"/>
      </w:divBdr>
    </w:div>
    <w:div w:id="1958297874">
      <w:bodyDiv w:val="1"/>
      <w:marLeft w:val="0"/>
      <w:marRight w:val="0"/>
      <w:marTop w:val="0"/>
      <w:marBottom w:val="0"/>
      <w:divBdr>
        <w:top w:val="none" w:sz="0" w:space="0" w:color="auto"/>
        <w:left w:val="none" w:sz="0" w:space="0" w:color="auto"/>
        <w:bottom w:val="none" w:sz="0" w:space="0" w:color="auto"/>
        <w:right w:val="none" w:sz="0" w:space="0" w:color="auto"/>
      </w:divBdr>
    </w:div>
    <w:div w:id="1985696855">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1982088">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1441879">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A2087A-31A0-4664-89A1-F618EE0D0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2025-08-12T11:47:00Z</cp:lastPrinted>
  <dcterms:created xsi:type="dcterms:W3CDTF">2025-08-12T12:05:00Z</dcterms:created>
  <dcterms:modified xsi:type="dcterms:W3CDTF">2025-08-13T09:38:00Z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