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0D908DEC"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567201">
        <w:rPr>
          <w:rFonts w:ascii="Tahoma" w:hAnsi="Tahoma" w:cs="Tahoma"/>
          <w:b/>
          <w:lang w:val="en-US"/>
        </w:rPr>
        <w:t>68</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092EAE">
        <w:rPr>
          <w:rFonts w:ascii="Tahoma" w:hAnsi="Tahoma" w:cs="Tahoma"/>
          <w:b/>
          <w:lang w:val="en-US"/>
        </w:rPr>
        <w:t xml:space="preserve">    </w:t>
      </w:r>
      <w:r w:rsidR="00567201">
        <w:rPr>
          <w:rFonts w:ascii="Tahoma" w:hAnsi="Tahoma" w:cs="Tahoma"/>
          <w:b/>
          <w:lang w:val="en-US"/>
        </w:rPr>
        <w:t xml:space="preserve">          </w:t>
      </w:r>
      <w:bookmarkStart w:id="0" w:name="_GoBack"/>
      <w:bookmarkEnd w:id="0"/>
      <w:r w:rsidR="00740739">
        <w:rPr>
          <w:rFonts w:ascii="Tahoma" w:hAnsi="Tahoma" w:cs="Tahoma"/>
          <w:b/>
          <w:lang w:val="en-US"/>
        </w:rPr>
        <w:t>11</w:t>
      </w:r>
      <w:r w:rsidR="00092EAE" w:rsidRPr="00092EAE">
        <w:rPr>
          <w:rFonts w:ascii="Tahoma" w:hAnsi="Tahoma" w:cs="Tahoma"/>
          <w:b/>
          <w:vertAlign w:val="superscript"/>
          <w:lang w:val="en-US"/>
        </w:rPr>
        <w:t>th</w:t>
      </w:r>
      <w:r w:rsidR="00092EA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5964BCE9" w14:textId="5CF87EB7" w:rsidR="003E2B73" w:rsidRPr="00040065" w:rsidRDefault="00506AF9" w:rsidP="003E2B73">
      <w:pPr>
        <w:spacing w:after="0"/>
        <w:ind w:right="-482"/>
        <w:jc w:val="center"/>
        <w:rPr>
          <w:rFonts w:ascii="Tahoma" w:hAnsi="Tahoma" w:cs="Tahoma"/>
          <w:b/>
          <w:lang w:val="en-US"/>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06BF3">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proofErr w:type="spellStart"/>
      <w:r w:rsidR="00006BF3">
        <w:rPr>
          <w:rFonts w:ascii="Tahoma" w:hAnsi="Tahoma" w:cs="Tahoma"/>
          <w:b/>
          <w:lang w:val="en-US"/>
        </w:rPr>
        <w:t>Satpal</w:t>
      </w:r>
      <w:proofErr w:type="spellEnd"/>
      <w:r w:rsidR="00006BF3">
        <w:rPr>
          <w:rFonts w:ascii="Tahoma" w:hAnsi="Tahoma" w:cs="Tahoma"/>
          <w:b/>
          <w:lang w:val="en-US"/>
        </w:rPr>
        <w:t xml:space="preserve"> Yadav</w:t>
      </w:r>
    </w:p>
    <w:p w14:paraId="08B02684" w14:textId="573A9B47" w:rsidR="003E2B73" w:rsidRDefault="003E2B73" w:rsidP="003E2B73">
      <w:pPr>
        <w:spacing w:after="0"/>
        <w:ind w:right="-482"/>
        <w:jc w:val="center"/>
        <w:rPr>
          <w:rFonts w:ascii="Tahoma" w:hAnsi="Tahoma" w:cs="Tahoma"/>
          <w:u w:val="single"/>
          <w:lang w:val="en-US"/>
        </w:rPr>
      </w:pPr>
      <w:r w:rsidRPr="00040065">
        <w:rPr>
          <w:rFonts w:ascii="Tahoma" w:hAnsi="Tahoma" w:cs="Tahoma"/>
          <w:b/>
          <w:lang w:val="en-US"/>
        </w:rPr>
        <w:t xml:space="preserve">                                                                                            </w:t>
      </w:r>
      <w:r w:rsidR="00E14F53" w:rsidRPr="00040065">
        <w:rPr>
          <w:rFonts w:ascii="Tahoma" w:hAnsi="Tahoma" w:cs="Tahoma"/>
          <w:bCs/>
          <w:lang w:val="en-US"/>
        </w:rPr>
        <w:t xml:space="preserve"> </w:t>
      </w:r>
      <w:r w:rsidR="00006BF3">
        <w:rPr>
          <w:rFonts w:ascii="Tahoma" w:hAnsi="Tahoma" w:cs="Tahoma"/>
          <w:u w:val="single"/>
          <w:lang w:val="en-US"/>
        </w:rPr>
        <w:t xml:space="preserve">Asst Section </w:t>
      </w:r>
      <w:proofErr w:type="gramStart"/>
      <w:r w:rsidR="00006BF3">
        <w:rPr>
          <w:rFonts w:ascii="Tahoma" w:hAnsi="Tahoma" w:cs="Tahoma"/>
          <w:u w:val="single"/>
          <w:lang w:val="en-US"/>
        </w:rPr>
        <w:t>Officer</w:t>
      </w:r>
      <w:r w:rsidR="003E4084" w:rsidRPr="00040065">
        <w:rPr>
          <w:rFonts w:ascii="Tahoma" w:hAnsi="Tahoma" w:cs="Tahoma"/>
          <w:u w:val="single"/>
          <w:lang w:val="en-US"/>
        </w:rPr>
        <w:t>(</w:t>
      </w:r>
      <w:proofErr w:type="gramEnd"/>
      <w:r w:rsidR="00006BF3">
        <w:rPr>
          <w:rFonts w:ascii="Tahoma" w:hAnsi="Tahoma" w:cs="Tahoma"/>
          <w:u w:val="single"/>
          <w:lang w:val="en-US"/>
        </w:rPr>
        <w:t>ONG-I &amp; ONG -V)</w:t>
      </w:r>
      <w:r w:rsidR="003E4084" w:rsidRPr="00040065">
        <w:rPr>
          <w:rFonts w:ascii="Tahoma" w:hAnsi="Tahoma" w:cs="Tahoma"/>
          <w:u w:val="single"/>
          <w:lang w:val="en-US"/>
        </w:rPr>
        <w:t>)</w:t>
      </w:r>
    </w:p>
    <w:p w14:paraId="4A27420B" w14:textId="77777777" w:rsidR="00092EAE" w:rsidRPr="00040065" w:rsidRDefault="00092EAE" w:rsidP="003E2B73">
      <w:pPr>
        <w:spacing w:after="0"/>
        <w:ind w:right="-482"/>
        <w:jc w:val="center"/>
        <w:rPr>
          <w:rFonts w:ascii="Tahoma" w:hAnsi="Tahoma" w:cs="Tahoma"/>
          <w:u w:val="single"/>
          <w:lang w:val="en-US"/>
        </w:rPr>
      </w:pPr>
    </w:p>
    <w:p w14:paraId="6D88C26E" w14:textId="70C691D1" w:rsidR="00F211B3" w:rsidRPr="002E7B37" w:rsidRDefault="00F211B3" w:rsidP="002E7B37">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006BF3">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092EAE">
        <w:rPr>
          <w:rFonts w:ascii="Tahoma" w:hAnsi="Tahoma" w:cs="Tahoma"/>
          <w:lang w:val="en-US"/>
        </w:rPr>
        <w:t xml:space="preserve">Starred/ </w:t>
      </w:r>
      <w:r w:rsidR="005457B8">
        <w:rPr>
          <w:rFonts w:ascii="Tahoma" w:hAnsi="Tahoma" w:cs="Tahoma"/>
          <w:lang w:val="en-US"/>
        </w:rPr>
        <w:t>Uns</w:t>
      </w:r>
      <w:r w:rsidR="00040065" w:rsidRPr="00040065">
        <w:rPr>
          <w:rFonts w:ascii="Tahoma" w:hAnsi="Tahoma" w:cs="Tahoma"/>
          <w:lang w:val="en-US"/>
        </w:rPr>
        <w:t>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006BF3">
        <w:rPr>
          <w:rFonts w:ascii="Tahoma" w:hAnsi="Tahoma" w:cs="Tahoma"/>
          <w:lang w:val="en-US"/>
        </w:rPr>
        <w:t>49</w:t>
      </w:r>
      <w:r w:rsidR="002E7B37">
        <w:rPr>
          <w:rFonts w:ascii="Tahoma" w:hAnsi="Tahoma" w:cs="Tahoma"/>
          <w:lang w:val="en-US"/>
        </w:rPr>
        <w:t>23</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006BF3">
        <w:rPr>
          <w:rFonts w:ascii="Tahoma" w:hAnsi="Tahoma" w:cs="Tahoma"/>
          <w:lang w:val="en-US"/>
        </w:rPr>
        <w:t>1</w:t>
      </w:r>
      <w:r w:rsidR="00534AF9">
        <w:rPr>
          <w:rFonts w:ascii="Tahoma" w:hAnsi="Tahoma" w:cs="Tahoma"/>
          <w:lang w:val="en-US"/>
        </w:rPr>
        <w:t>8</w:t>
      </w:r>
      <w:r w:rsidR="00643085" w:rsidRPr="00040065">
        <w:rPr>
          <w:rFonts w:ascii="Tahoma" w:hAnsi="Tahoma" w:cs="Tahoma"/>
          <w:lang w:val="en-US"/>
        </w:rPr>
        <w:t>.08.2025</w:t>
      </w:r>
      <w:r w:rsidR="00F270A6" w:rsidRPr="00040065">
        <w:rPr>
          <w:rFonts w:ascii="Tahoma" w:hAnsi="Tahoma" w:cs="Tahoma"/>
          <w:lang w:val="en-US"/>
        </w:rPr>
        <w:t xml:space="preserve"> </w:t>
      </w:r>
    </w:p>
    <w:p w14:paraId="3297E00F" w14:textId="4F5FB47E"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092EAE">
        <w:rPr>
          <w:rFonts w:ascii="Tahoma" w:hAnsi="Tahoma" w:cs="Tahoma"/>
          <w:lang w:val="en-US"/>
        </w:rPr>
        <w:t>0</w:t>
      </w:r>
      <w:r w:rsidR="00006BF3">
        <w:rPr>
          <w:rFonts w:ascii="Tahoma" w:hAnsi="Tahoma" w:cs="Tahoma"/>
          <w:lang w:val="en-US"/>
        </w:rPr>
        <w:t>8</w:t>
      </w:r>
      <w:r w:rsidRPr="00040065">
        <w:rPr>
          <w:rFonts w:ascii="Tahoma" w:hAnsi="Tahoma" w:cs="Tahoma"/>
          <w:lang w:val="en-US"/>
        </w:rPr>
        <w:t>.</w:t>
      </w:r>
      <w:r w:rsidR="00F270A6" w:rsidRPr="00040065">
        <w:rPr>
          <w:rFonts w:ascii="Tahoma" w:hAnsi="Tahoma" w:cs="Tahoma"/>
          <w:lang w:val="en-US"/>
        </w:rPr>
        <w:t>0</w:t>
      </w:r>
      <w:r w:rsidR="00092EAE">
        <w:rPr>
          <w:rFonts w:ascii="Tahoma" w:hAnsi="Tahoma" w:cs="Tahoma"/>
          <w:lang w:val="en-US"/>
        </w:rPr>
        <w:t>8</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34616309"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006BF3">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331D6F6" w14:textId="77777777" w:rsidR="00092EAE" w:rsidRPr="00040065" w:rsidRDefault="00092EAE" w:rsidP="00C42C3F">
      <w:pPr>
        <w:spacing w:after="0"/>
        <w:rPr>
          <w:rFonts w:ascii="Tahoma" w:hAnsi="Tahoma" w:cs="Tahoma"/>
          <w:lang w:val="en-US"/>
        </w:rPr>
      </w:pPr>
    </w:p>
    <w:tbl>
      <w:tblPr>
        <w:tblStyle w:val="TableGrid"/>
        <w:tblW w:w="10201" w:type="dxa"/>
        <w:tblLayout w:type="fixed"/>
        <w:tblLook w:val="04A0" w:firstRow="1" w:lastRow="0" w:firstColumn="1" w:lastColumn="0" w:noHBand="0" w:noVBand="1"/>
      </w:tblPr>
      <w:tblGrid>
        <w:gridCol w:w="3256"/>
        <w:gridCol w:w="6945"/>
      </w:tblGrid>
      <w:tr w:rsidR="00E040E4" w:rsidRPr="00040065" w14:paraId="55DD2EA1" w14:textId="77777777" w:rsidTr="002E7B37">
        <w:trPr>
          <w:trHeight w:val="1188"/>
        </w:trPr>
        <w:tc>
          <w:tcPr>
            <w:tcW w:w="3256" w:type="dxa"/>
          </w:tcPr>
          <w:p w14:paraId="4062B524" w14:textId="3A641B3E" w:rsidR="00E040E4" w:rsidRPr="00040065" w:rsidRDefault="00E040E4" w:rsidP="005457B8">
            <w:pPr>
              <w:ind w:right="34"/>
              <w:jc w:val="both"/>
              <w:rPr>
                <w:rFonts w:ascii="Tahoma" w:hAnsi="Tahoma" w:cs="Tahoma"/>
                <w:i/>
                <w:iCs/>
              </w:rPr>
            </w:pPr>
            <w:r w:rsidRPr="00040065">
              <w:rPr>
                <w:rFonts w:ascii="Tahoma" w:hAnsi="Tahoma" w:cs="Tahoma"/>
                <w:i/>
                <w:iCs/>
              </w:rPr>
              <w:t xml:space="preserve">Q.(a) </w:t>
            </w:r>
            <w:r w:rsidRPr="002E7B37">
              <w:rPr>
                <w:rFonts w:ascii="Tahoma" w:hAnsi="Tahoma" w:cs="Tahoma"/>
                <w:i/>
                <w:iCs/>
              </w:rPr>
              <w:t>what are key features of ORDA (Amendment) Act 2025 and the necessity of amending the ORD Act 1948</w:t>
            </w:r>
          </w:p>
        </w:tc>
        <w:tc>
          <w:tcPr>
            <w:tcW w:w="6945" w:type="dxa"/>
            <w:vMerge w:val="restart"/>
          </w:tcPr>
          <w:p w14:paraId="348CCD18" w14:textId="3CDE852F" w:rsidR="00E040E4" w:rsidRPr="00040065" w:rsidRDefault="00E040E4"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a</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0644121" w14:textId="77777777" w:rsidR="00E040E4" w:rsidRDefault="00E040E4" w:rsidP="005457B8">
            <w:pPr>
              <w:spacing w:after="120"/>
              <w:jc w:val="both"/>
              <w:rPr>
                <w:rFonts w:ascii="Tahoma" w:hAnsi="Tahoma" w:cs="Tahoma"/>
              </w:rPr>
            </w:pPr>
            <w:r w:rsidRPr="00F641AE">
              <w:rPr>
                <w:rFonts w:ascii="Tahoma" w:hAnsi="Tahoma" w:cs="Tahoma"/>
              </w:rPr>
              <w:t>Some of the key features of ORDA (Amendment) Act 2025 are as follows:</w:t>
            </w:r>
          </w:p>
          <w:p w14:paraId="3F046619" w14:textId="77777777" w:rsidR="00E040E4" w:rsidRPr="00F641AE" w:rsidRDefault="00E040E4" w:rsidP="00F641AE">
            <w:pPr>
              <w:pStyle w:val="ListParagraph"/>
              <w:numPr>
                <w:ilvl w:val="0"/>
                <w:numId w:val="44"/>
              </w:numPr>
              <w:spacing w:after="120"/>
              <w:ind w:left="170" w:hanging="170"/>
              <w:jc w:val="both"/>
              <w:rPr>
                <w:rFonts w:ascii="Tahoma" w:eastAsia="Times New Roman" w:hAnsi="Tahoma" w:cs="Tahoma"/>
                <w:kern w:val="2"/>
                <w14:ligatures w14:val="standardContextual"/>
              </w:rPr>
            </w:pPr>
            <w:r w:rsidRPr="00F641AE">
              <w:rPr>
                <w:rFonts w:ascii="Tahoma" w:eastAsia="Times New Roman" w:hAnsi="Tahoma" w:cs="Tahoma"/>
                <w:kern w:val="2"/>
                <w:u w:val="single"/>
                <w14:ligatures w14:val="standardContextual"/>
              </w:rPr>
              <w:t>Broader Definition of "Mineral Oils”</w:t>
            </w:r>
            <w:r w:rsidRPr="00F641AE">
              <w:rPr>
                <w:rFonts w:ascii="Tahoma" w:eastAsia="Times New Roman" w:hAnsi="Tahoma" w:cs="Tahoma"/>
                <w:kern w:val="2"/>
                <w14:ligatures w14:val="standardContextual"/>
              </w:rPr>
              <w:t>: The scope now includes not just petroleum and natural gas, but also newer resources like condensate, coal-bed methane, oil shale, shale gas, tight gas and oil, gas hydrates, etc.—matching advancements in exploration and extraction.</w:t>
            </w:r>
          </w:p>
          <w:p w14:paraId="2DB692E2" w14:textId="6EAAEAC8" w:rsidR="00E040E4" w:rsidRPr="00F641AE" w:rsidRDefault="00E040E4" w:rsidP="00F641AE">
            <w:pPr>
              <w:pStyle w:val="ListParagraph"/>
              <w:numPr>
                <w:ilvl w:val="0"/>
                <w:numId w:val="44"/>
              </w:numPr>
              <w:spacing w:after="120"/>
              <w:ind w:left="170" w:hanging="170"/>
              <w:jc w:val="both"/>
              <w:rPr>
                <w:rFonts w:ascii="Tahoma" w:eastAsia="Times New Roman" w:hAnsi="Tahoma" w:cs="Tahoma"/>
                <w:kern w:val="2"/>
                <w14:ligatures w14:val="standardContextual"/>
              </w:rPr>
            </w:pPr>
            <w:r w:rsidRPr="00F641AE">
              <w:rPr>
                <w:rFonts w:ascii="Tahoma" w:eastAsia="Times New Roman" w:hAnsi="Tahoma" w:cs="Tahoma"/>
                <w:kern w:val="2"/>
                <w:u w:val="single"/>
                <w14:ligatures w14:val="standardContextual"/>
              </w:rPr>
              <w:t xml:space="preserve">Terminology Change: “Mining Lease” to “Petroleum Lease”: </w:t>
            </w:r>
            <w:r w:rsidRPr="00F641AE">
              <w:rPr>
                <w:rFonts w:ascii="Tahoma" w:eastAsia="Times New Roman" w:hAnsi="Tahoma" w:cs="Tahoma"/>
                <w:kern w:val="2"/>
                <w14:ligatures w14:val="standardContextual"/>
              </w:rPr>
              <w:t>The Act replaces prior references to "mining lease" with "petroleum lease," establishing a dedicated framework for oil &amp; gas operations.</w:t>
            </w:r>
          </w:p>
          <w:p w14:paraId="6DE0B60E" w14:textId="6A919917" w:rsidR="00E040E4" w:rsidRPr="00F641AE" w:rsidRDefault="00E040E4" w:rsidP="00F641AE">
            <w:pPr>
              <w:pStyle w:val="ListParagraph"/>
              <w:numPr>
                <w:ilvl w:val="0"/>
                <w:numId w:val="44"/>
              </w:numPr>
              <w:spacing w:after="120"/>
              <w:ind w:left="170" w:hanging="170"/>
              <w:jc w:val="both"/>
              <w:rPr>
                <w:rFonts w:ascii="Tahoma" w:eastAsia="Times New Roman" w:hAnsi="Tahoma" w:cs="Tahoma"/>
                <w:kern w:val="2"/>
                <w14:ligatures w14:val="standardContextual"/>
              </w:rPr>
            </w:pPr>
            <w:r w:rsidRPr="00F641AE">
              <w:rPr>
                <w:rFonts w:ascii="Tahoma" w:eastAsia="Times New Roman" w:hAnsi="Tahoma" w:cs="Tahoma"/>
                <w:kern w:val="2"/>
                <w:u w:val="single"/>
                <w14:ligatures w14:val="standardContextual"/>
              </w:rPr>
              <w:t xml:space="preserve">Mandatory Petroleum Lease for Operations: </w:t>
            </w:r>
            <w:r w:rsidRPr="00F641AE">
              <w:rPr>
                <w:rFonts w:ascii="Tahoma" w:eastAsia="Times New Roman" w:hAnsi="Tahoma" w:cs="Tahoma"/>
                <w:kern w:val="2"/>
                <w14:ligatures w14:val="standardContextual"/>
              </w:rPr>
              <w:t>A new section, 4A, mandates that all operations related to prospecting, exploration, development, and production of mineral oils must be conducted under a valid petroleum lease.</w:t>
            </w:r>
          </w:p>
          <w:p w14:paraId="463854C0" w14:textId="77777777" w:rsidR="00E040E4" w:rsidRPr="00F641AE" w:rsidRDefault="00E040E4" w:rsidP="00F641AE">
            <w:pPr>
              <w:pStyle w:val="ListParagraph"/>
              <w:numPr>
                <w:ilvl w:val="0"/>
                <w:numId w:val="44"/>
              </w:numPr>
              <w:spacing w:after="120"/>
              <w:ind w:left="170" w:hanging="170"/>
              <w:jc w:val="both"/>
              <w:rPr>
                <w:rFonts w:ascii="Tahoma" w:eastAsia="Times New Roman" w:hAnsi="Tahoma" w:cs="Tahoma"/>
                <w:kern w:val="2"/>
                <w14:ligatures w14:val="standardContextual"/>
              </w:rPr>
            </w:pPr>
            <w:r w:rsidRPr="00F641AE">
              <w:rPr>
                <w:rFonts w:ascii="Tahoma" w:eastAsia="Times New Roman" w:hAnsi="Tahoma" w:cs="Tahoma"/>
                <w:kern w:val="2"/>
                <w:u w:val="single"/>
                <w14:ligatures w14:val="standardContextual"/>
              </w:rPr>
              <w:t>Focus on Environmental and Safety Standards:</w:t>
            </w:r>
            <w:r w:rsidRPr="00F641AE">
              <w:t xml:space="preserve"> </w:t>
            </w:r>
            <w:r w:rsidRPr="00F641AE">
              <w:rPr>
                <w:rFonts w:ascii="Tahoma" w:eastAsia="Times New Roman" w:hAnsi="Tahoma" w:cs="Tahoma"/>
                <w:kern w:val="2"/>
                <w14:ligatures w14:val="standardContextual"/>
              </w:rPr>
              <w:t>It incorporates environmental protection, international best practices, safety norms, and provisions promoting carbon emission reduction along with renewable initiatives in oilfields.</w:t>
            </w:r>
          </w:p>
          <w:p w14:paraId="750F648E" w14:textId="77777777" w:rsidR="00E040E4" w:rsidRPr="00F641AE" w:rsidRDefault="00E040E4" w:rsidP="00F641AE">
            <w:pPr>
              <w:pStyle w:val="ListParagraph"/>
              <w:numPr>
                <w:ilvl w:val="0"/>
                <w:numId w:val="44"/>
              </w:numPr>
              <w:spacing w:after="120"/>
              <w:ind w:left="170" w:hanging="170"/>
              <w:jc w:val="both"/>
              <w:rPr>
                <w:rFonts w:ascii="Tahoma" w:eastAsia="Times New Roman" w:hAnsi="Tahoma" w:cs="Tahoma"/>
                <w:kern w:val="2"/>
                <w14:ligatures w14:val="standardContextual"/>
              </w:rPr>
            </w:pPr>
            <w:r w:rsidRPr="00F641AE">
              <w:rPr>
                <w:rFonts w:ascii="Tahoma" w:eastAsia="Times New Roman" w:hAnsi="Tahoma" w:cs="Tahoma"/>
                <w:kern w:val="2"/>
                <w:u w:val="single"/>
                <w14:ligatures w14:val="standardContextual"/>
              </w:rPr>
              <w:t xml:space="preserve">Regulation Over Leases: </w:t>
            </w:r>
            <w:r w:rsidRPr="00F641AE">
              <w:rPr>
                <w:rFonts w:ascii="Tahoma" w:eastAsia="Times New Roman" w:hAnsi="Tahoma" w:cs="Tahoma"/>
                <w:kern w:val="2"/>
                <w14:ligatures w14:val="standardContextual"/>
              </w:rPr>
              <w:t>The Act strengthens oversight by empowering the government to regulate grant, extension, renewal, area limits, and lease periods of petroleum leases—thereby offering better clarity and structure.</w:t>
            </w:r>
          </w:p>
          <w:p w14:paraId="1968960D" w14:textId="434EC391" w:rsidR="00E040E4" w:rsidRPr="00E040E4" w:rsidRDefault="00E040E4" w:rsidP="00F641AE">
            <w:pPr>
              <w:pStyle w:val="ListParagraph"/>
              <w:numPr>
                <w:ilvl w:val="0"/>
                <w:numId w:val="44"/>
              </w:numPr>
              <w:spacing w:after="120"/>
              <w:ind w:left="170" w:hanging="170"/>
              <w:jc w:val="both"/>
              <w:rPr>
                <w:rFonts w:ascii="Tahoma" w:eastAsia="Times New Roman" w:hAnsi="Tahoma" w:cs="Tahoma"/>
                <w:kern w:val="2"/>
                <w:u w:val="single"/>
                <w14:ligatures w14:val="standardContextual"/>
              </w:rPr>
            </w:pPr>
            <w:r w:rsidRPr="00F641AE">
              <w:rPr>
                <w:rFonts w:ascii="Tahoma" w:eastAsia="Times New Roman" w:hAnsi="Tahoma" w:cs="Tahoma"/>
                <w:kern w:val="2"/>
                <w:u w:val="single"/>
                <w14:ligatures w14:val="standardContextual"/>
              </w:rPr>
              <w:t xml:space="preserve">Dispute Resolution, Data &amp; Infrastructure Sharing: </w:t>
            </w:r>
            <w:r w:rsidRPr="00F641AE">
              <w:rPr>
                <w:rFonts w:ascii="Tahoma" w:eastAsia="Times New Roman" w:hAnsi="Tahoma" w:cs="Tahoma"/>
                <w:kern w:val="2"/>
                <w14:ligatures w14:val="standardContextual"/>
              </w:rPr>
              <w:t>The amendment enables structured mechanisms for resolving lease disputes and encourages shared use of data and infrastructure among operators</w:t>
            </w:r>
          </w:p>
          <w:p w14:paraId="13D177A0" w14:textId="77777777" w:rsidR="00E040E4" w:rsidRDefault="00E040E4" w:rsidP="00F641AE">
            <w:pPr>
              <w:spacing w:after="120"/>
              <w:jc w:val="both"/>
              <w:rPr>
                <w:rFonts w:ascii="Tahoma" w:eastAsia="Times New Roman" w:hAnsi="Tahoma" w:cs="Tahoma"/>
                <w:kern w:val="2"/>
                <w14:ligatures w14:val="standardContextual"/>
              </w:rPr>
            </w:pPr>
            <w:r w:rsidRPr="00F641AE">
              <w:rPr>
                <w:rFonts w:ascii="Tahoma" w:eastAsia="Times New Roman" w:hAnsi="Tahoma" w:cs="Tahoma"/>
                <w:kern w:val="2"/>
                <w14:ligatures w14:val="standardContextual"/>
              </w:rPr>
              <w:t xml:space="preserve">The Oilfields (Regulation &amp; Development) Act, 1948 </w:t>
            </w:r>
            <w:r w:rsidRPr="00E040E4">
              <w:rPr>
                <w:rFonts w:ascii="Tahoma" w:eastAsia="Times New Roman" w:hAnsi="Tahoma" w:cs="Tahoma"/>
                <w:kern w:val="2"/>
                <w14:ligatures w14:val="standardContextual"/>
              </w:rPr>
              <w:t>(“Original Act”)</w:t>
            </w:r>
            <w:r w:rsidRPr="00F641AE">
              <w:rPr>
                <w:rFonts w:ascii="Tahoma" w:eastAsia="Times New Roman" w:hAnsi="Tahoma" w:cs="Tahoma"/>
                <w:kern w:val="2"/>
                <w14:ligatures w14:val="standardContextual"/>
              </w:rPr>
              <w:t xml:space="preserve"> is the principal legislation governing the exploration and development of mineral oil resources in India. It was first enacted as the Mines and Minerals (Regulation and Development) Act, 1948 </w:t>
            </w:r>
            <w:r w:rsidRPr="00E040E4">
              <w:rPr>
                <w:rFonts w:ascii="Tahoma" w:eastAsia="Times New Roman" w:hAnsi="Tahoma" w:cs="Tahoma"/>
                <w:kern w:val="2"/>
                <w14:ligatures w14:val="standardContextual"/>
              </w:rPr>
              <w:t>(“1948 Act”)</w:t>
            </w:r>
            <w:r w:rsidRPr="00F641AE">
              <w:rPr>
                <w:rFonts w:ascii="Tahoma" w:eastAsia="Times New Roman" w:hAnsi="Tahoma" w:cs="Tahoma"/>
                <w:kern w:val="2"/>
                <w14:ligatures w14:val="standardContextual"/>
              </w:rPr>
              <w:t xml:space="preserve"> as a common legislation governing mines and minerals as well as mineral </w:t>
            </w:r>
            <w:r w:rsidRPr="00F641AE">
              <w:rPr>
                <w:rFonts w:ascii="Tahoma" w:eastAsia="Times New Roman" w:hAnsi="Tahoma" w:cs="Tahoma"/>
                <w:kern w:val="2"/>
                <w14:ligatures w14:val="standardContextual"/>
              </w:rPr>
              <w:lastRenderedPageBreak/>
              <w:t xml:space="preserve">oil resources (including petroleum and natural gas). Subsequently, in the year 1957, the Mines and Minerals (Development &amp; Regulation) Act </w:t>
            </w:r>
            <w:r w:rsidRPr="00E040E4">
              <w:rPr>
                <w:rFonts w:ascii="Tahoma" w:eastAsia="Times New Roman" w:hAnsi="Tahoma" w:cs="Tahoma"/>
                <w:kern w:val="2"/>
                <w14:ligatures w14:val="standardContextual"/>
              </w:rPr>
              <w:t>(“1957 Act”)</w:t>
            </w:r>
            <w:r w:rsidRPr="00F641AE">
              <w:rPr>
                <w:rFonts w:ascii="Tahoma" w:eastAsia="Times New Roman" w:hAnsi="Tahoma" w:cs="Tahoma"/>
                <w:kern w:val="2"/>
                <w14:ligatures w14:val="standardContextual"/>
              </w:rPr>
              <w:t xml:space="preserve"> was enacted to specifically govern and regulate the mines and mineral sector</w:t>
            </w:r>
            <w:r>
              <w:rPr>
                <w:rFonts w:ascii="Tahoma" w:eastAsia="Times New Roman" w:hAnsi="Tahoma" w:cs="Tahoma"/>
                <w:kern w:val="2"/>
                <w14:ligatures w14:val="standardContextual"/>
              </w:rPr>
              <w:t>.</w:t>
            </w:r>
          </w:p>
          <w:p w14:paraId="1C2BC2CF" w14:textId="029949EE" w:rsidR="00E040E4" w:rsidRPr="00F641AE" w:rsidRDefault="00E040E4" w:rsidP="00F641AE">
            <w:pPr>
              <w:spacing w:after="120"/>
              <w:jc w:val="both"/>
              <w:rPr>
                <w:rFonts w:ascii="Tahoma" w:eastAsia="Times New Roman" w:hAnsi="Tahoma" w:cs="Tahoma"/>
                <w:kern w:val="2"/>
                <w14:ligatures w14:val="standardContextual"/>
              </w:rPr>
            </w:pPr>
            <w:r w:rsidRPr="00F641AE">
              <w:rPr>
                <w:rFonts w:ascii="Tahoma" w:eastAsia="Times New Roman" w:hAnsi="Tahoma" w:cs="Tahoma"/>
                <w:kern w:val="2"/>
                <w14:ligatures w14:val="standardContextual"/>
              </w:rPr>
              <w:t>The Amendment Act marks an important legislative development by providing statutory clarity and embedding within it several long-standing policy decisions in the oil and gas sector. In doing so, it lends legislative backing to India’s broader energy objectives, particularly the goal of reducing import dependency</w:t>
            </w:r>
          </w:p>
        </w:tc>
      </w:tr>
      <w:tr w:rsidR="00E040E4" w:rsidRPr="00040065" w14:paraId="65648DF5" w14:textId="77777777" w:rsidTr="00006BF3">
        <w:trPr>
          <w:trHeight w:val="1017"/>
        </w:trPr>
        <w:tc>
          <w:tcPr>
            <w:tcW w:w="3256" w:type="dxa"/>
          </w:tcPr>
          <w:p w14:paraId="01947609" w14:textId="3FD22420" w:rsidR="00E040E4" w:rsidRPr="00040065" w:rsidRDefault="00E040E4" w:rsidP="005457B8">
            <w:pPr>
              <w:ind w:right="34"/>
              <w:jc w:val="both"/>
              <w:rPr>
                <w:rFonts w:ascii="Tahoma" w:eastAsia="Times New Roman" w:hAnsi="Tahoma" w:cs="Tahoma"/>
                <w:i/>
                <w:color w:val="000000"/>
              </w:rPr>
            </w:pPr>
            <w:r w:rsidRPr="00040065">
              <w:rPr>
                <w:rFonts w:ascii="Tahoma" w:hAnsi="Tahoma" w:cs="Tahoma"/>
                <w:i/>
                <w:iCs/>
              </w:rPr>
              <w:t xml:space="preserve">Q.(b) </w:t>
            </w:r>
            <w:r w:rsidRPr="002E7B37">
              <w:rPr>
                <w:rFonts w:ascii="Tahoma" w:eastAsia="Times New Roman" w:hAnsi="Tahoma" w:cs="Tahoma"/>
                <w:i/>
                <w:color w:val="000000"/>
              </w:rPr>
              <w:t>what are the salient features of this amendment that are anticipated to ease out the difficulties faced by E&amp;P operators and boost the confidence of global E&amp;P players</w:t>
            </w:r>
          </w:p>
        </w:tc>
        <w:tc>
          <w:tcPr>
            <w:tcW w:w="6945" w:type="dxa"/>
            <w:vMerge/>
          </w:tcPr>
          <w:p w14:paraId="3780DB29" w14:textId="44C7C9E7" w:rsidR="00E040E4" w:rsidRPr="00E040E4" w:rsidRDefault="00E040E4" w:rsidP="00E040E4">
            <w:pPr>
              <w:jc w:val="both"/>
              <w:rPr>
                <w:rFonts w:ascii="Tahoma" w:hAnsi="Tahoma" w:cs="Tahoma"/>
              </w:rPr>
            </w:pPr>
          </w:p>
        </w:tc>
      </w:tr>
      <w:tr w:rsidR="005457B8" w:rsidRPr="00040065" w14:paraId="54E35464" w14:textId="77777777" w:rsidTr="00006BF3">
        <w:trPr>
          <w:trHeight w:val="1130"/>
        </w:trPr>
        <w:tc>
          <w:tcPr>
            <w:tcW w:w="3256" w:type="dxa"/>
          </w:tcPr>
          <w:p w14:paraId="48C9BB13" w14:textId="66608236" w:rsidR="00092EAE" w:rsidRPr="00092EAE" w:rsidRDefault="005457B8" w:rsidP="00092EAE">
            <w:pPr>
              <w:jc w:val="both"/>
              <w:rPr>
                <w:rFonts w:ascii="Tahoma" w:hAnsi="Tahoma" w:cs="Tahoma"/>
                <w:i/>
                <w:iCs/>
              </w:rPr>
            </w:pPr>
            <w:r w:rsidRPr="00040065">
              <w:rPr>
                <w:rFonts w:ascii="Tahoma" w:hAnsi="Tahoma" w:cs="Tahoma"/>
                <w:i/>
                <w:iCs/>
              </w:rPr>
              <w:t xml:space="preserve">Q.(c) </w:t>
            </w:r>
            <w:r w:rsidR="002E7B37" w:rsidRPr="002E7B37">
              <w:rPr>
                <w:rFonts w:ascii="Tahoma" w:hAnsi="Tahoma" w:cs="Tahoma"/>
                <w:i/>
                <w:iCs/>
              </w:rPr>
              <w:t>what are the key benefits in this Act for prospective E&amp;P players</w:t>
            </w:r>
          </w:p>
          <w:p w14:paraId="710B4EA4" w14:textId="15431001" w:rsidR="005457B8" w:rsidRPr="00040065" w:rsidRDefault="005457B8" w:rsidP="005457B8">
            <w:pPr>
              <w:jc w:val="both"/>
              <w:rPr>
                <w:rFonts w:ascii="Tahoma" w:hAnsi="Tahoma" w:cs="Tahoma"/>
                <w:i/>
                <w:iCs/>
              </w:rPr>
            </w:pPr>
          </w:p>
        </w:tc>
        <w:tc>
          <w:tcPr>
            <w:tcW w:w="6945" w:type="dxa"/>
          </w:tcPr>
          <w:p w14:paraId="4E973A3D" w14:textId="06E1DDDD"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6632251" w14:textId="77777777" w:rsidR="00E040E4" w:rsidRDefault="00E040E4" w:rsidP="00E040E4">
            <w:pPr>
              <w:jc w:val="both"/>
              <w:rPr>
                <w:rFonts w:ascii="Tahoma" w:hAnsi="Tahoma" w:cs="Tahoma"/>
              </w:rPr>
            </w:pPr>
            <w:r w:rsidRPr="00E040E4">
              <w:rPr>
                <w:rFonts w:ascii="Tahoma" w:hAnsi="Tahoma" w:cs="Tahoma"/>
              </w:rPr>
              <w:t xml:space="preserve">The ORDA (Amendment) Act, 2025 offers significant advantages for prospective E&amp;P players by modernising India’s upstream regulatory regime. </w:t>
            </w:r>
          </w:p>
          <w:p w14:paraId="5428857F" w14:textId="77777777" w:rsidR="00E040E4" w:rsidRDefault="00E040E4" w:rsidP="00E040E4">
            <w:pPr>
              <w:pStyle w:val="ListParagraph"/>
              <w:numPr>
                <w:ilvl w:val="0"/>
                <w:numId w:val="45"/>
              </w:numPr>
              <w:ind w:left="454"/>
              <w:jc w:val="both"/>
              <w:rPr>
                <w:rFonts w:ascii="Tahoma" w:hAnsi="Tahoma" w:cs="Tahoma"/>
              </w:rPr>
            </w:pPr>
            <w:r w:rsidRPr="00E040E4">
              <w:rPr>
                <w:rFonts w:ascii="Tahoma" w:hAnsi="Tahoma" w:cs="Tahoma"/>
              </w:rPr>
              <w:t xml:space="preserve">It introduces a single, streamlined “petroleum lease” covering exploration, development and production, replacing multiple overlapping approvals and ensuring faster project initiation. </w:t>
            </w:r>
          </w:p>
          <w:p w14:paraId="31962D95" w14:textId="77777777" w:rsidR="00E040E4" w:rsidRDefault="00E040E4" w:rsidP="00E040E4">
            <w:pPr>
              <w:pStyle w:val="ListParagraph"/>
              <w:numPr>
                <w:ilvl w:val="0"/>
                <w:numId w:val="45"/>
              </w:numPr>
              <w:ind w:left="454"/>
              <w:jc w:val="both"/>
              <w:rPr>
                <w:rFonts w:ascii="Tahoma" w:hAnsi="Tahoma" w:cs="Tahoma"/>
              </w:rPr>
            </w:pPr>
            <w:r w:rsidRPr="00E040E4">
              <w:rPr>
                <w:rFonts w:ascii="Tahoma" w:hAnsi="Tahoma" w:cs="Tahoma"/>
              </w:rPr>
              <w:t xml:space="preserve">The expanded definition of “mineral oils” now includes conventional and unconventional hydrocarbons such as petroleum, natural gas, condensates, coal-bed methane, shale gas/oil, tight oil/gas, oil shale and gas hydrates, enabling integrated resource development under one license. </w:t>
            </w:r>
          </w:p>
          <w:p w14:paraId="695F7BCD" w14:textId="77777777" w:rsidR="00E040E4" w:rsidRDefault="00E040E4" w:rsidP="00E040E4">
            <w:pPr>
              <w:pStyle w:val="ListParagraph"/>
              <w:numPr>
                <w:ilvl w:val="0"/>
                <w:numId w:val="45"/>
              </w:numPr>
              <w:ind w:left="454"/>
              <w:jc w:val="both"/>
              <w:rPr>
                <w:rFonts w:ascii="Tahoma" w:hAnsi="Tahoma" w:cs="Tahoma"/>
              </w:rPr>
            </w:pPr>
            <w:r w:rsidRPr="00E040E4">
              <w:rPr>
                <w:rFonts w:ascii="Tahoma" w:hAnsi="Tahoma" w:cs="Tahoma"/>
              </w:rPr>
              <w:t xml:space="preserve">Longer, clearly defined lease tenures with transparent renewal terms, along with continuity for existing licenses, provide the stability needed for long-cycle investments. </w:t>
            </w:r>
          </w:p>
          <w:p w14:paraId="0F1D5D0A" w14:textId="77777777" w:rsidR="00E040E4" w:rsidRDefault="00E040E4" w:rsidP="00E040E4">
            <w:pPr>
              <w:pStyle w:val="ListParagraph"/>
              <w:numPr>
                <w:ilvl w:val="0"/>
                <w:numId w:val="45"/>
              </w:numPr>
              <w:ind w:left="454"/>
              <w:jc w:val="both"/>
              <w:rPr>
                <w:rFonts w:ascii="Tahoma" w:hAnsi="Tahoma" w:cs="Tahoma"/>
              </w:rPr>
            </w:pPr>
            <w:r w:rsidRPr="00E040E4">
              <w:rPr>
                <w:rFonts w:ascii="Tahoma" w:hAnsi="Tahoma" w:cs="Tahoma"/>
              </w:rPr>
              <w:t xml:space="preserve">Provisions for shared infrastructure and access to geological data reduce entry costs and accelerate timelines, while structured dispute resolution mechanisms improve operational certainty. </w:t>
            </w:r>
          </w:p>
          <w:p w14:paraId="7486FBE2" w14:textId="77777777" w:rsidR="00E040E4" w:rsidRDefault="00E040E4" w:rsidP="00E040E4">
            <w:pPr>
              <w:pStyle w:val="ListParagraph"/>
              <w:numPr>
                <w:ilvl w:val="0"/>
                <w:numId w:val="45"/>
              </w:numPr>
              <w:ind w:left="454"/>
              <w:jc w:val="both"/>
              <w:rPr>
                <w:rFonts w:ascii="Tahoma" w:hAnsi="Tahoma" w:cs="Tahoma"/>
              </w:rPr>
            </w:pPr>
            <w:r w:rsidRPr="00E040E4">
              <w:rPr>
                <w:rFonts w:ascii="Tahoma" w:hAnsi="Tahoma" w:cs="Tahoma"/>
              </w:rPr>
              <w:t xml:space="preserve">The Act aligns with ESG and energy transition goals by permitting renewable energy, carbon capture and decarbonisation activities within lease areas, and mandates global-standard safety and environmental norms. </w:t>
            </w:r>
          </w:p>
          <w:p w14:paraId="7979F03B" w14:textId="77777777" w:rsidR="00E040E4" w:rsidRPr="00E040E4" w:rsidRDefault="00E040E4" w:rsidP="00E040E4">
            <w:pPr>
              <w:pStyle w:val="ListParagraph"/>
              <w:numPr>
                <w:ilvl w:val="0"/>
                <w:numId w:val="45"/>
              </w:numPr>
              <w:ind w:left="454"/>
              <w:jc w:val="both"/>
              <w:rPr>
                <w:rFonts w:ascii="Tahoma" w:hAnsi="Tahoma" w:cs="Tahoma"/>
              </w:rPr>
            </w:pPr>
            <w:r w:rsidRPr="00E040E4">
              <w:rPr>
                <w:rFonts w:ascii="Tahoma" w:hAnsi="Tahoma" w:cs="Tahoma"/>
              </w:rPr>
              <w:t>By creating a distinct petroleum-specific framework, separate from mining laws, it removes legal ambiguity and boosts investor confidence, positioning India as a competitive and secure destination for global upstream investment.</w:t>
            </w:r>
          </w:p>
          <w:p w14:paraId="59D4D45A" w14:textId="260A3A06" w:rsidR="005457B8" w:rsidRPr="00040065" w:rsidRDefault="005457B8" w:rsidP="000F5CA9">
            <w:pPr>
              <w:jc w:val="both"/>
              <w:rPr>
                <w:rFonts w:ascii="Tahoma" w:hAnsi="Tahoma" w:cs="Tahoma"/>
                <w:lang w:val="en-US"/>
              </w:rPr>
            </w:pPr>
          </w:p>
        </w:tc>
      </w:tr>
      <w:tr w:rsidR="002E7B37" w:rsidRPr="00040065" w14:paraId="12857B01" w14:textId="77777777" w:rsidTr="002E7B37">
        <w:trPr>
          <w:trHeight w:val="1058"/>
        </w:trPr>
        <w:tc>
          <w:tcPr>
            <w:tcW w:w="3256" w:type="dxa"/>
          </w:tcPr>
          <w:p w14:paraId="7C0FC101" w14:textId="090F34EE" w:rsidR="002E7B37" w:rsidRPr="00092EAE" w:rsidRDefault="002E7B37" w:rsidP="002E7B37">
            <w:pPr>
              <w:jc w:val="both"/>
              <w:rPr>
                <w:rFonts w:ascii="Tahoma" w:hAnsi="Tahoma" w:cs="Tahoma"/>
                <w:i/>
                <w:iCs/>
              </w:rPr>
            </w:pPr>
            <w:r w:rsidRPr="00040065">
              <w:rPr>
                <w:rFonts w:ascii="Tahoma" w:hAnsi="Tahoma" w:cs="Tahoma"/>
                <w:i/>
                <w:iCs/>
              </w:rPr>
              <w:t>Q.(</w:t>
            </w:r>
            <w:r>
              <w:rPr>
                <w:rFonts w:ascii="Tahoma" w:hAnsi="Tahoma" w:cs="Tahoma"/>
                <w:i/>
                <w:iCs/>
              </w:rPr>
              <w:t>d</w:t>
            </w:r>
            <w:r w:rsidRPr="00040065">
              <w:rPr>
                <w:rFonts w:ascii="Tahoma" w:hAnsi="Tahoma" w:cs="Tahoma"/>
                <w:i/>
                <w:iCs/>
              </w:rPr>
              <w:t xml:space="preserve">) </w:t>
            </w:r>
            <w:r w:rsidRPr="002E7B37">
              <w:rPr>
                <w:rFonts w:ascii="Tahoma" w:hAnsi="Tahoma" w:cs="Tahoma"/>
                <w:i/>
                <w:iCs/>
              </w:rPr>
              <w:t>whether the Act has stringent provisions for non-compliance with terms &amp; conditions of lease/contracts</w:t>
            </w:r>
          </w:p>
          <w:p w14:paraId="23BB5036" w14:textId="77777777" w:rsidR="002E7B37" w:rsidRPr="00040065" w:rsidRDefault="002E7B37" w:rsidP="00092EAE">
            <w:pPr>
              <w:jc w:val="both"/>
              <w:rPr>
                <w:rFonts w:ascii="Tahoma" w:hAnsi="Tahoma" w:cs="Tahoma"/>
                <w:i/>
                <w:iCs/>
              </w:rPr>
            </w:pPr>
          </w:p>
        </w:tc>
        <w:tc>
          <w:tcPr>
            <w:tcW w:w="6945" w:type="dxa"/>
          </w:tcPr>
          <w:p w14:paraId="5E88EDAB" w14:textId="3D10C128" w:rsidR="002E7B37" w:rsidRPr="00040065" w:rsidRDefault="002E7B37" w:rsidP="002E7B37">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7B2528C" w14:textId="08363A67" w:rsidR="00E040E4" w:rsidRPr="00E040E4" w:rsidRDefault="00E040E4" w:rsidP="00E040E4">
            <w:pPr>
              <w:spacing w:after="120"/>
              <w:jc w:val="both"/>
              <w:rPr>
                <w:rFonts w:ascii="Tahoma" w:hAnsi="Tahoma" w:cs="Tahoma"/>
              </w:rPr>
            </w:pPr>
            <w:r>
              <w:rPr>
                <w:rFonts w:ascii="Tahoma" w:hAnsi="Tahoma" w:cs="Tahoma"/>
              </w:rPr>
              <w:t>The amended ORDA Act has provisions for imposition of s</w:t>
            </w:r>
            <w:r w:rsidRPr="00E040E4">
              <w:rPr>
                <w:rFonts w:ascii="Tahoma" w:hAnsi="Tahoma" w:cs="Tahoma"/>
              </w:rPr>
              <w:t xml:space="preserve">tringent Monetary Penalties </w:t>
            </w:r>
            <w:r>
              <w:rPr>
                <w:rFonts w:ascii="Tahoma" w:hAnsi="Tahoma" w:cs="Tahoma"/>
              </w:rPr>
              <w:t xml:space="preserve">as </w:t>
            </w:r>
            <w:proofErr w:type="spellStart"/>
            <w:r>
              <w:rPr>
                <w:rFonts w:ascii="Tahoma" w:hAnsi="Tahoma" w:cs="Tahoma"/>
              </w:rPr>
              <w:t>pr</w:t>
            </w:r>
            <w:proofErr w:type="spellEnd"/>
            <w:r>
              <w:rPr>
                <w:rFonts w:ascii="Tahoma" w:hAnsi="Tahoma" w:cs="Tahoma"/>
              </w:rPr>
              <w:t xml:space="preserve"> the following </w:t>
            </w:r>
          </w:p>
          <w:p w14:paraId="4F159734" w14:textId="77777777" w:rsidR="00E040E4" w:rsidRPr="00E040E4" w:rsidRDefault="00E040E4" w:rsidP="00E040E4">
            <w:pPr>
              <w:spacing w:after="120"/>
              <w:jc w:val="both"/>
              <w:rPr>
                <w:rFonts w:ascii="Tahoma" w:hAnsi="Tahoma" w:cs="Tahoma"/>
              </w:rPr>
            </w:pPr>
            <w:r w:rsidRPr="00E040E4">
              <w:rPr>
                <w:rFonts w:ascii="Tahoma" w:hAnsi="Tahoma" w:cs="Tahoma"/>
              </w:rPr>
              <w:t>Significant financial fines, up to ₹25 lakh, are now imposed for key violations, including:</w:t>
            </w:r>
          </w:p>
          <w:p w14:paraId="0A5697A3" w14:textId="4C4E1823" w:rsidR="00E040E4" w:rsidRPr="00E040E4" w:rsidRDefault="00E040E4" w:rsidP="00E040E4">
            <w:pPr>
              <w:pStyle w:val="ListParagraph"/>
              <w:numPr>
                <w:ilvl w:val="0"/>
                <w:numId w:val="47"/>
              </w:numPr>
              <w:spacing w:after="120"/>
              <w:ind w:left="737" w:hanging="425"/>
              <w:jc w:val="both"/>
              <w:rPr>
                <w:rFonts w:ascii="Tahoma" w:hAnsi="Tahoma" w:cs="Tahoma"/>
              </w:rPr>
            </w:pPr>
            <w:r w:rsidRPr="00E040E4">
              <w:rPr>
                <w:rFonts w:ascii="Tahoma" w:hAnsi="Tahoma" w:cs="Tahoma"/>
              </w:rPr>
              <w:t>Operating without a valid petroleum lease (per Section 4A).</w:t>
            </w:r>
          </w:p>
          <w:p w14:paraId="3703F15A" w14:textId="23497FD2" w:rsidR="00E040E4" w:rsidRPr="00E040E4" w:rsidRDefault="00E040E4" w:rsidP="00E040E4">
            <w:pPr>
              <w:pStyle w:val="ListParagraph"/>
              <w:numPr>
                <w:ilvl w:val="0"/>
                <w:numId w:val="47"/>
              </w:numPr>
              <w:spacing w:after="120"/>
              <w:ind w:left="454" w:hanging="142"/>
              <w:jc w:val="both"/>
              <w:rPr>
                <w:rFonts w:ascii="Tahoma" w:hAnsi="Tahoma" w:cs="Tahoma"/>
              </w:rPr>
            </w:pPr>
            <w:r w:rsidRPr="00E040E4">
              <w:rPr>
                <w:rFonts w:ascii="Tahoma" w:hAnsi="Tahoma" w:cs="Tahoma"/>
              </w:rPr>
              <w:t>Failure to pay royalties (Sections 6A (1) and 6</w:t>
            </w:r>
            <w:proofErr w:type="gramStart"/>
            <w:r w:rsidRPr="00E040E4">
              <w:rPr>
                <w:rFonts w:ascii="Tahoma" w:hAnsi="Tahoma" w:cs="Tahoma"/>
              </w:rPr>
              <w:t>A(</w:t>
            </w:r>
            <w:proofErr w:type="gramEnd"/>
            <w:r w:rsidRPr="00E040E4">
              <w:rPr>
                <w:rFonts w:ascii="Tahoma" w:hAnsi="Tahoma" w:cs="Tahoma"/>
              </w:rPr>
              <w:t>2))</w:t>
            </w:r>
          </w:p>
          <w:p w14:paraId="6400ECB3" w14:textId="08ABA8E1" w:rsidR="002E7B37" w:rsidRPr="00E040E4" w:rsidRDefault="00E040E4" w:rsidP="005457B8">
            <w:pPr>
              <w:spacing w:after="120"/>
              <w:jc w:val="both"/>
              <w:rPr>
                <w:rFonts w:ascii="Tahoma" w:hAnsi="Tahoma" w:cs="Tahoma"/>
                <w:lang w:val="en-US"/>
              </w:rPr>
            </w:pPr>
            <w:r w:rsidRPr="00E040E4">
              <w:rPr>
                <w:rFonts w:ascii="Tahoma" w:hAnsi="Tahoma" w:cs="Tahoma"/>
              </w:rPr>
              <w:t>Continued violations of the above are subject to daily fines of up to ₹10 lakh per day</w:t>
            </w:r>
          </w:p>
        </w:tc>
      </w:tr>
      <w:tr w:rsidR="002E7B37" w:rsidRPr="00040065" w14:paraId="117051E4" w14:textId="77777777" w:rsidTr="00006BF3">
        <w:trPr>
          <w:trHeight w:val="1130"/>
        </w:trPr>
        <w:tc>
          <w:tcPr>
            <w:tcW w:w="3256" w:type="dxa"/>
          </w:tcPr>
          <w:p w14:paraId="61D38901" w14:textId="5A4F5BD8" w:rsidR="002E7B37" w:rsidRPr="00040065" w:rsidRDefault="002E7B37" w:rsidP="00092EAE">
            <w:pPr>
              <w:jc w:val="both"/>
              <w:rPr>
                <w:rFonts w:ascii="Tahoma" w:hAnsi="Tahoma" w:cs="Tahoma"/>
                <w:i/>
                <w:iCs/>
              </w:rPr>
            </w:pPr>
            <w:r w:rsidRPr="00040065">
              <w:rPr>
                <w:rFonts w:ascii="Tahoma" w:hAnsi="Tahoma" w:cs="Tahoma"/>
                <w:i/>
                <w:iCs/>
              </w:rPr>
              <w:t>Q.(</w:t>
            </w:r>
            <w:r>
              <w:rPr>
                <w:rFonts w:ascii="Tahoma" w:hAnsi="Tahoma" w:cs="Tahoma"/>
                <w:i/>
                <w:iCs/>
              </w:rPr>
              <w:t>e</w:t>
            </w:r>
            <w:r w:rsidRPr="00040065">
              <w:rPr>
                <w:rFonts w:ascii="Tahoma" w:hAnsi="Tahoma" w:cs="Tahoma"/>
                <w:i/>
                <w:iCs/>
              </w:rPr>
              <w:t xml:space="preserve">) </w:t>
            </w:r>
            <w:r w:rsidRPr="002E7B37">
              <w:rPr>
                <w:rFonts w:ascii="Tahoma" w:hAnsi="Tahoma" w:cs="Tahoma"/>
                <w:i/>
                <w:iCs/>
              </w:rPr>
              <w:t>what will be its impact on the industry and in attracting foreign investment?</w:t>
            </w:r>
          </w:p>
        </w:tc>
        <w:tc>
          <w:tcPr>
            <w:tcW w:w="6945" w:type="dxa"/>
          </w:tcPr>
          <w:p w14:paraId="4612A6BE" w14:textId="0E3D5CF4" w:rsidR="002E7B37" w:rsidRPr="00040065" w:rsidRDefault="002E7B37" w:rsidP="002E7B37">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e</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B3BD53E" w14:textId="1F73A3CF" w:rsidR="002E7B37" w:rsidRPr="00040065" w:rsidRDefault="00E040E4" w:rsidP="005457B8">
            <w:pPr>
              <w:spacing w:after="120"/>
              <w:jc w:val="both"/>
              <w:rPr>
                <w:rFonts w:ascii="Tahoma" w:hAnsi="Tahoma" w:cs="Tahoma"/>
                <w:b/>
                <w:lang w:val="en-US"/>
              </w:rPr>
            </w:pPr>
            <w:r w:rsidRPr="00E040E4">
              <w:rPr>
                <w:rFonts w:ascii="Tahoma" w:hAnsi="Tahoma" w:cs="Tahoma"/>
                <w:bCs/>
              </w:rPr>
              <w:t xml:space="preserve">The ORDA (Amendment) Act, 2025 modernises India’s upstream framework, offering regulatory clarity, predictable lease terms, and streamlined approvals through a single petroleum lease regime. Inclusion of unconventional hydrocarbons like CBM, shale, and gas hydrates expands commercial scope, while infrastructure and data sharing lower costs and speed up operations. Transitioning from </w:t>
            </w:r>
            <w:r w:rsidRPr="00E040E4">
              <w:rPr>
                <w:rFonts w:ascii="Tahoma" w:hAnsi="Tahoma" w:cs="Tahoma"/>
                <w:bCs/>
              </w:rPr>
              <w:lastRenderedPageBreak/>
              <w:t>criminal to civil penalties reduces legal risk, fostering a more investor-friendly climate. For foreign players, transparent renewal, structured dispute resolution, and ESG-aligned provisions—such as allowing renewable and decarbonisation activities in lease areas—enhance confidence and align with global norms. These reforms reduce entry barriers, improve policy stability, and signal India’s intent to be a competitive, low-risk, opportunity-rich upstream investment destination, boosting both domestic operations and foreign participation.</w:t>
            </w:r>
          </w:p>
        </w:tc>
      </w:tr>
    </w:tbl>
    <w:p w14:paraId="23352F1B" w14:textId="6E4325AC"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lastRenderedPageBreak/>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F2925"/>
    <w:multiLevelType w:val="hybridMultilevel"/>
    <w:tmpl w:val="8E0AC0EA"/>
    <w:lvl w:ilvl="0" w:tplc="DE32B31A">
      <w:start w:val="1"/>
      <w:numFmt w:val="low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8C45429"/>
    <w:multiLevelType w:val="hybridMultilevel"/>
    <w:tmpl w:val="499AF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A95B0F"/>
    <w:multiLevelType w:val="hybridMultilevel"/>
    <w:tmpl w:val="44EC8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4C7BE4"/>
    <w:multiLevelType w:val="multilevel"/>
    <w:tmpl w:val="354C1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9"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7"/>
  </w:num>
  <w:num w:numId="2">
    <w:abstractNumId w:val="15"/>
  </w:num>
  <w:num w:numId="3">
    <w:abstractNumId w:val="14"/>
  </w:num>
  <w:num w:numId="4">
    <w:abstractNumId w:val="0"/>
  </w:num>
  <w:num w:numId="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3"/>
  </w:num>
  <w:num w:numId="7">
    <w:abstractNumId w:val="11"/>
  </w:num>
  <w:num w:numId="8">
    <w:abstractNumId w:val="17"/>
  </w:num>
  <w:num w:numId="9">
    <w:abstractNumId w:val="29"/>
  </w:num>
  <w:num w:numId="10">
    <w:abstractNumId w:val="45"/>
  </w:num>
  <w:num w:numId="11">
    <w:abstractNumId w:val="27"/>
  </w:num>
  <w:num w:numId="12">
    <w:abstractNumId w:val="25"/>
  </w:num>
  <w:num w:numId="13">
    <w:abstractNumId w:val="38"/>
  </w:num>
  <w:num w:numId="14">
    <w:abstractNumId w:val="31"/>
  </w:num>
  <w:num w:numId="15">
    <w:abstractNumId w:val="40"/>
  </w:num>
  <w:num w:numId="16">
    <w:abstractNumId w:val="23"/>
  </w:num>
  <w:num w:numId="17">
    <w:abstractNumId w:val="24"/>
  </w:num>
  <w:num w:numId="18">
    <w:abstractNumId w:val="19"/>
  </w:num>
  <w:num w:numId="19">
    <w:abstractNumId w:val="34"/>
  </w:num>
  <w:num w:numId="20">
    <w:abstractNumId w:val="36"/>
  </w:num>
  <w:num w:numId="21">
    <w:abstractNumId w:val="8"/>
  </w:num>
  <w:num w:numId="22">
    <w:abstractNumId w:val="44"/>
  </w:num>
  <w:num w:numId="23">
    <w:abstractNumId w:val="32"/>
  </w:num>
  <w:num w:numId="24">
    <w:abstractNumId w:val="26"/>
  </w:num>
  <w:num w:numId="25">
    <w:abstractNumId w:val="16"/>
  </w:num>
  <w:num w:numId="26">
    <w:abstractNumId w:val="13"/>
  </w:num>
  <w:num w:numId="27">
    <w:abstractNumId w:val="5"/>
  </w:num>
  <w:num w:numId="28">
    <w:abstractNumId w:val="39"/>
  </w:num>
  <w:num w:numId="29">
    <w:abstractNumId w:val="41"/>
  </w:num>
  <w:num w:numId="3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30"/>
    <w:lvlOverride w:ilvl="0">
      <w:startOverride w:val="1"/>
    </w:lvlOverride>
    <w:lvlOverride w:ilvl="1"/>
    <w:lvlOverride w:ilvl="2"/>
    <w:lvlOverride w:ilvl="3"/>
    <w:lvlOverride w:ilvl="4"/>
    <w:lvlOverride w:ilvl="5"/>
    <w:lvlOverride w:ilvl="6"/>
    <w:lvlOverride w:ilvl="7"/>
    <w:lvlOverride w:ilvl="8"/>
  </w:num>
  <w:num w:numId="33">
    <w:abstractNumId w:val="21"/>
  </w:num>
  <w:num w:numId="34">
    <w:abstractNumId w:val="35"/>
  </w:num>
  <w:num w:numId="35">
    <w:abstractNumId w:val="43"/>
  </w:num>
  <w:num w:numId="36">
    <w:abstractNumId w:val="20"/>
  </w:num>
  <w:num w:numId="37">
    <w:abstractNumId w:val="2"/>
  </w:num>
  <w:num w:numId="38">
    <w:abstractNumId w:val="1"/>
  </w:num>
  <w:num w:numId="39">
    <w:abstractNumId w:val="9"/>
  </w:num>
  <w:num w:numId="40">
    <w:abstractNumId w:val="28"/>
  </w:num>
  <w:num w:numId="41">
    <w:abstractNumId w:val="37"/>
  </w:num>
  <w:num w:numId="42">
    <w:abstractNumId w:val="42"/>
  </w:num>
  <w:num w:numId="43">
    <w:abstractNumId w:val="18"/>
  </w:num>
  <w:num w:numId="44">
    <w:abstractNumId w:val="6"/>
  </w:num>
  <w:num w:numId="45">
    <w:abstractNumId w:val="10"/>
  </w:num>
  <w:num w:numId="46">
    <w:abstractNumId w:val="12"/>
  </w:num>
  <w:num w:numId="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06BF3"/>
    <w:rsid w:val="00006D62"/>
    <w:rsid w:val="000205D2"/>
    <w:rsid w:val="00040065"/>
    <w:rsid w:val="0004741A"/>
    <w:rsid w:val="0005506B"/>
    <w:rsid w:val="0006232A"/>
    <w:rsid w:val="000715A3"/>
    <w:rsid w:val="00071650"/>
    <w:rsid w:val="000730D5"/>
    <w:rsid w:val="0007784F"/>
    <w:rsid w:val="00092EAE"/>
    <w:rsid w:val="000977F8"/>
    <w:rsid w:val="000A09A2"/>
    <w:rsid w:val="000A2F38"/>
    <w:rsid w:val="000B6878"/>
    <w:rsid w:val="000B717E"/>
    <w:rsid w:val="000C27A5"/>
    <w:rsid w:val="000C5232"/>
    <w:rsid w:val="000C5B3E"/>
    <w:rsid w:val="000C6499"/>
    <w:rsid w:val="000C6679"/>
    <w:rsid w:val="000C780F"/>
    <w:rsid w:val="000F07AB"/>
    <w:rsid w:val="000F5C49"/>
    <w:rsid w:val="000F5CA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03BB6"/>
    <w:rsid w:val="002254E2"/>
    <w:rsid w:val="00230158"/>
    <w:rsid w:val="00235041"/>
    <w:rsid w:val="00246075"/>
    <w:rsid w:val="00261595"/>
    <w:rsid w:val="002618BC"/>
    <w:rsid w:val="002639D6"/>
    <w:rsid w:val="00265CDC"/>
    <w:rsid w:val="00284B8F"/>
    <w:rsid w:val="00287BE4"/>
    <w:rsid w:val="002938BE"/>
    <w:rsid w:val="002A7B0E"/>
    <w:rsid w:val="002B36D7"/>
    <w:rsid w:val="002C07CD"/>
    <w:rsid w:val="002C2F3A"/>
    <w:rsid w:val="002E2DA8"/>
    <w:rsid w:val="002E5790"/>
    <w:rsid w:val="002E61F1"/>
    <w:rsid w:val="002E7B37"/>
    <w:rsid w:val="002E7EBA"/>
    <w:rsid w:val="002F2731"/>
    <w:rsid w:val="002F3F8D"/>
    <w:rsid w:val="002F5F62"/>
    <w:rsid w:val="0030475B"/>
    <w:rsid w:val="00312D2B"/>
    <w:rsid w:val="003179D3"/>
    <w:rsid w:val="0032755B"/>
    <w:rsid w:val="00335C1C"/>
    <w:rsid w:val="00345A27"/>
    <w:rsid w:val="00346153"/>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92206"/>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34AF9"/>
    <w:rsid w:val="005457B8"/>
    <w:rsid w:val="00551830"/>
    <w:rsid w:val="0055185D"/>
    <w:rsid w:val="00556073"/>
    <w:rsid w:val="00562579"/>
    <w:rsid w:val="005632FA"/>
    <w:rsid w:val="0056541D"/>
    <w:rsid w:val="00567201"/>
    <w:rsid w:val="00575BE9"/>
    <w:rsid w:val="005765F5"/>
    <w:rsid w:val="005859CE"/>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274"/>
    <w:rsid w:val="00671E00"/>
    <w:rsid w:val="0067744F"/>
    <w:rsid w:val="006914A0"/>
    <w:rsid w:val="006A0F75"/>
    <w:rsid w:val="006A2B11"/>
    <w:rsid w:val="006A734A"/>
    <w:rsid w:val="006A7AF4"/>
    <w:rsid w:val="006B5433"/>
    <w:rsid w:val="006C405C"/>
    <w:rsid w:val="006D360F"/>
    <w:rsid w:val="006E5B6B"/>
    <w:rsid w:val="006F2F7A"/>
    <w:rsid w:val="006F5F9D"/>
    <w:rsid w:val="00700063"/>
    <w:rsid w:val="00702DC3"/>
    <w:rsid w:val="00705E51"/>
    <w:rsid w:val="00707A79"/>
    <w:rsid w:val="007102AE"/>
    <w:rsid w:val="00715CA5"/>
    <w:rsid w:val="00724C3D"/>
    <w:rsid w:val="00740739"/>
    <w:rsid w:val="007420CA"/>
    <w:rsid w:val="00744E45"/>
    <w:rsid w:val="0075600F"/>
    <w:rsid w:val="007566E9"/>
    <w:rsid w:val="007601BC"/>
    <w:rsid w:val="00787588"/>
    <w:rsid w:val="007918D9"/>
    <w:rsid w:val="007A218C"/>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363A9"/>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623B"/>
    <w:rsid w:val="00A322D4"/>
    <w:rsid w:val="00A36610"/>
    <w:rsid w:val="00A3735E"/>
    <w:rsid w:val="00A40A9F"/>
    <w:rsid w:val="00A4127B"/>
    <w:rsid w:val="00A41779"/>
    <w:rsid w:val="00A41B22"/>
    <w:rsid w:val="00A44788"/>
    <w:rsid w:val="00A44F46"/>
    <w:rsid w:val="00A5073A"/>
    <w:rsid w:val="00A67BEF"/>
    <w:rsid w:val="00A83A36"/>
    <w:rsid w:val="00A92834"/>
    <w:rsid w:val="00AA359F"/>
    <w:rsid w:val="00AE10C1"/>
    <w:rsid w:val="00B234E6"/>
    <w:rsid w:val="00B32638"/>
    <w:rsid w:val="00B3384E"/>
    <w:rsid w:val="00B355C9"/>
    <w:rsid w:val="00B43D2A"/>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0DE4"/>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40E4"/>
    <w:rsid w:val="00E06B03"/>
    <w:rsid w:val="00E14F53"/>
    <w:rsid w:val="00E339E5"/>
    <w:rsid w:val="00E36BCC"/>
    <w:rsid w:val="00E37BCB"/>
    <w:rsid w:val="00E44632"/>
    <w:rsid w:val="00E454EE"/>
    <w:rsid w:val="00E74050"/>
    <w:rsid w:val="00E869E0"/>
    <w:rsid w:val="00E87FA9"/>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641AE"/>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styleId="Hyperlink">
    <w:name w:val="Hyperlink"/>
    <w:basedOn w:val="DefaultParagraphFont"/>
    <w:uiPriority w:val="99"/>
    <w:unhideWhenUsed/>
    <w:rsid w:val="00F641AE"/>
    <w:rPr>
      <w:color w:val="0000FF" w:themeColor="hyperlink"/>
      <w:u w:val="single"/>
    </w:rPr>
  </w:style>
  <w:style w:type="character" w:styleId="UnresolvedMention">
    <w:name w:val="Unresolved Mention"/>
    <w:basedOn w:val="DefaultParagraphFont"/>
    <w:uiPriority w:val="99"/>
    <w:semiHidden/>
    <w:unhideWhenUsed/>
    <w:rsid w:val="00F64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2553705">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1533355">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21171673">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45533841">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75424683">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48623239">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60937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762934">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3390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920226">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36396515">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46505226">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11260493">
      <w:bodyDiv w:val="1"/>
      <w:marLeft w:val="0"/>
      <w:marRight w:val="0"/>
      <w:marTop w:val="0"/>
      <w:marBottom w:val="0"/>
      <w:divBdr>
        <w:top w:val="none" w:sz="0" w:space="0" w:color="auto"/>
        <w:left w:val="none" w:sz="0" w:space="0" w:color="auto"/>
        <w:bottom w:val="none" w:sz="0" w:space="0" w:color="auto"/>
        <w:right w:val="none" w:sz="0" w:space="0" w:color="auto"/>
      </w:divBdr>
    </w:div>
    <w:div w:id="1243444682">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5058096">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50319825">
      <w:bodyDiv w:val="1"/>
      <w:marLeft w:val="0"/>
      <w:marRight w:val="0"/>
      <w:marTop w:val="0"/>
      <w:marBottom w:val="0"/>
      <w:divBdr>
        <w:top w:val="none" w:sz="0" w:space="0" w:color="auto"/>
        <w:left w:val="none" w:sz="0" w:space="0" w:color="auto"/>
        <w:bottom w:val="none" w:sz="0" w:space="0" w:color="auto"/>
        <w:right w:val="none" w:sz="0" w:space="0" w:color="auto"/>
      </w:divBdr>
      <w:divsChild>
        <w:div w:id="1300769804">
          <w:marLeft w:val="0"/>
          <w:marRight w:val="0"/>
          <w:marTop w:val="0"/>
          <w:marBottom w:val="0"/>
          <w:divBdr>
            <w:top w:val="none" w:sz="0" w:space="0" w:color="auto"/>
            <w:left w:val="none" w:sz="0" w:space="0" w:color="auto"/>
            <w:bottom w:val="none" w:sz="0" w:space="0" w:color="auto"/>
            <w:right w:val="none" w:sz="0" w:space="0" w:color="auto"/>
          </w:divBdr>
          <w:divsChild>
            <w:div w:id="15529617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3035426">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28253509">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34868915">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3280997">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18926556">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48411365">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4.xml><?xml version="1.0" encoding="utf-8"?>
<ds:datastoreItem xmlns:ds="http://schemas.openxmlformats.org/officeDocument/2006/customXml" ds:itemID="{82B8FBB9-07CE-49E0-9813-8D6808FE1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2025-08-05T10:25:00Z</cp:lastPrinted>
  <dcterms:created xsi:type="dcterms:W3CDTF">2025-08-12T05:33:00Z</dcterms:created>
  <dcterms:modified xsi:type="dcterms:W3CDTF">2025-08-12T05:33:00Z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