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5E4BBB30"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FE1753">
        <w:rPr>
          <w:rFonts w:ascii="Tahoma" w:hAnsi="Tahoma" w:cs="Tahoma"/>
          <w:b/>
          <w:lang w:val="en-US"/>
        </w:rPr>
        <w:t>1</w:t>
      </w:r>
      <w:r w:rsidR="00FB18A4">
        <w:rPr>
          <w:rFonts w:ascii="Tahoma" w:hAnsi="Tahoma" w:cs="Tahoma"/>
          <w:b/>
          <w:lang w:val="en-US"/>
        </w:rPr>
        <w:t>3</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7458">
        <w:rPr>
          <w:rFonts w:ascii="Tahoma" w:hAnsi="Tahoma" w:cs="Tahoma"/>
          <w:b/>
          <w:lang w:val="en-US"/>
        </w:rPr>
        <w:t>20</w:t>
      </w:r>
      <w:r w:rsidR="00C87458" w:rsidRPr="00C87458">
        <w:rPr>
          <w:rFonts w:ascii="Tahoma" w:hAnsi="Tahoma" w:cs="Tahoma"/>
          <w:b/>
          <w:vertAlign w:val="superscript"/>
          <w:lang w:val="en-US"/>
        </w:rPr>
        <w:t>th</w:t>
      </w:r>
      <w:r w:rsidR="00C87458">
        <w:rPr>
          <w:rFonts w:ascii="Tahoma" w:hAnsi="Tahoma" w:cs="Tahoma"/>
          <w:b/>
          <w:lang w:val="en-US"/>
        </w:rPr>
        <w:t xml:space="preserve"> November</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6AB7E77F" w14:textId="77777777" w:rsidR="00F61966" w:rsidRPr="00FF5760" w:rsidRDefault="00F61966" w:rsidP="00F61966">
      <w:pPr>
        <w:spacing w:after="0"/>
        <w:ind w:right="-482"/>
        <w:rPr>
          <w:rFonts w:ascii="Tahoma" w:hAnsi="Tahoma" w:cs="Tahoma"/>
          <w:b/>
          <w:bCs/>
          <w:u w:val="single"/>
          <w:lang w:val="en-US"/>
        </w:rPr>
      </w:pPr>
      <w:r w:rsidRPr="00FF5760">
        <w:rPr>
          <w:rFonts w:ascii="Tahoma" w:hAnsi="Tahoma" w:cs="Tahoma"/>
          <w:b/>
          <w:bCs/>
          <w:u w:val="single"/>
          <w:lang w:val="en-US"/>
        </w:rPr>
        <w:t xml:space="preserve">New Delhi - 110001                                                                                                    </w:t>
      </w:r>
    </w:p>
    <w:p w14:paraId="6BFCBBA0" w14:textId="5E8CC0E0" w:rsidR="00654ECF" w:rsidRPr="00040065" w:rsidRDefault="00654ECF" w:rsidP="00C42C3F">
      <w:pPr>
        <w:spacing w:after="0"/>
        <w:rPr>
          <w:rFonts w:ascii="Tahoma" w:hAnsi="Tahoma" w:cs="Tahoma"/>
          <w:u w:val="single"/>
          <w:lang w:val="en-US"/>
        </w:rPr>
      </w:pPr>
    </w:p>
    <w:p w14:paraId="4916B0EA" w14:textId="62788164" w:rsidR="007B0204" w:rsidRDefault="00506AF9" w:rsidP="007B0204">
      <w:pPr>
        <w:spacing w:after="0"/>
        <w:ind w:right="-482"/>
        <w:rPr>
          <w:rFonts w:ascii="Tahoma" w:hAnsi="Tahoma" w:cs="Tahoma"/>
          <w:bCs/>
          <w:u w:val="single"/>
        </w:rPr>
      </w:pPr>
      <w:r w:rsidRPr="00040065">
        <w:rPr>
          <w:rFonts w:ascii="Tahoma" w:hAnsi="Tahoma" w:cs="Tahoma"/>
          <w:b/>
          <w:lang w:val="en-US"/>
        </w:rPr>
        <w:t xml:space="preserve">              </w:t>
      </w:r>
      <w:r w:rsidR="002F2731" w:rsidRPr="00040065">
        <w:rPr>
          <w:rFonts w:ascii="Tahoma" w:hAnsi="Tahoma" w:cs="Tahoma"/>
          <w:b/>
          <w:lang w:val="en-US"/>
        </w:rPr>
        <w:t xml:space="preserve">                      </w:t>
      </w:r>
      <w:r w:rsidR="007B0204">
        <w:rPr>
          <w:rFonts w:ascii="Tahoma" w:hAnsi="Tahoma" w:cs="Tahoma"/>
          <w:b/>
          <w:lang w:val="en-US"/>
        </w:rPr>
        <w:t xml:space="preserve">                                   </w:t>
      </w:r>
      <w:r w:rsidR="00FB6DE1">
        <w:rPr>
          <w:rFonts w:ascii="Tahoma" w:hAnsi="Tahoma" w:cs="Tahoma"/>
          <w:b/>
          <w:lang w:val="en-US"/>
        </w:rPr>
        <w:t xml:space="preserve">                              </w:t>
      </w:r>
      <w:r w:rsidR="007B0204">
        <w:rPr>
          <w:rFonts w:ascii="Tahoma" w:hAnsi="Tahoma" w:cs="Tahoma"/>
          <w:b/>
          <w:lang w:val="en-US"/>
        </w:rPr>
        <w:t xml:space="preserve"> </w:t>
      </w:r>
      <w:r w:rsidR="000C6679" w:rsidRPr="00040065">
        <w:rPr>
          <w:rFonts w:ascii="Tahoma" w:hAnsi="Tahoma" w:cs="Tahoma"/>
          <w:b/>
          <w:lang w:val="en-US"/>
        </w:rPr>
        <w:t>Kind Attn:</w:t>
      </w:r>
      <w:r w:rsidR="007B0204">
        <w:rPr>
          <w:rFonts w:ascii="Tahoma" w:hAnsi="Tahoma" w:cs="Tahoma"/>
          <w:bCs/>
        </w:rPr>
        <w:t xml:space="preserve"> </w:t>
      </w:r>
      <w:r w:rsidR="007B0204">
        <w:rPr>
          <w:rFonts w:ascii="Tahoma" w:hAnsi="Tahoma" w:cs="Tahoma"/>
          <w:b/>
          <w:u w:val="single"/>
        </w:rPr>
        <w:t>SO</w:t>
      </w:r>
      <w:r w:rsidR="007B0204" w:rsidRPr="007B0204">
        <w:rPr>
          <w:rFonts w:ascii="Tahoma" w:hAnsi="Tahoma" w:cs="Tahoma"/>
          <w:b/>
          <w:u w:val="single"/>
        </w:rPr>
        <w:t xml:space="preserve"> (</w:t>
      </w:r>
      <w:r w:rsidR="00FB6DE1">
        <w:rPr>
          <w:rFonts w:ascii="Tahoma" w:hAnsi="Tahoma" w:cs="Tahoma"/>
          <w:b/>
          <w:u w:val="single"/>
        </w:rPr>
        <w:t>GP Division</w:t>
      </w:r>
      <w:r w:rsidR="007B0204" w:rsidRPr="007B0204">
        <w:rPr>
          <w:rFonts w:ascii="Tahoma" w:hAnsi="Tahoma" w:cs="Tahoma"/>
          <w:b/>
          <w:u w:val="single"/>
        </w:rPr>
        <w:t>)</w:t>
      </w:r>
    </w:p>
    <w:p w14:paraId="431E71B8" w14:textId="18D1F0FC" w:rsidR="0020483F" w:rsidRPr="0020483F" w:rsidRDefault="0020483F" w:rsidP="0020483F">
      <w:pPr>
        <w:spacing w:after="0"/>
        <w:ind w:right="-482"/>
        <w:jc w:val="center"/>
        <w:rPr>
          <w:rFonts w:ascii="Tahoma" w:hAnsi="Tahoma" w:cs="Tahoma"/>
          <w:b/>
        </w:rPr>
      </w:pPr>
    </w:p>
    <w:p w14:paraId="24F1D845" w14:textId="12C23778"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85652B">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FB6DE1">
        <w:rPr>
          <w:rFonts w:ascii="Tahoma" w:hAnsi="Tahoma" w:cs="Tahoma"/>
          <w:b/>
          <w:bCs/>
        </w:rPr>
        <w:t>S</w:t>
      </w:r>
      <w:r w:rsidR="00FB18A4">
        <w:rPr>
          <w:rFonts w:ascii="Tahoma" w:hAnsi="Tahoma" w:cs="Tahoma"/>
          <w:b/>
          <w:bCs/>
        </w:rPr>
        <w:t>961</w:t>
      </w:r>
      <w:r w:rsidR="00FE1753">
        <w:rPr>
          <w:rFonts w:ascii="Tahoma" w:hAnsi="Tahoma" w:cs="Tahoma"/>
          <w:b/>
          <w:bCs/>
        </w:rPr>
        <w:t xml:space="preserve"> </w:t>
      </w:r>
      <w:r w:rsidR="00643085" w:rsidRPr="00040065">
        <w:rPr>
          <w:rFonts w:ascii="Tahoma" w:hAnsi="Tahoma" w:cs="Tahoma"/>
          <w:lang w:val="en-US"/>
        </w:rPr>
        <w:t xml:space="preserve">for </w:t>
      </w:r>
      <w:r w:rsidR="00C87458">
        <w:rPr>
          <w:rFonts w:ascii="Tahoma" w:hAnsi="Tahoma" w:cs="Tahoma"/>
          <w:lang w:val="en-US"/>
        </w:rPr>
        <w:t>01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288E82AB"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FB18A4">
        <w:rPr>
          <w:rFonts w:ascii="Tahoma" w:hAnsi="Tahoma" w:cs="Tahoma"/>
          <w:b/>
          <w:bCs/>
        </w:rPr>
        <w:t>Expansion of Compressed Biogas Hubs under SATAT for Rural Energy Sustainability and Waste Management</w:t>
      </w:r>
      <w:r w:rsidR="00311DD9">
        <w:rPr>
          <w:rFonts w:ascii="Tahoma" w:hAnsi="Tahoma" w:cs="Tahoma"/>
          <w:b/>
          <w:bCs/>
        </w:rPr>
        <w:t>”</w:t>
      </w:r>
    </w:p>
    <w:p w14:paraId="3297E00F" w14:textId="372596E3"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FB6DE1">
        <w:rPr>
          <w:rFonts w:ascii="Tahoma" w:hAnsi="Tahoma" w:cs="Tahoma"/>
          <w:lang w:val="en-US"/>
        </w:rPr>
        <w:t>1</w:t>
      </w:r>
      <w:r w:rsidR="00FB18A4">
        <w:rPr>
          <w:rFonts w:ascii="Tahoma" w:hAnsi="Tahoma" w:cs="Tahoma"/>
          <w:lang w:val="en-US"/>
        </w:rPr>
        <w:t>9</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D1B6011"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87458">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E4164E2" w14:textId="77777777" w:rsidR="00C87458" w:rsidRPr="00040065" w:rsidRDefault="00C87458" w:rsidP="00C42C3F">
      <w:pPr>
        <w:spacing w:after="0"/>
        <w:rPr>
          <w:rFonts w:ascii="Tahoma" w:hAnsi="Tahoma" w:cs="Tahoma"/>
          <w:lang w:val="en-US"/>
        </w:rPr>
      </w:pPr>
    </w:p>
    <w:tbl>
      <w:tblPr>
        <w:tblStyle w:val="TableGrid"/>
        <w:tblW w:w="9747" w:type="dxa"/>
        <w:tblLayout w:type="fixed"/>
        <w:tblLook w:val="04A0" w:firstRow="1" w:lastRow="0" w:firstColumn="1" w:lastColumn="0" w:noHBand="0" w:noVBand="1"/>
      </w:tblPr>
      <w:tblGrid>
        <w:gridCol w:w="4673"/>
        <w:gridCol w:w="5074"/>
      </w:tblGrid>
      <w:tr w:rsidR="003E2B73" w:rsidRPr="00040065" w14:paraId="55DD2EA1" w14:textId="77777777" w:rsidTr="00F7545F">
        <w:trPr>
          <w:trHeight w:val="1208"/>
        </w:trPr>
        <w:tc>
          <w:tcPr>
            <w:tcW w:w="4673" w:type="dxa"/>
          </w:tcPr>
          <w:p w14:paraId="4062B524" w14:textId="56D9E98A" w:rsidR="0010195B" w:rsidRPr="00040065" w:rsidRDefault="003E2B73" w:rsidP="0091634E">
            <w:pPr>
              <w:ind w:right="34"/>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6010D3">
              <w:rPr>
                <w:rFonts w:ascii="Tahoma" w:hAnsi="Tahoma" w:cs="Tahoma"/>
                <w:i/>
                <w:iCs/>
              </w:rPr>
              <w:t xml:space="preserve">The approach taken nationally to establish Compressed Biogas (CBG) hubs under the Sustainable Alternative Towards </w:t>
            </w:r>
            <w:proofErr w:type="gramStart"/>
            <w:r w:rsidR="006010D3">
              <w:rPr>
                <w:rFonts w:ascii="Tahoma" w:hAnsi="Tahoma" w:cs="Tahoma"/>
                <w:i/>
                <w:iCs/>
              </w:rPr>
              <w:t>affordable</w:t>
            </w:r>
            <w:proofErr w:type="gramEnd"/>
            <w:r w:rsidR="006010D3">
              <w:rPr>
                <w:rFonts w:ascii="Tahoma" w:hAnsi="Tahoma" w:cs="Tahoma"/>
                <w:i/>
                <w:iCs/>
              </w:rPr>
              <w:t xml:space="preserve"> Transportation (SATAT) initiative, including the number of operational plants, the nature of partnerships with rural entrepreneurs, and the impact on waste-to -energy conversion, clean fuel supply chains, and rural incomes;</w:t>
            </w:r>
            <w:r w:rsidR="0091634E">
              <w:rPr>
                <w:rFonts w:ascii="Tahoma" w:hAnsi="Tahoma" w:cs="Tahoma"/>
                <w:i/>
                <w:iCs/>
              </w:rPr>
              <w:t xml:space="preserve"> </w:t>
            </w:r>
          </w:p>
        </w:tc>
        <w:tc>
          <w:tcPr>
            <w:tcW w:w="5074"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FDDEA62" w14:textId="26F0BBCB" w:rsidR="00CD6DC6" w:rsidRDefault="003C2502" w:rsidP="00C41083">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w:t>
            </w:r>
            <w:r w:rsidR="00525029">
              <w:rPr>
                <w:rFonts w:ascii="Tahoma" w:eastAsia="Times New Roman" w:hAnsi="Tahoma" w:cs="Tahoma"/>
                <w:kern w:val="2"/>
                <w14:ligatures w14:val="standardContextual"/>
              </w:rPr>
              <w:t xml:space="preserve">il India </w:t>
            </w:r>
            <w:r w:rsidR="00A818F1">
              <w:rPr>
                <w:rFonts w:ascii="Tahoma" w:eastAsia="Times New Roman" w:hAnsi="Tahoma" w:cs="Tahoma"/>
                <w:kern w:val="2"/>
                <w14:ligatures w14:val="standardContextual"/>
              </w:rPr>
              <w:t>Limited (</w:t>
            </w:r>
            <w:r w:rsidR="00525029">
              <w:rPr>
                <w:rFonts w:ascii="Tahoma" w:eastAsia="Times New Roman" w:hAnsi="Tahoma" w:cs="Tahoma"/>
                <w:kern w:val="2"/>
                <w14:ligatures w14:val="standardContextual"/>
              </w:rPr>
              <w:t>OIL)</w:t>
            </w:r>
            <w:r>
              <w:rPr>
                <w:rFonts w:ascii="Tahoma" w:eastAsia="Times New Roman" w:hAnsi="Tahoma" w:cs="Tahoma"/>
                <w:kern w:val="2"/>
                <w14:ligatures w14:val="standardContextual"/>
              </w:rPr>
              <w:t xml:space="preserve"> is concerned</w:t>
            </w:r>
            <w:r w:rsidR="00C87458">
              <w:rPr>
                <w:rFonts w:ascii="Tahoma" w:eastAsia="Times New Roman" w:hAnsi="Tahoma" w:cs="Tahoma"/>
                <w:kern w:val="2"/>
                <w14:ligatures w14:val="standardContextual"/>
              </w:rPr>
              <w:t>,</w:t>
            </w:r>
            <w:r>
              <w:rPr>
                <w:rFonts w:ascii="Tahoma" w:eastAsia="Times New Roman" w:hAnsi="Tahoma" w:cs="Tahoma"/>
                <w:kern w:val="2"/>
                <w14:ligatures w14:val="standardContextual"/>
              </w:rPr>
              <w:t xml:space="preserve"> </w:t>
            </w:r>
          </w:p>
          <w:p w14:paraId="1C2BC2CF" w14:textId="57CE382B" w:rsidR="00CD6DC6" w:rsidRPr="00040065" w:rsidRDefault="00CD6DC6" w:rsidP="00C41083">
            <w:pPr>
              <w:spacing w:after="120"/>
              <w:jc w:val="both"/>
              <w:rPr>
                <w:rFonts w:ascii="Tahoma" w:eastAsia="Times New Roman" w:hAnsi="Tahoma" w:cs="Tahoma"/>
                <w:kern w:val="2"/>
                <w14:ligatures w14:val="standardContextual"/>
              </w:rPr>
            </w:pPr>
          </w:p>
        </w:tc>
      </w:tr>
      <w:tr w:rsidR="003E2B73" w:rsidRPr="00040065" w14:paraId="65648DF5" w14:textId="77777777" w:rsidTr="00F7545F">
        <w:trPr>
          <w:trHeight w:val="1230"/>
        </w:trPr>
        <w:tc>
          <w:tcPr>
            <w:tcW w:w="4673" w:type="dxa"/>
          </w:tcPr>
          <w:p w14:paraId="17B5F7E6" w14:textId="5B83E73D" w:rsidR="0091634E" w:rsidRDefault="003E2B73" w:rsidP="0091634E">
            <w:pPr>
              <w:ind w:right="34"/>
              <w:jc w:val="both"/>
              <w:rPr>
                <w:rFonts w:ascii="Tahoma" w:hAnsi="Tahoma" w:cs="Tahoma"/>
                <w:i/>
                <w:iCs/>
              </w:rPr>
            </w:pPr>
            <w:r w:rsidRPr="00040065">
              <w:rPr>
                <w:rFonts w:ascii="Tahoma" w:hAnsi="Tahoma" w:cs="Tahoma"/>
                <w:i/>
                <w:iCs/>
              </w:rPr>
              <w:t xml:space="preserve">Q.(b) </w:t>
            </w:r>
            <w:r w:rsidR="00FB6DE1">
              <w:rPr>
                <w:rFonts w:ascii="Tahoma" w:hAnsi="Tahoma" w:cs="Tahoma"/>
                <w:i/>
                <w:iCs/>
              </w:rPr>
              <w:t xml:space="preserve">Whether </w:t>
            </w:r>
            <w:r w:rsidR="006010D3">
              <w:rPr>
                <w:rFonts w:ascii="Tahoma" w:hAnsi="Tahoma" w:cs="Tahoma"/>
                <w:i/>
                <w:iCs/>
              </w:rPr>
              <w:t xml:space="preserve">Uttar Pradesh had developed CBG clusters connected to agricultural markets or rural industries, and if so, the details thereof, such as the number and location of commissioned plants, types of feedstock used, and the observed effects on local waste </w:t>
            </w:r>
            <w:bookmarkStart w:id="0" w:name="_GoBack"/>
            <w:bookmarkEnd w:id="0"/>
            <w:r w:rsidR="006010D3">
              <w:rPr>
                <w:rFonts w:ascii="Tahoma" w:hAnsi="Tahoma" w:cs="Tahoma"/>
                <w:i/>
                <w:iCs/>
              </w:rPr>
              <w:t>management, energy access, and farmer income generation;</w:t>
            </w:r>
          </w:p>
          <w:p w14:paraId="01947609" w14:textId="279B9BD5" w:rsidR="00BF5FD1" w:rsidRPr="00040065" w:rsidRDefault="00BF5FD1" w:rsidP="008B492E">
            <w:pPr>
              <w:ind w:right="34"/>
              <w:jc w:val="both"/>
              <w:rPr>
                <w:rFonts w:ascii="Tahoma" w:eastAsia="Times New Roman" w:hAnsi="Tahoma" w:cs="Tahoma"/>
                <w:i/>
                <w:color w:val="000000"/>
              </w:rPr>
            </w:pPr>
          </w:p>
        </w:tc>
        <w:tc>
          <w:tcPr>
            <w:tcW w:w="5074"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4F6AF3D7" w14:textId="3229B0D7" w:rsidR="00525029" w:rsidRDefault="00525029" w:rsidP="00525029">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w:t>
            </w:r>
            <w:r w:rsidR="00A818F1">
              <w:rPr>
                <w:rFonts w:ascii="Tahoma" w:eastAsia="Times New Roman" w:hAnsi="Tahoma" w:cs="Tahoma"/>
                <w:kern w:val="2"/>
                <w14:ligatures w14:val="standardContextual"/>
              </w:rPr>
              <w:t>Limited (</w:t>
            </w:r>
            <w:r>
              <w:rPr>
                <w:rFonts w:ascii="Tahoma" w:eastAsia="Times New Roman" w:hAnsi="Tahoma" w:cs="Tahoma"/>
                <w:kern w:val="2"/>
                <w14:ligatures w14:val="standardContextual"/>
              </w:rPr>
              <w:t xml:space="preserve">OIL) is concerned, </w:t>
            </w:r>
          </w:p>
          <w:p w14:paraId="3780DB29" w14:textId="7E90C97B" w:rsidR="003E2B73" w:rsidRPr="00040065" w:rsidRDefault="003E2B73" w:rsidP="00E339E5">
            <w:pPr>
              <w:jc w:val="both"/>
              <w:rPr>
                <w:rFonts w:ascii="Tahoma" w:hAnsi="Tahoma" w:cs="Tahoma"/>
                <w:lang w:val="en-US"/>
              </w:rPr>
            </w:pPr>
          </w:p>
        </w:tc>
      </w:tr>
      <w:tr w:rsidR="00BF5FD1" w:rsidRPr="00040065" w14:paraId="36083E04" w14:textId="77777777" w:rsidTr="00F7545F">
        <w:trPr>
          <w:trHeight w:val="1230"/>
        </w:trPr>
        <w:tc>
          <w:tcPr>
            <w:tcW w:w="4673" w:type="dxa"/>
          </w:tcPr>
          <w:p w14:paraId="7F645C7F" w14:textId="4545A266" w:rsidR="00BF5FD1" w:rsidRDefault="00BF5FD1" w:rsidP="008B492E">
            <w:pPr>
              <w:ind w:right="34"/>
              <w:jc w:val="both"/>
              <w:rPr>
                <w:rFonts w:ascii="Tahoma" w:hAnsi="Tahoma" w:cs="Tahoma"/>
                <w:i/>
                <w:iCs/>
              </w:rPr>
            </w:pPr>
            <w:r>
              <w:rPr>
                <w:rFonts w:ascii="Tahoma" w:hAnsi="Tahoma" w:cs="Tahoma"/>
                <w:i/>
                <w:iCs/>
              </w:rPr>
              <w:t xml:space="preserve">Q.(c) </w:t>
            </w:r>
            <w:r w:rsidR="00FB6DE1">
              <w:rPr>
                <w:rFonts w:ascii="Tahoma" w:hAnsi="Tahoma" w:cs="Tahoma"/>
                <w:i/>
                <w:iCs/>
              </w:rPr>
              <w:t xml:space="preserve">The steps </w:t>
            </w:r>
            <w:r w:rsidR="006010D3">
              <w:rPr>
                <w:rFonts w:ascii="Tahoma" w:hAnsi="Tahoma" w:cs="Tahoma"/>
                <w:i/>
                <w:iCs/>
              </w:rPr>
              <w:t xml:space="preserve">implemented in </w:t>
            </w:r>
            <w:proofErr w:type="spellStart"/>
            <w:r w:rsidR="006010D3">
              <w:rPr>
                <w:rFonts w:ascii="Tahoma" w:hAnsi="Tahoma" w:cs="Tahoma"/>
                <w:i/>
                <w:iCs/>
              </w:rPr>
              <w:t>Etawah</w:t>
            </w:r>
            <w:proofErr w:type="spellEnd"/>
            <w:r w:rsidR="006010D3">
              <w:rPr>
                <w:rFonts w:ascii="Tahoma" w:hAnsi="Tahoma" w:cs="Tahoma"/>
                <w:i/>
                <w:iCs/>
              </w:rPr>
              <w:t xml:space="preserve"> and </w:t>
            </w:r>
            <w:proofErr w:type="spellStart"/>
            <w:r w:rsidR="006010D3">
              <w:rPr>
                <w:rFonts w:ascii="Tahoma" w:hAnsi="Tahoma" w:cs="Tahoma"/>
                <w:i/>
                <w:iCs/>
              </w:rPr>
              <w:t>Auraiya</w:t>
            </w:r>
            <w:proofErr w:type="spellEnd"/>
            <w:r w:rsidR="006010D3">
              <w:rPr>
                <w:rFonts w:ascii="Tahoma" w:hAnsi="Tahoma" w:cs="Tahoma"/>
                <w:i/>
                <w:iCs/>
              </w:rPr>
              <w:t xml:space="preserve"> to promote CBG adoption?</w:t>
            </w:r>
          </w:p>
          <w:p w14:paraId="50B911BA" w14:textId="56FB3D1D" w:rsidR="00BF5FD1" w:rsidRPr="00040065" w:rsidRDefault="00BF5FD1" w:rsidP="008B492E">
            <w:pPr>
              <w:ind w:right="34"/>
              <w:jc w:val="both"/>
              <w:rPr>
                <w:rFonts w:ascii="Tahoma" w:hAnsi="Tahoma" w:cs="Tahoma"/>
                <w:i/>
                <w:iCs/>
              </w:rPr>
            </w:pPr>
          </w:p>
        </w:tc>
        <w:tc>
          <w:tcPr>
            <w:tcW w:w="5074" w:type="dxa"/>
          </w:tcPr>
          <w:p w14:paraId="10DB793E" w14:textId="1D3EABA1" w:rsidR="00BF5FD1" w:rsidRPr="00040065" w:rsidRDefault="00BF5FD1" w:rsidP="00BF5FD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4EC6FB64" w14:textId="77777777" w:rsidR="00BF5FD1" w:rsidRDefault="00BF5FD1" w:rsidP="00BF5FD1">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w:t>
            </w:r>
          </w:p>
          <w:p w14:paraId="66E9E522" w14:textId="77777777" w:rsidR="00BF5FD1" w:rsidRPr="00040065" w:rsidRDefault="00BF5FD1" w:rsidP="00DF02B5">
            <w:pPr>
              <w:spacing w:after="120"/>
              <w:jc w:val="both"/>
              <w:rPr>
                <w:rFonts w:ascii="Tahoma" w:hAnsi="Tahoma" w:cs="Tahoma"/>
                <w:b/>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10D3"/>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4BE6"/>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18A4"/>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styleId="CommentReference">
    <w:name w:val="annotation reference"/>
    <w:basedOn w:val="DefaultParagraphFont"/>
    <w:uiPriority w:val="99"/>
    <w:semiHidden/>
    <w:unhideWhenUsed/>
    <w:rsid w:val="006010D3"/>
    <w:rPr>
      <w:sz w:val="16"/>
      <w:szCs w:val="16"/>
    </w:rPr>
  </w:style>
  <w:style w:type="paragraph" w:styleId="CommentText">
    <w:name w:val="annotation text"/>
    <w:basedOn w:val="Normal"/>
    <w:link w:val="CommentTextChar"/>
    <w:uiPriority w:val="99"/>
    <w:semiHidden/>
    <w:unhideWhenUsed/>
    <w:rsid w:val="006010D3"/>
    <w:pPr>
      <w:spacing w:line="240" w:lineRule="auto"/>
    </w:pPr>
    <w:rPr>
      <w:sz w:val="20"/>
      <w:szCs w:val="20"/>
    </w:rPr>
  </w:style>
  <w:style w:type="character" w:customStyle="1" w:styleId="CommentTextChar">
    <w:name w:val="Comment Text Char"/>
    <w:basedOn w:val="DefaultParagraphFont"/>
    <w:link w:val="CommentText"/>
    <w:uiPriority w:val="99"/>
    <w:semiHidden/>
    <w:rsid w:val="006010D3"/>
    <w:rPr>
      <w:sz w:val="20"/>
      <w:szCs w:val="20"/>
    </w:rPr>
  </w:style>
  <w:style w:type="paragraph" w:styleId="CommentSubject">
    <w:name w:val="annotation subject"/>
    <w:basedOn w:val="CommentText"/>
    <w:next w:val="CommentText"/>
    <w:link w:val="CommentSubjectChar"/>
    <w:uiPriority w:val="99"/>
    <w:semiHidden/>
    <w:unhideWhenUsed/>
    <w:rsid w:val="006010D3"/>
    <w:rPr>
      <w:b/>
      <w:bCs/>
    </w:rPr>
  </w:style>
  <w:style w:type="character" w:customStyle="1" w:styleId="CommentSubjectChar">
    <w:name w:val="Comment Subject Char"/>
    <w:basedOn w:val="CommentTextChar"/>
    <w:link w:val="CommentSubject"/>
    <w:uiPriority w:val="99"/>
    <w:semiHidden/>
    <w:rsid w:val="006010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0839E8-5E06-4A22-BDAE-B193BE7CD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19</cp:revision>
  <cp:lastPrinted>2025-07-30T07:40:00Z</cp:lastPrinted>
  <dcterms:created xsi:type="dcterms:W3CDTF">2025-08-13T11:24:00Z</dcterms:created>
  <dcterms:modified xsi:type="dcterms:W3CDTF">2025-11-20T12:53:00Z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