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040065" w:rsidRDefault="00562579" w:rsidP="00F270A6">
      <w:pPr>
        <w:spacing w:after="0"/>
        <w:ind w:right="-392"/>
        <w:rPr>
          <w:rFonts w:ascii="Tahoma" w:hAnsi="Tahoma" w:cs="Tahoma"/>
          <w:b/>
          <w:lang w:val="en-US"/>
        </w:rPr>
      </w:pPr>
    </w:p>
    <w:p w14:paraId="398EF5FC" w14:textId="16015482" w:rsidR="00562579" w:rsidRPr="00040065" w:rsidRDefault="00562579" w:rsidP="00F270A6">
      <w:pPr>
        <w:spacing w:after="0"/>
        <w:ind w:right="-392"/>
        <w:rPr>
          <w:rFonts w:ascii="Tahoma" w:hAnsi="Tahoma" w:cs="Tahoma"/>
          <w:b/>
          <w:lang w:val="en-US"/>
        </w:rPr>
      </w:pPr>
    </w:p>
    <w:p w14:paraId="04FDA3E2" w14:textId="35373272" w:rsidR="00562579" w:rsidRPr="00040065" w:rsidRDefault="00562579" w:rsidP="00F270A6">
      <w:pPr>
        <w:spacing w:after="0"/>
        <w:ind w:right="-392"/>
        <w:rPr>
          <w:rFonts w:ascii="Tahoma" w:hAnsi="Tahoma" w:cs="Tahoma"/>
          <w:b/>
          <w:lang w:val="en-US"/>
        </w:rPr>
      </w:pPr>
    </w:p>
    <w:p w14:paraId="198CDFCD" w14:textId="4F761923" w:rsidR="00B3384E" w:rsidRDefault="00B3384E" w:rsidP="00F270A6">
      <w:pPr>
        <w:spacing w:after="0"/>
        <w:ind w:right="-392"/>
        <w:rPr>
          <w:rFonts w:ascii="Tahoma" w:hAnsi="Tahoma" w:cs="Tahoma"/>
          <w:b/>
          <w:lang w:val="en-US"/>
        </w:rPr>
      </w:pPr>
    </w:p>
    <w:p w14:paraId="00AF3E1E" w14:textId="28091377" w:rsidR="009139CD" w:rsidRDefault="009139CD" w:rsidP="00F270A6">
      <w:pPr>
        <w:spacing w:after="0"/>
        <w:ind w:right="-392"/>
        <w:rPr>
          <w:rFonts w:ascii="Tahoma" w:hAnsi="Tahoma" w:cs="Tahoma"/>
          <w:b/>
          <w:lang w:val="en-US"/>
        </w:rPr>
      </w:pPr>
    </w:p>
    <w:p w14:paraId="7F3C95C4" w14:textId="77777777" w:rsidR="007D3769" w:rsidRPr="00040065" w:rsidRDefault="007D3769" w:rsidP="00F270A6">
      <w:pPr>
        <w:spacing w:after="0"/>
        <w:ind w:right="-392"/>
        <w:rPr>
          <w:rFonts w:ascii="Tahoma" w:hAnsi="Tahoma" w:cs="Tahoma"/>
          <w:b/>
          <w:lang w:val="en-US"/>
        </w:rPr>
      </w:pPr>
      <w:bookmarkStart w:id="0" w:name="_GoBack"/>
      <w:bookmarkEnd w:id="0"/>
    </w:p>
    <w:p w14:paraId="5E6782D1" w14:textId="77777777" w:rsidR="00B3384E" w:rsidRPr="00040065" w:rsidRDefault="00B3384E" w:rsidP="00F270A6">
      <w:pPr>
        <w:spacing w:after="0"/>
        <w:ind w:right="-392"/>
        <w:rPr>
          <w:rFonts w:ascii="Tahoma" w:hAnsi="Tahoma" w:cs="Tahoma"/>
          <w:b/>
          <w:lang w:val="en-US"/>
        </w:rPr>
      </w:pPr>
    </w:p>
    <w:p w14:paraId="0C934999" w14:textId="335511A1" w:rsidR="00BC4C9F" w:rsidRPr="00040065" w:rsidRDefault="00654ECF" w:rsidP="00F270A6">
      <w:pPr>
        <w:spacing w:after="0"/>
        <w:ind w:right="-392"/>
        <w:rPr>
          <w:rFonts w:ascii="Tahoma" w:hAnsi="Tahoma" w:cs="Tahoma"/>
          <w:b/>
          <w:lang w:val="en-US"/>
        </w:rPr>
      </w:pPr>
      <w:r w:rsidRPr="00040065">
        <w:rPr>
          <w:rFonts w:ascii="Tahoma" w:hAnsi="Tahoma" w:cs="Tahoma"/>
          <w:b/>
          <w:lang w:val="en-US"/>
        </w:rPr>
        <w:t>OIL/</w:t>
      </w:r>
      <w:r w:rsidR="008B23B3" w:rsidRPr="00040065">
        <w:rPr>
          <w:rFonts w:ascii="Tahoma" w:hAnsi="Tahoma" w:cs="Tahoma"/>
          <w:b/>
          <w:lang w:val="en-US"/>
        </w:rPr>
        <w:t>PLNG/</w:t>
      </w:r>
      <w:r w:rsidRPr="00040065">
        <w:rPr>
          <w:rFonts w:ascii="Tahoma" w:hAnsi="Tahoma" w:cs="Tahoma"/>
          <w:b/>
          <w:lang w:val="en-US"/>
        </w:rPr>
        <w:t>54/2/</w:t>
      </w:r>
      <w:r w:rsidR="00C87458">
        <w:rPr>
          <w:rFonts w:ascii="Tahoma" w:hAnsi="Tahoma" w:cs="Tahoma"/>
          <w:b/>
          <w:lang w:val="en-US"/>
        </w:rPr>
        <w:t>3</w:t>
      </w:r>
      <w:r w:rsidRPr="00040065">
        <w:rPr>
          <w:rFonts w:ascii="Tahoma" w:hAnsi="Tahoma" w:cs="Tahoma"/>
          <w:b/>
          <w:lang w:val="en-US"/>
        </w:rPr>
        <w:t>/202</w:t>
      </w:r>
      <w:r w:rsidR="00F270A6" w:rsidRPr="00040065">
        <w:rPr>
          <w:rFonts w:ascii="Tahoma" w:hAnsi="Tahoma" w:cs="Tahoma"/>
          <w:b/>
          <w:lang w:val="en-US"/>
        </w:rPr>
        <w:t>5</w:t>
      </w:r>
      <w:r w:rsidRPr="00040065">
        <w:rPr>
          <w:rFonts w:ascii="Tahoma" w:hAnsi="Tahoma" w:cs="Tahoma"/>
          <w:b/>
          <w:lang w:val="en-US"/>
        </w:rPr>
        <w:t>/</w:t>
      </w:r>
      <w:r w:rsidR="00C209C9">
        <w:rPr>
          <w:rFonts w:ascii="Tahoma" w:hAnsi="Tahoma" w:cs="Tahoma"/>
          <w:b/>
          <w:lang w:val="en-US"/>
        </w:rPr>
        <w:t>20</w:t>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F211B3" w:rsidRPr="00040065">
        <w:rPr>
          <w:rFonts w:ascii="Tahoma" w:hAnsi="Tahoma" w:cs="Tahoma"/>
          <w:b/>
          <w:lang w:val="en-US"/>
        </w:rPr>
        <w:tab/>
      </w:r>
      <w:r w:rsidR="00506AF9" w:rsidRPr="00040065">
        <w:rPr>
          <w:rFonts w:ascii="Tahoma" w:hAnsi="Tahoma" w:cs="Tahoma"/>
          <w:b/>
          <w:lang w:val="en-US"/>
        </w:rPr>
        <w:t xml:space="preserve">    </w:t>
      </w:r>
      <w:r w:rsidR="008B23B3" w:rsidRPr="00040065">
        <w:rPr>
          <w:rFonts w:ascii="Tahoma" w:hAnsi="Tahoma" w:cs="Tahoma"/>
          <w:b/>
          <w:lang w:val="en-US"/>
        </w:rPr>
        <w:t xml:space="preserve">          </w:t>
      </w:r>
      <w:r w:rsidR="00C87458">
        <w:rPr>
          <w:rFonts w:ascii="Tahoma" w:hAnsi="Tahoma" w:cs="Tahoma"/>
          <w:b/>
          <w:lang w:val="en-US"/>
        </w:rPr>
        <w:t>2</w:t>
      </w:r>
      <w:r w:rsidR="00C209C9">
        <w:rPr>
          <w:rFonts w:ascii="Tahoma" w:hAnsi="Tahoma" w:cs="Tahoma"/>
          <w:b/>
          <w:lang w:val="en-US"/>
        </w:rPr>
        <w:t>7</w:t>
      </w:r>
      <w:r w:rsidR="00C87458" w:rsidRPr="00C87458">
        <w:rPr>
          <w:rFonts w:ascii="Tahoma" w:hAnsi="Tahoma" w:cs="Tahoma"/>
          <w:b/>
          <w:vertAlign w:val="superscript"/>
          <w:lang w:val="en-US"/>
        </w:rPr>
        <w:t>th</w:t>
      </w:r>
      <w:r w:rsidR="00C87458">
        <w:rPr>
          <w:rFonts w:ascii="Tahoma" w:hAnsi="Tahoma" w:cs="Tahoma"/>
          <w:b/>
          <w:lang w:val="en-US"/>
        </w:rPr>
        <w:t xml:space="preserve"> November</w:t>
      </w:r>
      <w:r w:rsidR="00F211B3" w:rsidRPr="00040065">
        <w:rPr>
          <w:rFonts w:ascii="Tahoma" w:hAnsi="Tahoma" w:cs="Tahoma"/>
          <w:b/>
          <w:lang w:val="en-US"/>
        </w:rPr>
        <w:t>,</w:t>
      </w:r>
      <w:r w:rsidR="00D41C07" w:rsidRPr="00040065">
        <w:rPr>
          <w:rFonts w:ascii="Tahoma" w:hAnsi="Tahoma" w:cs="Tahoma"/>
          <w:b/>
          <w:lang w:val="en-US"/>
        </w:rPr>
        <w:t xml:space="preserve"> </w:t>
      </w:r>
      <w:r w:rsidR="00F211B3" w:rsidRPr="00040065">
        <w:rPr>
          <w:rFonts w:ascii="Tahoma" w:hAnsi="Tahoma" w:cs="Tahoma"/>
          <w:b/>
          <w:lang w:val="en-US"/>
        </w:rPr>
        <w:t>202</w:t>
      </w:r>
      <w:r w:rsidR="00F270A6" w:rsidRPr="00040065">
        <w:rPr>
          <w:rFonts w:ascii="Tahoma" w:hAnsi="Tahoma" w:cs="Tahoma"/>
          <w:b/>
          <w:lang w:val="en-US"/>
        </w:rPr>
        <w:t>5</w:t>
      </w:r>
    </w:p>
    <w:p w14:paraId="097B29A8" w14:textId="77777777" w:rsidR="00C42C3F" w:rsidRPr="00040065" w:rsidRDefault="00C42C3F" w:rsidP="001E301A">
      <w:pPr>
        <w:spacing w:after="0"/>
        <w:ind w:right="-28"/>
        <w:rPr>
          <w:rFonts w:ascii="Tahoma" w:hAnsi="Tahoma" w:cs="Tahoma"/>
          <w:lang w:val="en-US"/>
        </w:rPr>
      </w:pPr>
    </w:p>
    <w:p w14:paraId="58D02FB5" w14:textId="77777777" w:rsidR="00F61966" w:rsidRPr="00681277" w:rsidRDefault="00F61966" w:rsidP="00F61966">
      <w:pPr>
        <w:spacing w:after="0"/>
        <w:rPr>
          <w:rFonts w:ascii="Tahoma" w:hAnsi="Tahoma" w:cs="Tahoma"/>
          <w:lang w:val="en-US"/>
        </w:rPr>
      </w:pPr>
      <w:r w:rsidRPr="00681277">
        <w:rPr>
          <w:rFonts w:ascii="Tahoma" w:hAnsi="Tahoma" w:cs="Tahoma"/>
          <w:lang w:val="en-US"/>
        </w:rPr>
        <w:t>Ministry of Petroleum and Natural Gas</w:t>
      </w:r>
    </w:p>
    <w:p w14:paraId="45C326E5" w14:textId="77777777" w:rsidR="00F61966" w:rsidRDefault="00F61966" w:rsidP="00F61966">
      <w:pPr>
        <w:spacing w:after="0"/>
        <w:ind w:right="-482"/>
        <w:rPr>
          <w:rFonts w:ascii="Tahoma" w:hAnsi="Tahoma" w:cs="Tahoma"/>
          <w:lang w:val="en-US"/>
        </w:rPr>
      </w:pPr>
      <w:proofErr w:type="spellStart"/>
      <w:r w:rsidRPr="00DC3DCB">
        <w:rPr>
          <w:rFonts w:ascii="Tahoma" w:hAnsi="Tahoma" w:cs="Tahoma"/>
          <w:lang w:val="en-US"/>
        </w:rPr>
        <w:t>Kartavya</w:t>
      </w:r>
      <w:proofErr w:type="spellEnd"/>
      <w:r w:rsidRPr="00DC3DCB">
        <w:rPr>
          <w:rFonts w:ascii="Tahoma" w:hAnsi="Tahoma" w:cs="Tahoma"/>
          <w:lang w:val="en-US"/>
        </w:rPr>
        <w:t xml:space="preserve"> Bhawan-03, </w:t>
      </w:r>
      <w:proofErr w:type="spellStart"/>
      <w:r w:rsidRPr="00DC3DCB">
        <w:rPr>
          <w:rFonts w:ascii="Tahoma" w:hAnsi="Tahoma" w:cs="Tahoma"/>
          <w:lang w:val="en-US"/>
        </w:rPr>
        <w:t>Janpath</w:t>
      </w:r>
      <w:proofErr w:type="spellEnd"/>
    </w:p>
    <w:p w14:paraId="6AB7E77F" w14:textId="77777777" w:rsidR="00F61966" w:rsidRPr="00FF5760" w:rsidRDefault="00F61966" w:rsidP="00F61966">
      <w:pPr>
        <w:spacing w:after="0"/>
        <w:ind w:right="-482"/>
        <w:rPr>
          <w:rFonts w:ascii="Tahoma" w:hAnsi="Tahoma" w:cs="Tahoma"/>
          <w:b/>
          <w:bCs/>
          <w:u w:val="single"/>
          <w:lang w:val="en-US"/>
        </w:rPr>
      </w:pPr>
      <w:r w:rsidRPr="00FF5760">
        <w:rPr>
          <w:rFonts w:ascii="Tahoma" w:hAnsi="Tahoma" w:cs="Tahoma"/>
          <w:b/>
          <w:bCs/>
          <w:u w:val="single"/>
          <w:lang w:val="en-US"/>
        </w:rPr>
        <w:t xml:space="preserve">New Delhi - 110001                                                                                                    </w:t>
      </w:r>
    </w:p>
    <w:p w14:paraId="6BFCBBA0" w14:textId="5E8CC0E0" w:rsidR="00654ECF" w:rsidRPr="00040065" w:rsidRDefault="00654ECF" w:rsidP="00C42C3F">
      <w:pPr>
        <w:spacing w:after="0"/>
        <w:rPr>
          <w:rFonts w:ascii="Tahoma" w:hAnsi="Tahoma" w:cs="Tahoma"/>
          <w:u w:val="single"/>
          <w:lang w:val="en-US"/>
        </w:rPr>
      </w:pPr>
    </w:p>
    <w:p w14:paraId="431E71B8" w14:textId="7307E96A" w:rsidR="0020483F" w:rsidRPr="0020483F" w:rsidRDefault="00506AF9" w:rsidP="0020483F">
      <w:pPr>
        <w:spacing w:after="0"/>
        <w:ind w:right="-482"/>
        <w:jc w:val="center"/>
        <w:rPr>
          <w:rFonts w:ascii="Tahoma" w:hAnsi="Tahoma" w:cs="Tahoma"/>
          <w:b/>
        </w:rPr>
      </w:pPr>
      <w:r w:rsidRPr="00040065">
        <w:rPr>
          <w:rFonts w:ascii="Tahoma" w:hAnsi="Tahoma" w:cs="Tahoma"/>
          <w:b/>
          <w:lang w:val="en-US"/>
        </w:rPr>
        <w:t xml:space="preserve">              </w:t>
      </w:r>
      <w:r w:rsidR="002F2731" w:rsidRPr="00040065">
        <w:rPr>
          <w:rFonts w:ascii="Tahoma" w:hAnsi="Tahoma" w:cs="Tahoma"/>
          <w:b/>
          <w:lang w:val="en-US"/>
        </w:rPr>
        <w:t xml:space="preserve">                       </w:t>
      </w:r>
      <w:r w:rsidR="00106CAF" w:rsidRPr="00040065">
        <w:rPr>
          <w:rFonts w:ascii="Tahoma" w:hAnsi="Tahoma" w:cs="Tahoma"/>
          <w:b/>
          <w:lang w:val="en-US"/>
        </w:rPr>
        <w:t xml:space="preserve">                       </w:t>
      </w:r>
      <w:r w:rsidR="0044759C" w:rsidRPr="00040065">
        <w:rPr>
          <w:rFonts w:ascii="Tahoma" w:hAnsi="Tahoma" w:cs="Tahoma"/>
          <w:b/>
          <w:lang w:val="en-US"/>
        </w:rPr>
        <w:t xml:space="preserve">                                </w:t>
      </w:r>
      <w:r w:rsidR="004B1CCA" w:rsidRPr="00040065">
        <w:rPr>
          <w:rFonts w:ascii="Tahoma" w:hAnsi="Tahoma" w:cs="Tahoma"/>
          <w:b/>
          <w:lang w:val="en-US"/>
        </w:rPr>
        <w:t xml:space="preserve"> </w:t>
      </w:r>
      <w:r w:rsidR="000C6679" w:rsidRPr="00040065">
        <w:rPr>
          <w:rFonts w:ascii="Tahoma" w:hAnsi="Tahoma" w:cs="Tahoma"/>
          <w:b/>
          <w:lang w:val="en-US"/>
        </w:rPr>
        <w:t>Kind Attn:</w:t>
      </w:r>
      <w:r w:rsidR="003E2B73" w:rsidRPr="00040065">
        <w:rPr>
          <w:rFonts w:ascii="Tahoma" w:hAnsi="Tahoma" w:cs="Tahoma"/>
          <w:b/>
          <w:lang w:val="en-US"/>
        </w:rPr>
        <w:t xml:space="preserve"> </w:t>
      </w:r>
      <w:r w:rsidR="009139CD">
        <w:rPr>
          <w:rFonts w:ascii="Tahoma" w:hAnsi="Tahoma" w:cs="Tahoma"/>
          <w:b/>
        </w:rPr>
        <w:t xml:space="preserve">Sh. </w:t>
      </w:r>
      <w:r w:rsidR="00C209C9">
        <w:rPr>
          <w:rFonts w:ascii="Tahoma" w:hAnsi="Tahoma" w:cs="Tahoma"/>
          <w:b/>
        </w:rPr>
        <w:t>N.K. Panda</w:t>
      </w:r>
    </w:p>
    <w:p w14:paraId="033C9A2C" w14:textId="6F09D906" w:rsidR="0085652B" w:rsidRDefault="00C87458" w:rsidP="00C87458">
      <w:pPr>
        <w:spacing w:after="0"/>
        <w:ind w:right="-482"/>
        <w:rPr>
          <w:rFonts w:ascii="Tahoma" w:hAnsi="Tahoma" w:cs="Tahoma"/>
          <w:bCs/>
          <w:u w:val="single"/>
        </w:rPr>
      </w:pPr>
      <w:r>
        <w:rPr>
          <w:rFonts w:ascii="Tahoma" w:hAnsi="Tahoma" w:cs="Tahoma"/>
          <w:bCs/>
        </w:rPr>
        <w:t xml:space="preserve">                                                                         </w:t>
      </w:r>
      <w:r w:rsidR="00C209C9">
        <w:rPr>
          <w:rFonts w:ascii="Tahoma" w:hAnsi="Tahoma" w:cs="Tahoma"/>
          <w:bCs/>
        </w:rPr>
        <w:t xml:space="preserve">                           </w:t>
      </w:r>
      <w:r w:rsidRPr="00C87458">
        <w:rPr>
          <w:rFonts w:ascii="Tahoma" w:hAnsi="Tahoma" w:cs="Tahoma"/>
          <w:bCs/>
          <w:u w:val="single"/>
        </w:rPr>
        <w:t xml:space="preserve">Section </w:t>
      </w:r>
      <w:r w:rsidR="00311DD9" w:rsidRPr="00C87458">
        <w:rPr>
          <w:rFonts w:ascii="Tahoma" w:hAnsi="Tahoma" w:cs="Tahoma"/>
          <w:bCs/>
          <w:u w:val="single"/>
        </w:rPr>
        <w:t>Officer (</w:t>
      </w:r>
      <w:r w:rsidR="00C209C9">
        <w:rPr>
          <w:rFonts w:ascii="Tahoma" w:hAnsi="Tahoma" w:cs="Tahoma"/>
          <w:bCs/>
          <w:u w:val="single"/>
        </w:rPr>
        <w:t>Parliament</w:t>
      </w:r>
      <w:r w:rsidRPr="00C87458">
        <w:rPr>
          <w:rFonts w:ascii="Tahoma" w:hAnsi="Tahoma" w:cs="Tahoma"/>
          <w:bCs/>
          <w:u w:val="single"/>
        </w:rPr>
        <w:t>)</w:t>
      </w:r>
    </w:p>
    <w:p w14:paraId="220A2160" w14:textId="77777777" w:rsidR="00C87458" w:rsidRPr="00C87458" w:rsidRDefault="00C87458" w:rsidP="00C87458">
      <w:pPr>
        <w:spacing w:after="0"/>
        <w:ind w:right="-482"/>
        <w:rPr>
          <w:rFonts w:ascii="Tahoma" w:hAnsi="Tahoma" w:cs="Tahoma"/>
          <w:bCs/>
          <w:u w:val="single"/>
        </w:rPr>
      </w:pPr>
    </w:p>
    <w:p w14:paraId="24F1D845" w14:textId="10A0B60C" w:rsidR="004A407D" w:rsidRPr="00040065" w:rsidRDefault="00F211B3" w:rsidP="00DD5CA9">
      <w:pPr>
        <w:tabs>
          <w:tab w:val="left" w:pos="1440"/>
        </w:tabs>
        <w:spacing w:after="0" w:line="360" w:lineRule="auto"/>
        <w:ind w:right="-563"/>
        <w:rPr>
          <w:rFonts w:ascii="Tahoma" w:hAnsi="Tahoma" w:cs="Tahoma"/>
          <w:lang w:val="en-US"/>
        </w:rPr>
      </w:pPr>
      <w:r w:rsidRPr="00040065">
        <w:rPr>
          <w:rFonts w:ascii="Tahoma" w:hAnsi="Tahoma" w:cs="Tahoma"/>
          <w:b/>
          <w:lang w:val="en-US"/>
        </w:rPr>
        <w:t>Sub</w:t>
      </w:r>
      <w:r w:rsidR="000029E2" w:rsidRPr="00040065">
        <w:rPr>
          <w:rFonts w:ascii="Tahoma" w:hAnsi="Tahoma" w:cs="Tahoma"/>
          <w:lang w:val="en-US"/>
        </w:rPr>
        <w:t>:</w:t>
      </w:r>
      <w:r w:rsidR="003C0FC2" w:rsidRPr="00040065">
        <w:rPr>
          <w:rFonts w:ascii="Tahoma" w:hAnsi="Tahoma" w:cs="Tahoma"/>
          <w:lang w:val="en-US"/>
        </w:rPr>
        <w:t xml:space="preserve"> </w:t>
      </w:r>
      <w:r w:rsidR="00C209C9">
        <w:rPr>
          <w:rFonts w:ascii="Tahoma" w:hAnsi="Tahoma" w:cs="Tahoma"/>
          <w:lang w:val="en-US"/>
        </w:rPr>
        <w:t>Rajya</w:t>
      </w:r>
      <w:r w:rsidR="00DD5CA9" w:rsidRPr="00040065">
        <w:rPr>
          <w:rFonts w:ascii="Tahoma" w:hAnsi="Tahoma" w:cs="Tahoma"/>
          <w:lang w:val="en-US"/>
        </w:rPr>
        <w:t xml:space="preserve"> </w:t>
      </w:r>
      <w:r w:rsidR="00EB0203" w:rsidRPr="00040065">
        <w:rPr>
          <w:rFonts w:ascii="Tahoma" w:hAnsi="Tahoma" w:cs="Tahoma"/>
          <w:lang w:val="en-US"/>
        </w:rPr>
        <w:t>Sabha</w:t>
      </w:r>
      <w:r w:rsidR="00520031" w:rsidRPr="00040065">
        <w:rPr>
          <w:rFonts w:ascii="Tahoma" w:hAnsi="Tahoma" w:cs="Tahoma"/>
          <w:lang w:val="en-US"/>
        </w:rPr>
        <w:t xml:space="preserve"> Provisionally Admitted</w:t>
      </w:r>
      <w:r w:rsidR="00040065" w:rsidRPr="00040065">
        <w:rPr>
          <w:rFonts w:ascii="Tahoma" w:hAnsi="Tahoma" w:cs="Tahoma"/>
          <w:lang w:val="en-US"/>
        </w:rPr>
        <w:t xml:space="preserve"> </w:t>
      </w:r>
      <w:r w:rsidR="00775609">
        <w:rPr>
          <w:rFonts w:ascii="Tahoma" w:hAnsi="Tahoma" w:cs="Tahoma"/>
          <w:lang w:val="en-US"/>
        </w:rPr>
        <w:t>S</w:t>
      </w:r>
      <w:r w:rsidR="00311DD9">
        <w:rPr>
          <w:rFonts w:ascii="Tahoma" w:hAnsi="Tahoma" w:cs="Tahoma"/>
          <w:lang w:val="en-US"/>
        </w:rPr>
        <w:t>tarred</w:t>
      </w:r>
      <w:r w:rsidR="00C209C9">
        <w:rPr>
          <w:rFonts w:ascii="Tahoma" w:hAnsi="Tahoma" w:cs="Tahoma"/>
          <w:lang w:val="en-US"/>
        </w:rPr>
        <w:t>/Unstarred</w:t>
      </w:r>
      <w:r w:rsidR="00EB0203" w:rsidRPr="00040065">
        <w:rPr>
          <w:rFonts w:ascii="Tahoma" w:hAnsi="Tahoma" w:cs="Tahoma"/>
          <w:lang w:val="en-US"/>
        </w:rPr>
        <w:t xml:space="preserve"> </w:t>
      </w:r>
      <w:r w:rsidR="004F7AD1" w:rsidRPr="00040065">
        <w:rPr>
          <w:rFonts w:ascii="Tahoma" w:hAnsi="Tahoma" w:cs="Tahoma"/>
          <w:lang w:val="en-US"/>
        </w:rPr>
        <w:t>Question</w:t>
      </w:r>
      <w:r w:rsidR="001352A6" w:rsidRPr="00040065">
        <w:rPr>
          <w:rFonts w:ascii="Tahoma" w:hAnsi="Tahoma" w:cs="Tahoma"/>
          <w:lang w:val="en-US"/>
        </w:rPr>
        <w:t xml:space="preserve"> </w:t>
      </w:r>
      <w:r w:rsidR="00EF357F" w:rsidRPr="00040065">
        <w:rPr>
          <w:rFonts w:ascii="Tahoma" w:hAnsi="Tahoma" w:cs="Tahoma"/>
          <w:lang w:val="en-US"/>
        </w:rPr>
        <w:t xml:space="preserve">Dy. No. </w:t>
      </w:r>
      <w:r w:rsidR="00C209C9">
        <w:rPr>
          <w:rFonts w:ascii="Tahoma" w:hAnsi="Tahoma" w:cs="Tahoma"/>
          <w:b/>
          <w:bCs/>
        </w:rPr>
        <w:t>S</w:t>
      </w:r>
      <w:r w:rsidR="00DE0E0C">
        <w:rPr>
          <w:rFonts w:ascii="Tahoma" w:hAnsi="Tahoma" w:cs="Tahoma"/>
          <w:b/>
          <w:bCs/>
        </w:rPr>
        <w:t>1385</w:t>
      </w:r>
      <w:r w:rsidR="00D42DA1" w:rsidRPr="00040065">
        <w:rPr>
          <w:rFonts w:ascii="Tahoma" w:hAnsi="Tahoma" w:cs="Tahoma"/>
          <w:lang w:val="en-US"/>
        </w:rPr>
        <w:t xml:space="preserve"> </w:t>
      </w:r>
      <w:r w:rsidR="00643085" w:rsidRPr="00040065">
        <w:rPr>
          <w:rFonts w:ascii="Tahoma" w:hAnsi="Tahoma" w:cs="Tahoma"/>
          <w:lang w:val="en-US"/>
        </w:rPr>
        <w:t xml:space="preserve">for </w:t>
      </w:r>
      <w:r w:rsidR="00C87458">
        <w:rPr>
          <w:rFonts w:ascii="Tahoma" w:hAnsi="Tahoma" w:cs="Tahoma"/>
          <w:lang w:val="en-US"/>
        </w:rPr>
        <w:t>0</w:t>
      </w:r>
      <w:r w:rsidR="00C209C9">
        <w:rPr>
          <w:rFonts w:ascii="Tahoma" w:hAnsi="Tahoma" w:cs="Tahoma"/>
          <w:lang w:val="en-US"/>
        </w:rPr>
        <w:t>8</w:t>
      </w:r>
      <w:r w:rsidR="00643085" w:rsidRPr="00040065">
        <w:rPr>
          <w:rFonts w:ascii="Tahoma" w:hAnsi="Tahoma" w:cs="Tahoma"/>
          <w:lang w:val="en-US"/>
        </w:rPr>
        <w:t>.</w:t>
      </w:r>
      <w:r w:rsidR="00C87458">
        <w:rPr>
          <w:rFonts w:ascii="Tahoma" w:hAnsi="Tahoma" w:cs="Tahoma"/>
          <w:lang w:val="en-US"/>
        </w:rPr>
        <w:t>12</w:t>
      </w:r>
      <w:r w:rsidR="00643085" w:rsidRPr="00040065">
        <w:rPr>
          <w:rFonts w:ascii="Tahoma" w:hAnsi="Tahoma" w:cs="Tahoma"/>
          <w:lang w:val="en-US"/>
        </w:rPr>
        <w:t>.2025</w:t>
      </w:r>
      <w:r w:rsidR="00F270A6" w:rsidRPr="00040065">
        <w:rPr>
          <w:rFonts w:ascii="Tahoma" w:hAnsi="Tahoma" w:cs="Tahoma"/>
          <w:lang w:val="en-US"/>
        </w:rPr>
        <w:t xml:space="preserve"> </w:t>
      </w:r>
    </w:p>
    <w:p w14:paraId="6D88C26E" w14:textId="42759463" w:rsidR="00F211B3" w:rsidRPr="00040065" w:rsidRDefault="008D1ADC" w:rsidP="00A5073A">
      <w:pPr>
        <w:tabs>
          <w:tab w:val="left" w:pos="1440"/>
        </w:tabs>
        <w:spacing w:after="0" w:line="360" w:lineRule="auto"/>
        <w:ind w:left="1701" w:right="-572" w:hanging="1701"/>
        <w:rPr>
          <w:rFonts w:ascii="Tahoma" w:hAnsi="Tahoma" w:cs="Tahoma"/>
          <w:b/>
        </w:rPr>
      </w:pPr>
      <w:r w:rsidRPr="00040065">
        <w:rPr>
          <w:rFonts w:ascii="Tahoma" w:hAnsi="Tahoma" w:cs="Tahoma"/>
          <w:lang w:val="en-US"/>
        </w:rPr>
        <w:t xml:space="preserve">       </w:t>
      </w:r>
      <w:r w:rsidR="00F211B3" w:rsidRPr="00040065">
        <w:rPr>
          <w:rFonts w:ascii="Tahoma" w:hAnsi="Tahoma" w:cs="Tahoma"/>
          <w:lang w:val="en-US"/>
        </w:rPr>
        <w:t>Regarding</w:t>
      </w:r>
      <w:r w:rsidR="0006232A" w:rsidRPr="00040065">
        <w:rPr>
          <w:rFonts w:ascii="Tahoma" w:hAnsi="Tahoma" w:cs="Tahoma"/>
          <w:lang w:val="en-US"/>
        </w:rPr>
        <w:t xml:space="preserve"> </w:t>
      </w:r>
      <w:r w:rsidR="00B234E6" w:rsidRPr="00040065">
        <w:rPr>
          <w:rFonts w:ascii="Tahoma" w:hAnsi="Tahoma" w:cs="Tahoma"/>
          <w:b/>
          <w:lang w:val="en-US"/>
        </w:rPr>
        <w:t>“</w:t>
      </w:r>
      <w:r w:rsidR="00C209C9">
        <w:rPr>
          <w:rFonts w:ascii="Tahoma" w:hAnsi="Tahoma" w:cs="Tahoma"/>
          <w:b/>
          <w:bCs/>
        </w:rPr>
        <w:t>Domestic Crude Oil Production and Imports</w:t>
      </w:r>
      <w:r w:rsidR="00311DD9">
        <w:rPr>
          <w:rFonts w:ascii="Tahoma" w:hAnsi="Tahoma" w:cs="Tahoma"/>
          <w:b/>
          <w:bCs/>
        </w:rPr>
        <w:t>”</w:t>
      </w:r>
    </w:p>
    <w:p w14:paraId="3297E00F" w14:textId="77034BF0" w:rsidR="00C42C3F" w:rsidRPr="00040065" w:rsidRDefault="00C42C3F" w:rsidP="004C32CD">
      <w:pPr>
        <w:tabs>
          <w:tab w:val="left" w:pos="709"/>
          <w:tab w:val="center" w:pos="4817"/>
        </w:tabs>
        <w:spacing w:after="0"/>
        <w:ind w:right="-306"/>
        <w:rPr>
          <w:rFonts w:ascii="Tahoma" w:hAnsi="Tahoma" w:cs="Tahoma"/>
          <w:lang w:val="en-US"/>
        </w:rPr>
      </w:pPr>
      <w:r w:rsidRPr="00040065">
        <w:rPr>
          <w:rFonts w:ascii="Tahoma" w:hAnsi="Tahoma" w:cs="Tahoma"/>
          <w:b/>
          <w:lang w:val="en-US"/>
        </w:rPr>
        <w:t>Ref.</w:t>
      </w:r>
      <w:r w:rsidRPr="00040065">
        <w:rPr>
          <w:rFonts w:ascii="Tahoma" w:hAnsi="Tahoma" w:cs="Tahoma"/>
          <w:lang w:val="en-US"/>
        </w:rPr>
        <w:t xml:space="preserve"> </w:t>
      </w:r>
      <w:r w:rsidR="004C32CD" w:rsidRPr="00040065">
        <w:rPr>
          <w:rFonts w:ascii="Tahoma" w:hAnsi="Tahoma" w:cs="Tahoma"/>
          <w:lang w:val="en-US"/>
        </w:rPr>
        <w:t xml:space="preserve"> </w:t>
      </w:r>
      <w:r w:rsidRPr="00040065">
        <w:rPr>
          <w:rFonts w:ascii="Tahoma" w:hAnsi="Tahoma" w:cs="Tahoma"/>
          <w:lang w:val="en-US"/>
        </w:rPr>
        <w:t xml:space="preserve">Your email dated </w:t>
      </w:r>
      <w:r w:rsidR="009139CD">
        <w:rPr>
          <w:rFonts w:ascii="Tahoma" w:hAnsi="Tahoma" w:cs="Tahoma"/>
          <w:lang w:val="en-US"/>
        </w:rPr>
        <w:t>2</w:t>
      </w:r>
      <w:r w:rsidR="00C209C9">
        <w:rPr>
          <w:rFonts w:ascii="Tahoma" w:hAnsi="Tahoma" w:cs="Tahoma"/>
          <w:lang w:val="en-US"/>
        </w:rPr>
        <w:t>7</w:t>
      </w:r>
      <w:r w:rsidRPr="00040065">
        <w:rPr>
          <w:rFonts w:ascii="Tahoma" w:hAnsi="Tahoma" w:cs="Tahoma"/>
          <w:lang w:val="en-US"/>
        </w:rPr>
        <w:t>.</w:t>
      </w:r>
      <w:r w:rsidR="00C87458">
        <w:rPr>
          <w:rFonts w:ascii="Tahoma" w:hAnsi="Tahoma" w:cs="Tahoma"/>
          <w:lang w:val="en-US"/>
        </w:rPr>
        <w:t>1</w:t>
      </w:r>
      <w:r w:rsidR="00311DD9">
        <w:rPr>
          <w:rFonts w:ascii="Tahoma" w:hAnsi="Tahoma" w:cs="Tahoma"/>
          <w:lang w:val="en-US"/>
        </w:rPr>
        <w:t>1</w:t>
      </w:r>
      <w:r w:rsidRPr="00040065">
        <w:rPr>
          <w:rFonts w:ascii="Tahoma" w:hAnsi="Tahoma" w:cs="Tahoma"/>
          <w:lang w:val="en-US"/>
        </w:rPr>
        <w:t>.202</w:t>
      </w:r>
      <w:r w:rsidR="00F270A6" w:rsidRPr="00040065">
        <w:rPr>
          <w:rFonts w:ascii="Tahoma" w:hAnsi="Tahoma" w:cs="Tahoma"/>
          <w:lang w:val="en-US"/>
        </w:rPr>
        <w:t>5</w:t>
      </w:r>
    </w:p>
    <w:p w14:paraId="02FF2837" w14:textId="77777777" w:rsidR="00C968B7" w:rsidRPr="00040065" w:rsidRDefault="00C968B7" w:rsidP="004C32CD">
      <w:pPr>
        <w:tabs>
          <w:tab w:val="left" w:pos="709"/>
          <w:tab w:val="center" w:pos="4817"/>
        </w:tabs>
        <w:spacing w:after="0"/>
        <w:ind w:right="-306"/>
        <w:rPr>
          <w:rFonts w:ascii="Tahoma" w:hAnsi="Tahoma" w:cs="Tahoma"/>
          <w:lang w:val="en-US"/>
        </w:rPr>
      </w:pPr>
    </w:p>
    <w:p w14:paraId="077B8116" w14:textId="55EC2A8A" w:rsidR="00F211B3" w:rsidRPr="00040065" w:rsidRDefault="00E14F53" w:rsidP="00C42C3F">
      <w:pPr>
        <w:spacing w:after="0"/>
        <w:ind w:right="-613"/>
        <w:rPr>
          <w:rFonts w:ascii="Tahoma" w:hAnsi="Tahoma" w:cs="Tahoma"/>
          <w:lang w:val="en-US"/>
        </w:rPr>
      </w:pPr>
      <w:r w:rsidRPr="00040065">
        <w:rPr>
          <w:rFonts w:ascii="Tahoma" w:hAnsi="Tahoma" w:cs="Tahoma"/>
          <w:lang w:val="en-US"/>
        </w:rPr>
        <w:t>Sir</w:t>
      </w:r>
      <w:r w:rsidR="00F211B3" w:rsidRPr="00040065">
        <w:rPr>
          <w:rFonts w:ascii="Tahoma" w:hAnsi="Tahoma" w:cs="Tahoma"/>
          <w:lang w:val="en-US"/>
        </w:rPr>
        <w:t>,</w:t>
      </w:r>
    </w:p>
    <w:p w14:paraId="2813D01B" w14:textId="2B3F3CB2" w:rsidR="00C42C3F" w:rsidRDefault="00F211B3" w:rsidP="00C42C3F">
      <w:pPr>
        <w:spacing w:after="0"/>
        <w:rPr>
          <w:rFonts w:ascii="Tahoma" w:hAnsi="Tahoma" w:cs="Tahoma"/>
          <w:lang w:val="en-US"/>
        </w:rPr>
      </w:pPr>
      <w:r w:rsidRPr="00040065">
        <w:rPr>
          <w:rFonts w:ascii="Tahoma" w:hAnsi="Tahoma" w:cs="Tahoma"/>
          <w:lang w:val="en-US"/>
        </w:rPr>
        <w:t xml:space="preserve">       </w:t>
      </w:r>
      <w:r w:rsidR="00C721F8" w:rsidRPr="00040065">
        <w:rPr>
          <w:rFonts w:ascii="Tahoma" w:hAnsi="Tahoma" w:cs="Tahoma"/>
          <w:lang w:val="en-US"/>
        </w:rPr>
        <w:tab/>
      </w:r>
      <w:r w:rsidRPr="00040065">
        <w:rPr>
          <w:rFonts w:ascii="Tahoma" w:hAnsi="Tahoma" w:cs="Tahoma"/>
          <w:lang w:val="en-US"/>
        </w:rPr>
        <w:t>Reference above</w:t>
      </w:r>
      <w:r w:rsidR="00C42C3F" w:rsidRPr="00040065">
        <w:rPr>
          <w:rFonts w:ascii="Tahoma" w:hAnsi="Tahoma" w:cs="Tahoma"/>
          <w:lang w:val="en-US"/>
        </w:rPr>
        <w:t>, our reply to the above</w:t>
      </w:r>
      <w:r w:rsidR="007420CA" w:rsidRPr="00040065">
        <w:rPr>
          <w:rFonts w:ascii="Tahoma" w:hAnsi="Tahoma" w:cs="Tahoma"/>
          <w:lang w:val="en-US"/>
        </w:rPr>
        <w:t xml:space="preserve"> </w:t>
      </w:r>
      <w:r w:rsidR="00C209C9">
        <w:rPr>
          <w:rFonts w:ascii="Tahoma" w:hAnsi="Tahoma" w:cs="Tahoma"/>
          <w:lang w:val="en-US"/>
        </w:rPr>
        <w:t>Rajya</w:t>
      </w:r>
      <w:r w:rsidR="008875A6" w:rsidRPr="00040065">
        <w:rPr>
          <w:rFonts w:ascii="Tahoma" w:hAnsi="Tahoma" w:cs="Tahoma"/>
          <w:lang w:val="en-US"/>
        </w:rPr>
        <w:t xml:space="preserve"> </w:t>
      </w:r>
      <w:r w:rsidR="003C0FC2" w:rsidRPr="00040065">
        <w:rPr>
          <w:rFonts w:ascii="Tahoma" w:hAnsi="Tahoma" w:cs="Tahoma"/>
          <w:lang w:val="en-US"/>
        </w:rPr>
        <w:t>Sabha</w:t>
      </w:r>
      <w:r w:rsidR="00C42C3F" w:rsidRPr="00040065">
        <w:rPr>
          <w:rFonts w:ascii="Tahoma" w:hAnsi="Tahoma" w:cs="Tahoma"/>
          <w:lang w:val="en-US"/>
        </w:rPr>
        <w:t xml:space="preserve"> Question</w:t>
      </w:r>
      <w:r w:rsidR="00EF357F" w:rsidRPr="00040065">
        <w:rPr>
          <w:rFonts w:ascii="Tahoma" w:hAnsi="Tahoma" w:cs="Tahoma"/>
          <w:lang w:val="en-US"/>
        </w:rPr>
        <w:t xml:space="preserve"> </w:t>
      </w:r>
      <w:r w:rsidR="00C42C3F" w:rsidRPr="00040065">
        <w:rPr>
          <w:rFonts w:ascii="Tahoma" w:hAnsi="Tahoma" w:cs="Tahoma"/>
          <w:lang w:val="en-US"/>
        </w:rPr>
        <w:t>is as follows:</w:t>
      </w:r>
    </w:p>
    <w:p w14:paraId="7E4164E2" w14:textId="77777777" w:rsidR="00C87458" w:rsidRPr="00040065" w:rsidRDefault="00C87458" w:rsidP="00C42C3F">
      <w:pPr>
        <w:spacing w:after="0"/>
        <w:rPr>
          <w:rFonts w:ascii="Tahoma" w:hAnsi="Tahoma" w:cs="Tahoma"/>
          <w:lang w:val="en-US"/>
        </w:rPr>
      </w:pPr>
    </w:p>
    <w:tbl>
      <w:tblPr>
        <w:tblStyle w:val="TableGrid"/>
        <w:tblW w:w="9747" w:type="dxa"/>
        <w:tblLayout w:type="fixed"/>
        <w:tblLook w:val="04A0" w:firstRow="1" w:lastRow="0" w:firstColumn="1" w:lastColumn="0" w:noHBand="0" w:noVBand="1"/>
      </w:tblPr>
      <w:tblGrid>
        <w:gridCol w:w="3397"/>
        <w:gridCol w:w="6350"/>
      </w:tblGrid>
      <w:tr w:rsidR="003E2B73" w:rsidRPr="00040065" w14:paraId="55DD2EA1" w14:textId="77777777" w:rsidTr="007D3769">
        <w:trPr>
          <w:trHeight w:val="3305"/>
        </w:trPr>
        <w:tc>
          <w:tcPr>
            <w:tcW w:w="3397" w:type="dxa"/>
          </w:tcPr>
          <w:p w14:paraId="077D8A08" w14:textId="77777777" w:rsidR="00C209C9" w:rsidRPr="00C209C9" w:rsidRDefault="00C209C9" w:rsidP="00C209C9">
            <w:pPr>
              <w:rPr>
                <w:rFonts w:ascii="Times New Roman" w:eastAsia="Times New Roman" w:hAnsi="Times New Roman" w:cs="Times New Roman"/>
                <w:b/>
                <w:bCs/>
                <w:sz w:val="24"/>
                <w:szCs w:val="24"/>
                <w:lang w:val="en-US" w:bidi="hi-IN"/>
              </w:rPr>
            </w:pPr>
            <w:r w:rsidRPr="00C209C9">
              <w:rPr>
                <w:rFonts w:ascii="Times New Roman" w:eastAsia="Times New Roman" w:hAnsi="Times New Roman" w:cs="Times New Roman"/>
                <w:b/>
                <w:bCs/>
                <w:sz w:val="24"/>
                <w:szCs w:val="24"/>
                <w:lang w:val="en-US" w:bidi="hi-IN"/>
              </w:rPr>
              <w:t>Will the Minister of Petroleum and Natural Gas be pleased to state</w:t>
            </w:r>
            <w:proofErr w:type="gramStart"/>
            <w:r w:rsidRPr="00C209C9">
              <w:rPr>
                <w:rFonts w:ascii="Times New Roman" w:eastAsia="Times New Roman" w:hAnsi="Times New Roman" w:cs="Times New Roman"/>
                <w:b/>
                <w:bCs/>
                <w:sz w:val="24"/>
                <w:szCs w:val="24"/>
                <w:lang w:val="en-US" w:bidi="hi-IN"/>
              </w:rPr>
              <w:t>: ?</w:t>
            </w:r>
            <w:proofErr w:type="gramEnd"/>
          </w:p>
          <w:p w14:paraId="20DA8764" w14:textId="77777777" w:rsidR="00C209C9" w:rsidRDefault="00C209C9" w:rsidP="00EC4D11">
            <w:pPr>
              <w:ind w:right="34"/>
              <w:jc w:val="both"/>
              <w:rPr>
                <w:rFonts w:ascii="Tahoma" w:hAnsi="Tahoma" w:cs="Tahoma"/>
                <w:i/>
                <w:iCs/>
              </w:rPr>
            </w:pPr>
          </w:p>
          <w:p w14:paraId="178891F9" w14:textId="106976D5" w:rsidR="00C209C9" w:rsidRPr="00C209C9" w:rsidRDefault="003E2B73" w:rsidP="00C209C9">
            <w:pPr>
              <w:ind w:right="34"/>
              <w:jc w:val="both"/>
              <w:rPr>
                <w:rFonts w:ascii="Tahoma" w:hAnsi="Tahoma" w:cs="Tahoma"/>
                <w:i/>
                <w:iCs/>
                <w:lang w:val="en-US"/>
              </w:rPr>
            </w:pPr>
            <w:r w:rsidRPr="00040065">
              <w:rPr>
                <w:rFonts w:ascii="Tahoma" w:hAnsi="Tahoma" w:cs="Tahoma"/>
                <w:i/>
                <w:iCs/>
              </w:rPr>
              <w:t>Q.(a)</w:t>
            </w:r>
            <w:r w:rsidR="00FC2310" w:rsidRPr="00040065">
              <w:rPr>
                <w:rFonts w:ascii="Tahoma" w:hAnsi="Tahoma" w:cs="Tahoma"/>
                <w:i/>
                <w:iCs/>
              </w:rPr>
              <w:t xml:space="preserve"> </w:t>
            </w:r>
            <w:r w:rsidR="00C209C9">
              <w:rPr>
                <w:rFonts w:ascii="Tahoma" w:hAnsi="Tahoma" w:cs="Tahoma"/>
                <w:i/>
                <w:iCs/>
                <w:lang w:val="en-US"/>
              </w:rPr>
              <w:t>T</w:t>
            </w:r>
            <w:r w:rsidR="00C209C9" w:rsidRPr="00C209C9">
              <w:rPr>
                <w:rFonts w:ascii="Tahoma" w:hAnsi="Tahoma" w:cs="Tahoma"/>
                <w:i/>
                <w:iCs/>
                <w:lang w:val="en-US"/>
              </w:rPr>
              <w:t xml:space="preserve">he total domestic production of crude oil during the last five years, year-wise; </w:t>
            </w:r>
          </w:p>
          <w:p w14:paraId="4062B524" w14:textId="75D56B76" w:rsidR="0010195B" w:rsidRPr="00040065" w:rsidRDefault="0010195B" w:rsidP="00EC4D11">
            <w:pPr>
              <w:ind w:right="34"/>
              <w:jc w:val="both"/>
              <w:rPr>
                <w:rFonts w:ascii="Tahoma" w:hAnsi="Tahoma" w:cs="Tahoma"/>
                <w:i/>
                <w:iCs/>
              </w:rPr>
            </w:pPr>
          </w:p>
        </w:tc>
        <w:tc>
          <w:tcPr>
            <w:tcW w:w="6350" w:type="dxa"/>
          </w:tcPr>
          <w:p w14:paraId="66F529C1" w14:textId="77777777" w:rsidR="001F17B4" w:rsidRPr="00040065" w:rsidRDefault="003E2B73" w:rsidP="004B788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Q(a)</w:t>
            </w:r>
            <w:r w:rsidR="001F17B4"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0B741BEB" w14:textId="77777777" w:rsidR="00DE0E0C" w:rsidRDefault="00DE0E0C" w:rsidP="00C41083">
            <w:pPr>
              <w:spacing w:after="120"/>
              <w:jc w:val="both"/>
              <w:rPr>
                <w:rFonts w:ascii="Tahoma" w:eastAsia="Times New Roman" w:hAnsi="Tahoma" w:cs="Tahoma"/>
                <w:kern w:val="2"/>
                <w14:ligatures w14:val="standardContextual"/>
              </w:rPr>
            </w:pPr>
          </w:p>
          <w:p w14:paraId="19D7070C" w14:textId="77777777" w:rsidR="00DE0E0C" w:rsidRPr="00DE0E0C" w:rsidRDefault="003C2502" w:rsidP="00DE0E0C">
            <w:pPr>
              <w:spacing w:after="12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 far as O</w:t>
            </w:r>
            <w:r w:rsidR="00525029">
              <w:rPr>
                <w:rFonts w:ascii="Tahoma" w:eastAsia="Times New Roman" w:hAnsi="Tahoma" w:cs="Tahoma"/>
                <w:kern w:val="2"/>
                <w14:ligatures w14:val="standardContextual"/>
              </w:rPr>
              <w:t xml:space="preserve">il India </w:t>
            </w:r>
            <w:r w:rsidR="00A818F1">
              <w:rPr>
                <w:rFonts w:ascii="Tahoma" w:eastAsia="Times New Roman" w:hAnsi="Tahoma" w:cs="Tahoma"/>
                <w:kern w:val="2"/>
                <w14:ligatures w14:val="standardContextual"/>
              </w:rPr>
              <w:t>Limited (</w:t>
            </w:r>
            <w:r w:rsidR="00525029">
              <w:rPr>
                <w:rFonts w:ascii="Tahoma" w:eastAsia="Times New Roman" w:hAnsi="Tahoma" w:cs="Tahoma"/>
                <w:kern w:val="2"/>
                <w14:ligatures w14:val="standardContextual"/>
              </w:rPr>
              <w:t>OIL)</w:t>
            </w:r>
            <w:r>
              <w:rPr>
                <w:rFonts w:ascii="Tahoma" w:eastAsia="Times New Roman" w:hAnsi="Tahoma" w:cs="Tahoma"/>
                <w:kern w:val="2"/>
                <w14:ligatures w14:val="standardContextual"/>
              </w:rPr>
              <w:t xml:space="preserve"> is concerned</w:t>
            </w:r>
            <w:r w:rsidR="00C87458">
              <w:rPr>
                <w:rFonts w:ascii="Tahoma" w:eastAsia="Times New Roman" w:hAnsi="Tahoma" w:cs="Tahoma"/>
                <w:kern w:val="2"/>
                <w14:ligatures w14:val="standardContextual"/>
              </w:rPr>
              <w:t>,</w:t>
            </w:r>
            <w:r>
              <w:rPr>
                <w:rFonts w:ascii="Tahoma" w:eastAsia="Times New Roman" w:hAnsi="Tahoma" w:cs="Tahoma"/>
                <w:kern w:val="2"/>
                <w14:ligatures w14:val="standardContextual"/>
              </w:rPr>
              <w:t xml:space="preserve"> </w:t>
            </w:r>
            <w:proofErr w:type="gramStart"/>
            <w:r w:rsidR="00DE0E0C" w:rsidRPr="00DE0E0C">
              <w:rPr>
                <w:rFonts w:ascii="Tahoma" w:eastAsia="Times New Roman" w:hAnsi="Tahoma" w:cs="Tahoma"/>
                <w:kern w:val="2"/>
                <w14:ligatures w14:val="standardContextual"/>
              </w:rPr>
              <w:t>As</w:t>
            </w:r>
            <w:proofErr w:type="gramEnd"/>
            <w:r w:rsidR="00DE0E0C" w:rsidRPr="00DE0E0C">
              <w:rPr>
                <w:rFonts w:ascii="Tahoma" w:eastAsia="Times New Roman" w:hAnsi="Tahoma" w:cs="Tahoma"/>
                <w:kern w:val="2"/>
                <w14:ligatures w14:val="standardContextual"/>
              </w:rPr>
              <w:t xml:space="preserve"> far as OIL is concerned, the domestic crude oil production during the past 5 years is as follows:</w:t>
            </w:r>
          </w:p>
          <w:tbl>
            <w:tblPr>
              <w:tblStyle w:val="TableGrid"/>
              <w:tblpPr w:leftFromText="180" w:rightFromText="180" w:vertAnchor="text" w:horzAnchor="margin" w:tblpXSpec="center" w:tblpY="-111"/>
              <w:tblOverlap w:val="never"/>
              <w:tblW w:w="5000" w:type="pct"/>
              <w:tblLayout w:type="fixed"/>
              <w:tblLook w:val="04A0" w:firstRow="1" w:lastRow="0" w:firstColumn="1" w:lastColumn="0" w:noHBand="0" w:noVBand="1"/>
            </w:tblPr>
            <w:tblGrid>
              <w:gridCol w:w="1220"/>
              <w:gridCol w:w="612"/>
              <w:gridCol w:w="859"/>
              <w:gridCol w:w="859"/>
              <w:gridCol w:w="859"/>
              <w:gridCol w:w="859"/>
              <w:gridCol w:w="856"/>
            </w:tblGrid>
            <w:tr w:rsidR="00DE0E0C" w:rsidRPr="00DE0E0C" w14:paraId="6A8A11B6" w14:textId="77777777" w:rsidTr="00BD7B97">
              <w:trPr>
                <w:trHeight w:val="223"/>
              </w:trPr>
              <w:tc>
                <w:tcPr>
                  <w:tcW w:w="997" w:type="pct"/>
                  <w:tcBorders>
                    <w:top w:val="single" w:sz="4" w:space="0" w:color="auto"/>
                    <w:left w:val="single" w:sz="4" w:space="0" w:color="auto"/>
                    <w:bottom w:val="single" w:sz="4" w:space="0" w:color="auto"/>
                    <w:right w:val="single" w:sz="4" w:space="0" w:color="auto"/>
                  </w:tcBorders>
                  <w:hideMark/>
                </w:tcPr>
                <w:p w14:paraId="69361326"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Parameters</w:t>
                  </w:r>
                </w:p>
              </w:tc>
              <w:tc>
                <w:tcPr>
                  <w:tcW w:w="500" w:type="pct"/>
                  <w:tcBorders>
                    <w:top w:val="single" w:sz="4" w:space="0" w:color="auto"/>
                    <w:left w:val="single" w:sz="4" w:space="0" w:color="auto"/>
                    <w:bottom w:val="single" w:sz="4" w:space="0" w:color="auto"/>
                    <w:right w:val="single" w:sz="4" w:space="0" w:color="auto"/>
                  </w:tcBorders>
                  <w:hideMark/>
                </w:tcPr>
                <w:p w14:paraId="5A89970F"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UoM</w:t>
                  </w:r>
                </w:p>
              </w:tc>
              <w:tc>
                <w:tcPr>
                  <w:tcW w:w="701" w:type="pct"/>
                  <w:tcBorders>
                    <w:top w:val="single" w:sz="4" w:space="0" w:color="auto"/>
                    <w:left w:val="single" w:sz="4" w:space="0" w:color="auto"/>
                    <w:bottom w:val="single" w:sz="4" w:space="0" w:color="auto"/>
                    <w:right w:val="single" w:sz="4" w:space="0" w:color="auto"/>
                  </w:tcBorders>
                  <w:hideMark/>
                </w:tcPr>
                <w:p w14:paraId="6B74F6C2"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2020-21</w:t>
                  </w:r>
                </w:p>
              </w:tc>
              <w:tc>
                <w:tcPr>
                  <w:tcW w:w="701" w:type="pct"/>
                  <w:tcBorders>
                    <w:top w:val="single" w:sz="4" w:space="0" w:color="auto"/>
                    <w:left w:val="single" w:sz="4" w:space="0" w:color="auto"/>
                    <w:bottom w:val="single" w:sz="4" w:space="0" w:color="auto"/>
                    <w:right w:val="single" w:sz="4" w:space="0" w:color="auto"/>
                  </w:tcBorders>
                  <w:hideMark/>
                </w:tcPr>
                <w:p w14:paraId="012B684B"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2021-22</w:t>
                  </w:r>
                </w:p>
              </w:tc>
              <w:tc>
                <w:tcPr>
                  <w:tcW w:w="701" w:type="pct"/>
                  <w:tcBorders>
                    <w:top w:val="single" w:sz="4" w:space="0" w:color="auto"/>
                    <w:left w:val="single" w:sz="4" w:space="0" w:color="auto"/>
                    <w:bottom w:val="single" w:sz="4" w:space="0" w:color="auto"/>
                    <w:right w:val="single" w:sz="4" w:space="0" w:color="auto"/>
                  </w:tcBorders>
                  <w:hideMark/>
                </w:tcPr>
                <w:p w14:paraId="794CA370"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2022-23</w:t>
                  </w:r>
                </w:p>
              </w:tc>
              <w:tc>
                <w:tcPr>
                  <w:tcW w:w="701" w:type="pct"/>
                  <w:tcBorders>
                    <w:top w:val="single" w:sz="4" w:space="0" w:color="auto"/>
                    <w:left w:val="single" w:sz="4" w:space="0" w:color="auto"/>
                    <w:bottom w:val="single" w:sz="4" w:space="0" w:color="auto"/>
                    <w:right w:val="single" w:sz="4" w:space="0" w:color="auto"/>
                  </w:tcBorders>
                  <w:hideMark/>
                </w:tcPr>
                <w:p w14:paraId="0C27079D"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2023-24</w:t>
                  </w:r>
                </w:p>
              </w:tc>
              <w:tc>
                <w:tcPr>
                  <w:tcW w:w="701" w:type="pct"/>
                  <w:tcBorders>
                    <w:top w:val="single" w:sz="4" w:space="0" w:color="auto"/>
                    <w:left w:val="single" w:sz="4" w:space="0" w:color="auto"/>
                    <w:bottom w:val="single" w:sz="4" w:space="0" w:color="auto"/>
                    <w:right w:val="single" w:sz="4" w:space="0" w:color="auto"/>
                  </w:tcBorders>
                  <w:hideMark/>
                </w:tcPr>
                <w:p w14:paraId="505BBDB8"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2024-25</w:t>
                  </w:r>
                </w:p>
              </w:tc>
            </w:tr>
            <w:tr w:rsidR="00DE0E0C" w:rsidRPr="00DE0E0C" w14:paraId="20C97C34" w14:textId="77777777" w:rsidTr="00BD7B97">
              <w:trPr>
                <w:trHeight w:val="212"/>
              </w:trPr>
              <w:tc>
                <w:tcPr>
                  <w:tcW w:w="997" w:type="pct"/>
                  <w:tcBorders>
                    <w:top w:val="single" w:sz="4" w:space="0" w:color="auto"/>
                    <w:left w:val="single" w:sz="4" w:space="0" w:color="auto"/>
                    <w:bottom w:val="single" w:sz="4" w:space="0" w:color="auto"/>
                    <w:right w:val="single" w:sz="4" w:space="0" w:color="auto"/>
                  </w:tcBorders>
                  <w:hideMark/>
                </w:tcPr>
                <w:p w14:paraId="4DD6531A"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Crude Oil</w:t>
                  </w:r>
                </w:p>
              </w:tc>
              <w:tc>
                <w:tcPr>
                  <w:tcW w:w="500" w:type="pct"/>
                  <w:tcBorders>
                    <w:top w:val="single" w:sz="4" w:space="0" w:color="auto"/>
                    <w:left w:val="single" w:sz="4" w:space="0" w:color="auto"/>
                    <w:bottom w:val="single" w:sz="4" w:space="0" w:color="auto"/>
                    <w:right w:val="single" w:sz="4" w:space="0" w:color="auto"/>
                  </w:tcBorders>
                  <w:hideMark/>
                </w:tcPr>
                <w:p w14:paraId="323EDA12"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MMT</w:t>
                  </w:r>
                </w:p>
              </w:tc>
              <w:tc>
                <w:tcPr>
                  <w:tcW w:w="701" w:type="pct"/>
                  <w:tcBorders>
                    <w:top w:val="single" w:sz="4" w:space="0" w:color="auto"/>
                    <w:left w:val="single" w:sz="4" w:space="0" w:color="auto"/>
                    <w:bottom w:val="single" w:sz="4" w:space="0" w:color="auto"/>
                    <w:right w:val="single" w:sz="4" w:space="0" w:color="auto"/>
                  </w:tcBorders>
                  <w:hideMark/>
                </w:tcPr>
                <w:p w14:paraId="3040C546"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2.964</w:t>
                  </w:r>
                </w:p>
              </w:tc>
              <w:tc>
                <w:tcPr>
                  <w:tcW w:w="701" w:type="pct"/>
                  <w:tcBorders>
                    <w:top w:val="single" w:sz="4" w:space="0" w:color="auto"/>
                    <w:left w:val="single" w:sz="4" w:space="0" w:color="auto"/>
                    <w:bottom w:val="single" w:sz="4" w:space="0" w:color="auto"/>
                    <w:right w:val="single" w:sz="4" w:space="0" w:color="auto"/>
                  </w:tcBorders>
                  <w:hideMark/>
                </w:tcPr>
                <w:p w14:paraId="3FDCD503"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3.010</w:t>
                  </w:r>
                </w:p>
              </w:tc>
              <w:tc>
                <w:tcPr>
                  <w:tcW w:w="701" w:type="pct"/>
                  <w:tcBorders>
                    <w:top w:val="single" w:sz="4" w:space="0" w:color="auto"/>
                    <w:left w:val="single" w:sz="4" w:space="0" w:color="auto"/>
                    <w:bottom w:val="single" w:sz="4" w:space="0" w:color="auto"/>
                    <w:right w:val="single" w:sz="4" w:space="0" w:color="auto"/>
                  </w:tcBorders>
                  <w:hideMark/>
                </w:tcPr>
                <w:p w14:paraId="15E4B1FA"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3.176</w:t>
                  </w:r>
                </w:p>
              </w:tc>
              <w:tc>
                <w:tcPr>
                  <w:tcW w:w="701" w:type="pct"/>
                  <w:tcBorders>
                    <w:top w:val="single" w:sz="4" w:space="0" w:color="auto"/>
                    <w:left w:val="single" w:sz="4" w:space="0" w:color="auto"/>
                    <w:bottom w:val="single" w:sz="4" w:space="0" w:color="auto"/>
                    <w:right w:val="single" w:sz="4" w:space="0" w:color="auto"/>
                  </w:tcBorders>
                  <w:hideMark/>
                </w:tcPr>
                <w:p w14:paraId="018C8E27"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3.359</w:t>
                  </w:r>
                </w:p>
              </w:tc>
              <w:tc>
                <w:tcPr>
                  <w:tcW w:w="701" w:type="pct"/>
                  <w:tcBorders>
                    <w:top w:val="single" w:sz="4" w:space="0" w:color="auto"/>
                    <w:left w:val="single" w:sz="4" w:space="0" w:color="auto"/>
                    <w:bottom w:val="single" w:sz="4" w:space="0" w:color="auto"/>
                    <w:right w:val="single" w:sz="4" w:space="0" w:color="auto"/>
                  </w:tcBorders>
                  <w:hideMark/>
                </w:tcPr>
                <w:p w14:paraId="083628D7"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3.458</w:t>
                  </w:r>
                </w:p>
              </w:tc>
            </w:tr>
          </w:tbl>
          <w:p w14:paraId="1C2BC2CF" w14:textId="57CE382B" w:rsidR="00CD6DC6" w:rsidRPr="00040065" w:rsidRDefault="00CD6DC6" w:rsidP="00C41083">
            <w:pPr>
              <w:spacing w:after="120"/>
              <w:jc w:val="both"/>
              <w:rPr>
                <w:rFonts w:ascii="Tahoma" w:eastAsia="Times New Roman" w:hAnsi="Tahoma" w:cs="Tahoma"/>
                <w:kern w:val="2"/>
                <w14:ligatures w14:val="standardContextual"/>
              </w:rPr>
            </w:pPr>
          </w:p>
        </w:tc>
      </w:tr>
      <w:tr w:rsidR="003E2B73" w:rsidRPr="00040065" w14:paraId="65648DF5" w14:textId="77777777" w:rsidTr="00DE0E0C">
        <w:trPr>
          <w:trHeight w:val="986"/>
        </w:trPr>
        <w:tc>
          <w:tcPr>
            <w:tcW w:w="3397" w:type="dxa"/>
          </w:tcPr>
          <w:p w14:paraId="04A4DB82" w14:textId="0652C612" w:rsidR="00C209C9" w:rsidRPr="00C209C9" w:rsidRDefault="003E2B73" w:rsidP="00C209C9">
            <w:pPr>
              <w:ind w:right="34"/>
              <w:jc w:val="both"/>
              <w:rPr>
                <w:rFonts w:ascii="Tahoma" w:hAnsi="Tahoma" w:cs="Tahoma"/>
                <w:i/>
                <w:iCs/>
                <w:lang w:val="en-US"/>
              </w:rPr>
            </w:pPr>
            <w:r w:rsidRPr="00040065">
              <w:rPr>
                <w:rFonts w:ascii="Tahoma" w:hAnsi="Tahoma" w:cs="Tahoma"/>
                <w:i/>
                <w:iCs/>
              </w:rPr>
              <w:t xml:space="preserve">Q.(b) </w:t>
            </w:r>
            <w:r w:rsidR="00C209C9">
              <w:rPr>
                <w:rFonts w:ascii="Tahoma" w:hAnsi="Tahoma" w:cs="Tahoma"/>
                <w:i/>
                <w:iCs/>
                <w:lang w:val="en-US"/>
              </w:rPr>
              <w:t>T</w:t>
            </w:r>
            <w:r w:rsidR="00C209C9" w:rsidRPr="00C209C9">
              <w:rPr>
                <w:rFonts w:ascii="Tahoma" w:hAnsi="Tahoma" w:cs="Tahoma"/>
                <w:i/>
                <w:iCs/>
                <w:lang w:val="en-US"/>
              </w:rPr>
              <w:t>he total import of crude oil during the same period, country-wise; and</w:t>
            </w:r>
          </w:p>
          <w:p w14:paraId="01947609" w14:textId="5EDAA2D0" w:rsidR="00BF5FD1" w:rsidRPr="00040065" w:rsidRDefault="00BF5FD1" w:rsidP="00EC4D11">
            <w:pPr>
              <w:ind w:right="34"/>
              <w:jc w:val="both"/>
              <w:rPr>
                <w:rFonts w:ascii="Tahoma" w:eastAsia="Times New Roman" w:hAnsi="Tahoma" w:cs="Tahoma"/>
                <w:i/>
                <w:color w:val="000000"/>
              </w:rPr>
            </w:pPr>
          </w:p>
        </w:tc>
        <w:tc>
          <w:tcPr>
            <w:tcW w:w="6350" w:type="dxa"/>
          </w:tcPr>
          <w:p w14:paraId="3F3AE552" w14:textId="2A0F52EE" w:rsidR="00DF02B5" w:rsidRPr="00040065" w:rsidRDefault="00DF02B5" w:rsidP="00DF02B5">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b</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34EEE8F3"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As far as OIL is concerned, OIL does not import crude oil.</w:t>
            </w:r>
          </w:p>
          <w:p w14:paraId="3780DB29" w14:textId="195A36A4" w:rsidR="003E2B73" w:rsidRPr="00040065" w:rsidRDefault="003E2B73" w:rsidP="00EC4D11">
            <w:pPr>
              <w:spacing w:after="120"/>
              <w:jc w:val="both"/>
              <w:rPr>
                <w:rFonts w:ascii="Tahoma" w:hAnsi="Tahoma" w:cs="Tahoma"/>
                <w:lang w:val="en-US"/>
              </w:rPr>
            </w:pPr>
          </w:p>
        </w:tc>
      </w:tr>
      <w:tr w:rsidR="00BF5FD1" w:rsidRPr="00040065" w14:paraId="36083E04" w14:textId="77777777" w:rsidTr="00DE0E0C">
        <w:trPr>
          <w:trHeight w:val="1230"/>
        </w:trPr>
        <w:tc>
          <w:tcPr>
            <w:tcW w:w="3397" w:type="dxa"/>
          </w:tcPr>
          <w:p w14:paraId="18E154E9" w14:textId="475844A4" w:rsidR="00C209C9" w:rsidRPr="00C209C9" w:rsidRDefault="00BF5FD1" w:rsidP="00C209C9">
            <w:pPr>
              <w:ind w:right="34"/>
              <w:jc w:val="both"/>
              <w:rPr>
                <w:rFonts w:ascii="Tahoma" w:hAnsi="Tahoma" w:cs="Tahoma"/>
                <w:i/>
                <w:iCs/>
                <w:lang w:val="en-US"/>
              </w:rPr>
            </w:pPr>
            <w:r>
              <w:rPr>
                <w:rFonts w:ascii="Tahoma" w:hAnsi="Tahoma" w:cs="Tahoma"/>
                <w:i/>
                <w:iCs/>
              </w:rPr>
              <w:t xml:space="preserve">Q.(c) </w:t>
            </w:r>
            <w:r w:rsidR="00C209C9">
              <w:rPr>
                <w:rFonts w:ascii="Tahoma" w:hAnsi="Tahoma" w:cs="Tahoma"/>
                <w:i/>
                <w:iCs/>
                <w:lang w:val="en-US"/>
              </w:rPr>
              <w:t>T</w:t>
            </w:r>
            <w:r w:rsidR="00C209C9" w:rsidRPr="00C209C9">
              <w:rPr>
                <w:rFonts w:ascii="Tahoma" w:hAnsi="Tahoma" w:cs="Tahoma"/>
                <w:i/>
                <w:iCs/>
                <w:lang w:val="en-US"/>
              </w:rPr>
              <w:t>he steps being taken by the Government to reduce import dependency on crude oil?</w:t>
            </w:r>
          </w:p>
          <w:p w14:paraId="50B911BA" w14:textId="16B78120" w:rsidR="00EC4D11" w:rsidRPr="00040065" w:rsidRDefault="00EC4D11" w:rsidP="00EC4D11">
            <w:pPr>
              <w:ind w:right="34"/>
              <w:jc w:val="both"/>
              <w:rPr>
                <w:rFonts w:ascii="Tahoma" w:hAnsi="Tahoma" w:cs="Tahoma"/>
                <w:i/>
                <w:iCs/>
              </w:rPr>
            </w:pPr>
          </w:p>
        </w:tc>
        <w:tc>
          <w:tcPr>
            <w:tcW w:w="6350" w:type="dxa"/>
          </w:tcPr>
          <w:p w14:paraId="10DB793E" w14:textId="1D3EABA1" w:rsidR="00BF5FD1" w:rsidRPr="00040065" w:rsidRDefault="00BF5FD1" w:rsidP="00BF5FD1">
            <w:pPr>
              <w:spacing w:after="120"/>
              <w:jc w:val="both"/>
              <w:rPr>
                <w:rFonts w:ascii="Tahoma" w:eastAsia="Times New Roman" w:hAnsi="Tahoma" w:cs="Tahoma"/>
                <w:b/>
                <w:bCs/>
                <w:kern w:val="2"/>
                <w14:ligatures w14:val="standardContextual"/>
              </w:rPr>
            </w:pPr>
            <w:r w:rsidRPr="00040065">
              <w:rPr>
                <w:rFonts w:ascii="Tahoma" w:hAnsi="Tahoma" w:cs="Tahoma"/>
                <w:b/>
                <w:lang w:val="en-US"/>
              </w:rPr>
              <w:t>Answer to Q(</w:t>
            </w:r>
            <w:r>
              <w:rPr>
                <w:rFonts w:ascii="Tahoma" w:hAnsi="Tahoma" w:cs="Tahoma"/>
                <w:b/>
                <w:lang w:val="en-US"/>
              </w:rPr>
              <w:t>c</w:t>
            </w:r>
            <w:r w:rsidRPr="00040065">
              <w:rPr>
                <w:rFonts w:ascii="Tahoma" w:hAnsi="Tahoma" w:cs="Tahoma"/>
                <w:b/>
                <w:lang w:val="en-US"/>
              </w:rPr>
              <w:t>):</w:t>
            </w:r>
            <w:r w:rsidRPr="00040065">
              <w:rPr>
                <w:rFonts w:ascii="Tahoma" w:hAnsi="Tahoma" w:cs="Tahoma"/>
                <w:lang w:val="en-US"/>
              </w:rPr>
              <w:t xml:space="preserve"> </w:t>
            </w:r>
            <w:proofErr w:type="spellStart"/>
            <w:r w:rsidRPr="00040065">
              <w:rPr>
                <w:rFonts w:ascii="Tahoma" w:eastAsia="Times New Roman" w:hAnsi="Tahoma" w:cs="Tahoma"/>
                <w:b/>
                <w:bCs/>
                <w:kern w:val="2"/>
                <w14:ligatures w14:val="standardContextual"/>
              </w:rPr>
              <w:t>MoPNG</w:t>
            </w:r>
            <w:proofErr w:type="spellEnd"/>
            <w:r w:rsidRPr="00040065">
              <w:rPr>
                <w:rFonts w:ascii="Tahoma" w:eastAsia="Times New Roman" w:hAnsi="Tahoma" w:cs="Tahoma"/>
                <w:b/>
                <w:bCs/>
                <w:kern w:val="2"/>
                <w14:ligatures w14:val="standardContextual"/>
              </w:rPr>
              <w:t xml:space="preserve"> may reply suitably. </w:t>
            </w:r>
          </w:p>
          <w:p w14:paraId="1CB717AB"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As far as Oil India Limited (OIL) is concerned, OIL has been aggressively taking up the exploration and production activities along with substantial investment in alternate energy sectors in line with the </w:t>
            </w:r>
            <w:proofErr w:type="spellStart"/>
            <w:r w:rsidRPr="00DE0E0C">
              <w:rPr>
                <w:rFonts w:ascii="Tahoma" w:eastAsia="Times New Roman" w:hAnsi="Tahoma" w:cs="Tahoma"/>
                <w:kern w:val="2"/>
                <w14:ligatures w14:val="standardContextual"/>
              </w:rPr>
              <w:t>GoI</w:t>
            </w:r>
            <w:proofErr w:type="spellEnd"/>
            <w:r w:rsidRPr="00DE0E0C">
              <w:rPr>
                <w:rFonts w:ascii="Tahoma" w:eastAsia="Times New Roman" w:hAnsi="Tahoma" w:cs="Tahoma"/>
                <w:kern w:val="2"/>
                <w14:ligatures w14:val="standardContextual"/>
              </w:rPr>
              <w:t xml:space="preserve"> initiatives to reduce India’s dependence on imports.</w:t>
            </w:r>
          </w:p>
          <w:p w14:paraId="3713CAD8"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OIL has achieved a quantum jump in its acreages after the implementation of HELP and presently holds 92,888 sq. km acreages across various regimes divided into 62 blocks across the nation including offshore blocks.</w:t>
            </w:r>
          </w:p>
          <w:p w14:paraId="0D59A480"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lastRenderedPageBreak/>
              <w:t>OIL is currently carrying out domestic E&amp;P activities in a total of 62 nos. of operated acreages. These include 25 nomination Petroleum Mining Leases (21 in Assam, 2 in Arunachal Pradesh and 2 in 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As of 31th Oct 2025, OIL drilled 17 wells in OALP blocks including 2 offshore wells and established the presence of hydrocarbon in three blocks.</w:t>
            </w:r>
          </w:p>
          <w:p w14:paraId="430888C8"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To drive future growth and enhance production, OIL’s key </w:t>
            </w:r>
            <w:proofErr w:type="spellStart"/>
            <w:r w:rsidRPr="00DE0E0C">
              <w:rPr>
                <w:rFonts w:ascii="Tahoma" w:eastAsia="Times New Roman" w:hAnsi="Tahoma" w:cs="Tahoma"/>
                <w:kern w:val="2"/>
                <w14:ligatures w14:val="standardContextual"/>
              </w:rPr>
              <w:t>endeavors</w:t>
            </w:r>
            <w:proofErr w:type="spellEnd"/>
            <w:r w:rsidRPr="00DE0E0C">
              <w:rPr>
                <w:rFonts w:ascii="Tahoma" w:eastAsia="Times New Roman" w:hAnsi="Tahoma" w:cs="Tahoma"/>
                <w:kern w:val="2"/>
                <w14:ligatures w14:val="standardContextual"/>
              </w:rPr>
              <w:t xml:space="preserve"> can be broadly summarized as follows:</w:t>
            </w:r>
          </w:p>
          <w:p w14:paraId="39744908" w14:textId="1FF0FA19"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 xml:space="preserve">Enhancing </w:t>
            </w:r>
            <w:proofErr w:type="gramStart"/>
            <w:r w:rsidRPr="00DE0E0C">
              <w:rPr>
                <w:rFonts w:ascii="Tahoma" w:eastAsia="Times New Roman" w:hAnsi="Tahoma" w:cs="Tahoma"/>
                <w:kern w:val="2"/>
                <w14:ligatures w14:val="standardContextual"/>
              </w:rPr>
              <w:t xml:space="preserve">Production </w:t>
            </w:r>
            <w:r w:rsidR="007D3769">
              <w:rPr>
                <w:rFonts w:ascii="Tahoma" w:eastAsia="Times New Roman" w:hAnsi="Tahoma" w:cs="Tahoma"/>
                <w:kern w:val="2"/>
                <w14:ligatures w14:val="standardContextual"/>
              </w:rPr>
              <w:t>:</w:t>
            </w:r>
            <w:proofErr w:type="gramEnd"/>
            <w:r w:rsidR="007D3769">
              <w:rPr>
                <w:rFonts w:ascii="Tahoma" w:eastAsia="Times New Roman" w:hAnsi="Tahoma" w:cs="Tahoma"/>
                <w:kern w:val="2"/>
                <w14:ligatures w14:val="standardContextual"/>
              </w:rPr>
              <w:t xml:space="preserve"> </w:t>
            </w:r>
            <w:r w:rsidRPr="00DE0E0C">
              <w:rPr>
                <w:rFonts w:ascii="Tahoma" w:eastAsia="Times New Roman" w:hAnsi="Tahoma" w:cs="Tahoma"/>
                <w:kern w:val="2"/>
                <w14:ligatures w14:val="standardContextual"/>
              </w:rPr>
              <w:t>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14:paraId="3D2292B8"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Accelerated Exploration and Redevelopment: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14:paraId="72637C60"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Focused Development Areas: The company has identified several key areas for fast-track development, which are expected to substantially enhance production levels in the near future.</w:t>
            </w:r>
          </w:p>
          <w:p w14:paraId="6DA75F6A"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Advanced Recovery Techniques: To maximize recovery from its mature fields in the Upper Assam Basin, OIL continues to implement water injection techniques and other IOR (Improved Oil Recovery) and EOR (Enhanced Oil Recovery) technologies.</w:t>
            </w:r>
          </w:p>
          <w:p w14:paraId="49045F1E"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Adopting Innovative Technologies: OIL is actively deploying fit-for-purpose technologies to improve production efficiency and optimize operations.</w:t>
            </w:r>
          </w:p>
          <w:p w14:paraId="47C1D43F"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Collaborative Efforts: OIL is collaborating with national and international institutions and industry leaders to leverage expertise and resources for enhanced exploration and production activities.</w:t>
            </w:r>
          </w:p>
          <w:p w14:paraId="71F84043"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In addition to these initiatives, OIL is implementing a comprehensive strategy comprising short-, mid-, and long-term </w:t>
            </w:r>
            <w:r w:rsidRPr="00DE0E0C">
              <w:rPr>
                <w:rFonts w:ascii="Tahoma" w:eastAsia="Times New Roman" w:hAnsi="Tahoma" w:cs="Tahoma"/>
                <w:kern w:val="2"/>
                <w14:ligatures w14:val="standardContextual"/>
              </w:rPr>
              <w:lastRenderedPageBreak/>
              <w:t>measures for enhancement of crude oil production as detailed below:</w:t>
            </w:r>
          </w:p>
          <w:p w14:paraId="5BC64033"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Short-term Measures: These include well intervention activities and the immediate induction of new technologies to address operational challenges.</w:t>
            </w:r>
          </w:p>
          <w:p w14:paraId="5F99DA17"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Mid-term Measures: Creation of surface facilities to remove bottlenecks and facilitate smoother production processes.</w:t>
            </w:r>
          </w:p>
          <w:p w14:paraId="2C507DF9"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r w:rsidRPr="00DE0E0C">
              <w:rPr>
                <w:rFonts w:ascii="Tahoma" w:eastAsia="Times New Roman" w:hAnsi="Tahoma" w:cs="Tahoma"/>
                <w:kern w:val="2"/>
                <w14:ligatures w14:val="standardContextual"/>
              </w:rPr>
              <w:tab/>
              <w:t>Long-term Measures: Maximizing recovery from mature fields through advanced IOR/EOR techniques.</w:t>
            </w:r>
          </w:p>
          <w:p w14:paraId="26FD763A"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Apart from the conventional sources of energy OIL is in the process of establishing 25 Compressed Biogas (CBG) plants across India, utilizing Municipal Solid Waste (MSW), agricultural waste etc. as feedstock. The CBG plants at Tinsukia (Assam) and Bhubaneswar (Odisha) are currently under construction and are expected to be completed by 2027. Additionally, tenders for Jorhat (Assam), Cuttack (Odisha), and Agartala (Tripura) have been floated whereas the remaining 20 plants are at various stages of development. OIL is also establishing 645 MW of solar power generation through JV with Assam Power Generation Corporation Limited (APGCL). </w:t>
            </w:r>
          </w:p>
          <w:p w14:paraId="64AD4E75"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OIL is presently being Green Hydrogen (2%) with natural gas at India’s first AEM-based GH₂ pilot plant (30 kg/day) Jorhat. A 1 MW GH₂ plant (400 kg/day) is under construction at </w:t>
            </w:r>
            <w:proofErr w:type="spellStart"/>
            <w:r w:rsidRPr="00DE0E0C">
              <w:rPr>
                <w:rFonts w:ascii="Tahoma" w:eastAsia="Times New Roman" w:hAnsi="Tahoma" w:cs="Tahoma"/>
                <w:kern w:val="2"/>
                <w14:ligatures w14:val="standardContextual"/>
              </w:rPr>
              <w:t>Nalagarh</w:t>
            </w:r>
            <w:proofErr w:type="spellEnd"/>
            <w:r w:rsidRPr="00DE0E0C">
              <w:rPr>
                <w:rFonts w:ascii="Tahoma" w:eastAsia="Times New Roman" w:hAnsi="Tahoma" w:cs="Tahoma"/>
                <w:kern w:val="2"/>
                <w14:ligatures w14:val="standardContextual"/>
              </w:rPr>
              <w:t xml:space="preserve">, Himachal Pradesh, in collaboration with Himachal Pradesh Power Corporation Ltd </w:t>
            </w:r>
          </w:p>
          <w:p w14:paraId="67A7D1F7"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OIL’s material subsidiary NRL’s 50 KTPA 2G </w:t>
            </w:r>
            <w:proofErr w:type="spellStart"/>
            <w:r w:rsidRPr="00DE0E0C">
              <w:rPr>
                <w:rFonts w:ascii="Tahoma" w:eastAsia="Times New Roman" w:hAnsi="Tahoma" w:cs="Tahoma"/>
                <w:kern w:val="2"/>
                <w14:ligatures w14:val="standardContextual"/>
              </w:rPr>
              <w:t>bioethonal</w:t>
            </w:r>
            <w:proofErr w:type="spellEnd"/>
            <w:r w:rsidRPr="00DE0E0C">
              <w:rPr>
                <w:rFonts w:ascii="Tahoma" w:eastAsia="Times New Roman" w:hAnsi="Tahoma" w:cs="Tahoma"/>
                <w:kern w:val="2"/>
                <w14:ligatures w14:val="standardContextual"/>
              </w:rPr>
              <w:t xml:space="preserve"> plant has been inaugurated by the Prime Minister on 14</w:t>
            </w:r>
            <w:r w:rsidRPr="00DE0E0C">
              <w:rPr>
                <w:rFonts w:ascii="Tahoma" w:eastAsia="Times New Roman" w:hAnsi="Tahoma" w:cs="Tahoma"/>
                <w:kern w:val="2"/>
                <w:vertAlign w:val="superscript"/>
                <w14:ligatures w14:val="standardContextual"/>
              </w:rPr>
              <w:t>th</w:t>
            </w:r>
            <w:r w:rsidRPr="00DE0E0C">
              <w:rPr>
                <w:rFonts w:ascii="Tahoma" w:eastAsia="Times New Roman" w:hAnsi="Tahoma" w:cs="Tahoma"/>
                <w:kern w:val="2"/>
                <w14:ligatures w14:val="standardContextual"/>
              </w:rPr>
              <w:t xml:space="preserve"> Sep 2025 which uses bamboo feedstock. Moreover the 2.4 KTPA Green Hydrogen plant is under commissioning phase.</w:t>
            </w:r>
          </w:p>
          <w:p w14:paraId="2C2EED6A" w14:textId="65A3D34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Government has taken various initiatives and actions in the recent past to </w:t>
            </w:r>
            <w:r w:rsidR="007D3769">
              <w:rPr>
                <w:rFonts w:ascii="Tahoma" w:eastAsia="Times New Roman" w:hAnsi="Tahoma" w:cs="Tahoma"/>
                <w:kern w:val="2"/>
                <w14:ligatures w14:val="standardContextual"/>
              </w:rPr>
              <w:t xml:space="preserve">facilitate      </w:t>
            </w:r>
            <w:r w:rsidRPr="00DE0E0C">
              <w:rPr>
                <w:rFonts w:ascii="Tahoma" w:eastAsia="Times New Roman" w:hAnsi="Tahoma" w:cs="Tahoma"/>
                <w:kern w:val="2"/>
                <w14:ligatures w14:val="standardContextual"/>
              </w:rPr>
              <w:t xml:space="preserve"> domestic exploration and production of petroleum and natural gas. Some of the major initiatives are stated below.</w:t>
            </w:r>
          </w:p>
          <w:p w14:paraId="1F56B894"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w:t>
            </w:r>
            <w:r w:rsidRPr="00DE0E0C">
              <w:rPr>
                <w:rFonts w:ascii="Tahoma" w:eastAsia="Times New Roman" w:hAnsi="Tahoma" w:cs="Tahoma"/>
                <w:kern w:val="2"/>
                <w14:ligatures w14:val="standardContextual"/>
              </w:rPr>
              <w:tab/>
              <w:t>Hydrocarbon Exploration Licensing policy (HELP) &amp; Discovery Small Fields (DSF)</w:t>
            </w:r>
          </w:p>
          <w:p w14:paraId="5CF3BAAA"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II.</w:t>
            </w:r>
            <w:r w:rsidRPr="00DE0E0C">
              <w:rPr>
                <w:rFonts w:ascii="Tahoma" w:eastAsia="Times New Roman" w:hAnsi="Tahoma" w:cs="Tahoma"/>
                <w:kern w:val="2"/>
                <w14:ligatures w14:val="standardContextual"/>
              </w:rPr>
              <w:tab/>
              <w:t>National Seismic Programme (NSP) and Deep Andaman offshore Surveys</w:t>
            </w:r>
          </w:p>
          <w:p w14:paraId="0D4CEEBE"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III.</w:t>
            </w:r>
            <w:r w:rsidRPr="00DE0E0C">
              <w:rPr>
                <w:rFonts w:ascii="Tahoma" w:eastAsia="Times New Roman" w:hAnsi="Tahoma" w:cs="Tahoma"/>
                <w:kern w:val="2"/>
                <w14:ligatures w14:val="standardContextual"/>
              </w:rPr>
              <w:tab/>
              <w:t xml:space="preserve">Airborne Gravity </w:t>
            </w:r>
            <w:proofErr w:type="spellStart"/>
            <w:r w:rsidRPr="00DE0E0C">
              <w:rPr>
                <w:rFonts w:ascii="Tahoma" w:eastAsia="Times New Roman" w:hAnsi="Tahoma" w:cs="Tahoma"/>
                <w:kern w:val="2"/>
                <w14:ligatures w14:val="standardContextual"/>
              </w:rPr>
              <w:t>Gradiometry</w:t>
            </w:r>
            <w:proofErr w:type="spellEnd"/>
            <w:r w:rsidRPr="00DE0E0C">
              <w:rPr>
                <w:rFonts w:ascii="Tahoma" w:eastAsia="Times New Roman" w:hAnsi="Tahoma" w:cs="Tahoma"/>
                <w:kern w:val="2"/>
                <w14:ligatures w14:val="standardContextual"/>
              </w:rPr>
              <w:t xml:space="preserve"> and Gravity-Magnetic survey</w:t>
            </w:r>
          </w:p>
          <w:p w14:paraId="5B6FA07A"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IV.</w:t>
            </w:r>
            <w:r w:rsidRPr="00DE0E0C">
              <w:rPr>
                <w:rFonts w:ascii="Tahoma" w:eastAsia="Times New Roman" w:hAnsi="Tahoma" w:cs="Tahoma"/>
                <w:kern w:val="2"/>
                <w14:ligatures w14:val="standardContextual"/>
              </w:rPr>
              <w:tab/>
              <w:t>Drilling of Stratigraphic Wells</w:t>
            </w:r>
          </w:p>
          <w:p w14:paraId="646C3DA9"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V.</w:t>
            </w:r>
            <w:r w:rsidRPr="00DE0E0C">
              <w:rPr>
                <w:rFonts w:ascii="Tahoma" w:eastAsia="Times New Roman" w:hAnsi="Tahoma" w:cs="Tahoma"/>
                <w:kern w:val="2"/>
                <w14:ligatures w14:val="standardContextual"/>
              </w:rPr>
              <w:tab/>
              <w:t xml:space="preserve">Seismic Campaign Under Mission </w:t>
            </w:r>
            <w:proofErr w:type="spellStart"/>
            <w:r w:rsidRPr="00DE0E0C">
              <w:rPr>
                <w:rFonts w:ascii="Tahoma" w:eastAsia="Times New Roman" w:hAnsi="Tahoma" w:cs="Tahoma"/>
                <w:kern w:val="2"/>
                <w14:ligatures w14:val="standardContextual"/>
              </w:rPr>
              <w:t>Anveshan</w:t>
            </w:r>
            <w:proofErr w:type="spellEnd"/>
            <w:r w:rsidRPr="00DE0E0C">
              <w:rPr>
                <w:rFonts w:ascii="Tahoma" w:eastAsia="Times New Roman" w:hAnsi="Tahoma" w:cs="Tahoma"/>
                <w:kern w:val="2"/>
                <w14:ligatures w14:val="standardContextual"/>
              </w:rPr>
              <w:t xml:space="preserve"> (MA) &amp; ECS beyond EEZ</w:t>
            </w:r>
          </w:p>
          <w:p w14:paraId="27867854"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VI.</w:t>
            </w:r>
            <w:r w:rsidRPr="00DE0E0C">
              <w:rPr>
                <w:rFonts w:ascii="Tahoma" w:eastAsia="Times New Roman" w:hAnsi="Tahoma" w:cs="Tahoma"/>
                <w:kern w:val="2"/>
                <w14:ligatures w14:val="standardContextual"/>
              </w:rPr>
              <w:tab/>
              <w:t>Opening of No-Go Areas for E&amp;P Activities.</w:t>
            </w:r>
          </w:p>
          <w:p w14:paraId="6CC2F29F" w14:textId="77777777" w:rsidR="00DE0E0C" w:rsidRPr="00DE0E0C" w:rsidRDefault="00DE0E0C" w:rsidP="00DE0E0C">
            <w:pPr>
              <w:spacing w:after="120"/>
              <w:jc w:val="both"/>
              <w:rPr>
                <w:rFonts w:ascii="Tahoma" w:eastAsia="Times New Roman" w:hAnsi="Tahoma" w:cs="Tahoma"/>
                <w:kern w:val="2"/>
                <w14:ligatures w14:val="standardContextual"/>
              </w:rPr>
            </w:pPr>
          </w:p>
          <w:p w14:paraId="0DE2C23D"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Details of the major initiatives taken by Government of India are stated below.</w:t>
            </w:r>
          </w:p>
          <w:p w14:paraId="4F425708"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w:t>
            </w:r>
            <w:proofErr w:type="spellStart"/>
            <w:r w:rsidRPr="00DE0E0C">
              <w:rPr>
                <w:rFonts w:ascii="Tahoma" w:eastAsia="Times New Roman" w:hAnsi="Tahoma" w:cs="Tahoma"/>
                <w:kern w:val="2"/>
                <w14:ligatures w14:val="standardContextual"/>
              </w:rPr>
              <w:t>i</w:t>
            </w:r>
            <w:proofErr w:type="spellEnd"/>
            <w:r w:rsidRPr="00DE0E0C">
              <w:rPr>
                <w:rFonts w:ascii="Tahoma" w:eastAsia="Times New Roman" w:hAnsi="Tahoma" w:cs="Tahoma"/>
                <w:kern w:val="2"/>
                <w14:ligatures w14:val="standardContextual"/>
              </w:rPr>
              <w:t xml:space="preserve">) Hydrocarbon Exploration Licensing policy (HELP) &amp; Discovery Small Fields (DSF): The Hydrocarbon Exploration Licensing </w:t>
            </w:r>
            <w:r w:rsidRPr="00DE0E0C">
              <w:rPr>
                <w:rFonts w:ascii="Tahoma" w:eastAsia="Times New Roman" w:hAnsi="Tahoma" w:cs="Tahoma"/>
                <w:kern w:val="2"/>
                <w14:ligatures w14:val="standardContextual"/>
              </w:rPr>
              <w:lastRenderedPageBreak/>
              <w:t xml:space="preserve">policy (HELP) was launched by </w:t>
            </w:r>
            <w:proofErr w:type="spellStart"/>
            <w:r w:rsidRPr="00DE0E0C">
              <w:rPr>
                <w:rFonts w:ascii="Tahoma" w:eastAsia="Times New Roman" w:hAnsi="Tahoma" w:cs="Tahoma"/>
                <w:kern w:val="2"/>
                <w14:ligatures w14:val="standardContextual"/>
              </w:rPr>
              <w:t>GoI</w:t>
            </w:r>
            <w:proofErr w:type="spellEnd"/>
            <w:r w:rsidRPr="00DE0E0C">
              <w:rPr>
                <w:rFonts w:ascii="Tahoma" w:eastAsia="Times New Roman" w:hAnsi="Tahoma" w:cs="Tahoma"/>
                <w:kern w:val="2"/>
                <w14:ligatures w14:val="standardContextual"/>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p>
          <w:p w14:paraId="3F11A293"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OIL has actively participated in all recent bid rounds of Open Acreage Licensing Policy (OALP) and Discovered Small Fields (DSF) under Hydrocarbon Exploration Licensing Policy (HELP) and has significantly increased its domestic acreages. Presently, OIL has 32 nos. of OALP Blocks (Northeast-17, Rajasthan-3, Odisha-4, Gujarat-1, Andaman shallow offshore-2, </w:t>
            </w:r>
            <w:proofErr w:type="spellStart"/>
            <w:r w:rsidRPr="00DE0E0C">
              <w:rPr>
                <w:rFonts w:ascii="Tahoma" w:eastAsia="Times New Roman" w:hAnsi="Tahoma" w:cs="Tahoma"/>
                <w:kern w:val="2"/>
                <w14:ligatures w14:val="standardContextual"/>
              </w:rPr>
              <w:t>Kerela</w:t>
            </w:r>
            <w:proofErr w:type="spellEnd"/>
            <w:r w:rsidRPr="00DE0E0C">
              <w:rPr>
                <w:rFonts w:ascii="Tahoma" w:eastAsia="Times New Roman" w:hAnsi="Tahoma" w:cs="Tahoma"/>
                <w:kern w:val="2"/>
                <w14:ligatures w14:val="standardContextual"/>
              </w:rPr>
              <w:t xml:space="preserve"> Konkan shallow offshore-1, Mahanadi Ultradeep-2 &amp; KG Ultradeep-2) covering 87,432 sq.km and 3 nos. of DSF Blocks covering 208 sq.km across eight sedimentary basins. So far, OIL has completed drilling of 14 nos. of onshore exploratory wells (5 in Rajasthan, 5 in Odisha and 4 in Assam) in 9 (nine) OALP blocks, and one shallow offshore exploratory well in Andaman Basin. During 2024-25, OIL has established the presence of hydrocarbon in two OALP </w:t>
            </w:r>
            <w:proofErr w:type="gramStart"/>
            <w:r w:rsidRPr="00DE0E0C">
              <w:rPr>
                <w:rFonts w:ascii="Tahoma" w:eastAsia="Times New Roman" w:hAnsi="Tahoma" w:cs="Tahoma"/>
                <w:kern w:val="2"/>
                <w14:ligatures w14:val="standardContextual"/>
              </w:rPr>
              <w:t>blocks  in</w:t>
            </w:r>
            <w:proofErr w:type="gramEnd"/>
            <w:r w:rsidRPr="00DE0E0C">
              <w:rPr>
                <w:rFonts w:ascii="Tahoma" w:eastAsia="Times New Roman" w:hAnsi="Tahoma" w:cs="Tahoma"/>
                <w:kern w:val="2"/>
                <w14:ligatures w14:val="standardContextual"/>
              </w:rPr>
              <w:t xml:space="preserve"> Assam, out of which One discovery has been monetised. Further drilling </w:t>
            </w:r>
            <w:proofErr w:type="gramStart"/>
            <w:r w:rsidRPr="00DE0E0C">
              <w:rPr>
                <w:rFonts w:ascii="Tahoma" w:eastAsia="Times New Roman" w:hAnsi="Tahoma" w:cs="Tahoma"/>
                <w:kern w:val="2"/>
                <w14:ligatures w14:val="standardContextual"/>
              </w:rPr>
              <w:t>and  exploration</w:t>
            </w:r>
            <w:proofErr w:type="gramEnd"/>
            <w:r w:rsidRPr="00DE0E0C">
              <w:rPr>
                <w:rFonts w:ascii="Tahoma" w:eastAsia="Times New Roman" w:hAnsi="Tahoma" w:cs="Tahoma"/>
                <w:kern w:val="2"/>
                <w14:ligatures w14:val="standardContextual"/>
              </w:rPr>
              <w:t xml:space="preserve"> activities are ongoing at full scale in the other OALP blocks also. OIL has drilled 3 DSF wells in Rajasthan (</w:t>
            </w:r>
            <w:proofErr w:type="spellStart"/>
            <w:r w:rsidRPr="00DE0E0C">
              <w:rPr>
                <w:rFonts w:ascii="Tahoma" w:eastAsia="Times New Roman" w:hAnsi="Tahoma" w:cs="Tahoma"/>
                <w:kern w:val="2"/>
                <w14:ligatures w14:val="standardContextual"/>
              </w:rPr>
              <w:t>Bakhrittibba</w:t>
            </w:r>
            <w:proofErr w:type="spellEnd"/>
            <w:r w:rsidRPr="00DE0E0C">
              <w:rPr>
                <w:rFonts w:ascii="Tahoma" w:eastAsia="Times New Roman" w:hAnsi="Tahoma" w:cs="Tahoma"/>
                <w:kern w:val="2"/>
                <w14:ligatures w14:val="standardContextual"/>
              </w:rPr>
              <w:t>) in FY-25 and NG production has brought into stream from these wells. DSF Blocks are under pre-development phase.</w:t>
            </w:r>
          </w:p>
          <w:p w14:paraId="2296C4FC"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(ii) National Seismic Programme (NSP) and Deep Andaman offshore Surveys: Ministry of Petroleum and Natural Gas (</w:t>
            </w:r>
            <w:proofErr w:type="spellStart"/>
            <w:r w:rsidRPr="00DE0E0C">
              <w:rPr>
                <w:rFonts w:ascii="Tahoma" w:eastAsia="Times New Roman" w:hAnsi="Tahoma" w:cs="Tahoma"/>
                <w:kern w:val="2"/>
                <w14:ligatures w14:val="standardContextual"/>
              </w:rPr>
              <w:t>MoP&amp;NG</w:t>
            </w:r>
            <w:proofErr w:type="spellEnd"/>
            <w:r w:rsidRPr="00DE0E0C">
              <w:rPr>
                <w:rFonts w:ascii="Tahoma" w:eastAsia="Times New Roman" w:hAnsi="Tahoma" w:cs="Tahoma"/>
                <w:kern w:val="2"/>
                <w14:ligatures w14:val="standardContextual"/>
              </w:rPr>
              <w:t>) and DGH had taken an initiative to cover the Un-appraised area of the country with 2D Seismic Survey both onshore through National Seismic Programme (NSP) and Deep Andaman offshore. As entrusted by DGH/</w:t>
            </w:r>
            <w:proofErr w:type="spellStart"/>
            <w:r w:rsidRPr="00DE0E0C">
              <w:rPr>
                <w:rFonts w:ascii="Tahoma" w:eastAsia="Times New Roman" w:hAnsi="Tahoma" w:cs="Tahoma"/>
                <w:kern w:val="2"/>
                <w14:ligatures w14:val="standardContextual"/>
              </w:rPr>
              <w:t>MoP&amp;NG</w:t>
            </w:r>
            <w:proofErr w:type="spellEnd"/>
            <w:r w:rsidRPr="00DE0E0C">
              <w:rPr>
                <w:rFonts w:ascii="Tahoma" w:eastAsia="Times New Roman" w:hAnsi="Tahoma" w:cs="Tahoma"/>
                <w:kern w:val="2"/>
                <w14:ligatures w14:val="standardContextual"/>
              </w:rPr>
              <w:t>, OIL has completed 5245.80 LKM and 22554.60 LKM of 2D Seismic Surveys under the National Seismic Programme (NSP) and Deep Andaman Offshore respectively.</w:t>
            </w:r>
          </w:p>
          <w:p w14:paraId="0D0FBA63"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(iii) Airborne Gravity </w:t>
            </w:r>
            <w:proofErr w:type="spellStart"/>
            <w:r w:rsidRPr="00DE0E0C">
              <w:rPr>
                <w:rFonts w:ascii="Tahoma" w:eastAsia="Times New Roman" w:hAnsi="Tahoma" w:cs="Tahoma"/>
                <w:kern w:val="2"/>
                <w14:ligatures w14:val="standardContextual"/>
              </w:rPr>
              <w:t>Gradiometry</w:t>
            </w:r>
            <w:proofErr w:type="spellEnd"/>
            <w:r w:rsidRPr="00DE0E0C">
              <w:rPr>
                <w:rFonts w:ascii="Tahoma" w:eastAsia="Times New Roman" w:hAnsi="Tahoma" w:cs="Tahoma"/>
                <w:kern w:val="2"/>
                <w14:ligatures w14:val="standardContextual"/>
              </w:rPr>
              <w:t xml:space="preserve"> and Gravity-Magnetic survey: To cover areas where seismic data couldn’t be acquired under National Seismic Programme (NSP) due to inaccessible terrain and hostile environment, </w:t>
            </w:r>
            <w:proofErr w:type="spellStart"/>
            <w:r w:rsidRPr="00DE0E0C">
              <w:rPr>
                <w:rFonts w:ascii="Tahoma" w:eastAsia="Times New Roman" w:hAnsi="Tahoma" w:cs="Tahoma"/>
                <w:kern w:val="2"/>
                <w14:ligatures w14:val="standardContextual"/>
              </w:rPr>
              <w:t>GoI</w:t>
            </w:r>
            <w:proofErr w:type="spellEnd"/>
            <w:r w:rsidRPr="00DE0E0C">
              <w:rPr>
                <w:rFonts w:ascii="Tahoma" w:eastAsia="Times New Roman" w:hAnsi="Tahoma" w:cs="Tahoma"/>
                <w:kern w:val="2"/>
                <w14:ligatures w14:val="standardContextual"/>
              </w:rPr>
              <w:t xml:space="preserve"> formulated a planned to conduct Airborne Geophysical survey to acquire 49,795 flight LKM Gravity </w:t>
            </w:r>
            <w:proofErr w:type="spellStart"/>
            <w:r w:rsidRPr="00DE0E0C">
              <w:rPr>
                <w:rFonts w:ascii="Tahoma" w:eastAsia="Times New Roman" w:hAnsi="Tahoma" w:cs="Tahoma"/>
                <w:kern w:val="2"/>
                <w14:ligatures w14:val="standardContextual"/>
              </w:rPr>
              <w:t>Gradiometry</w:t>
            </w:r>
            <w:proofErr w:type="spellEnd"/>
            <w:r w:rsidRPr="00DE0E0C">
              <w:rPr>
                <w:rFonts w:ascii="Tahoma" w:eastAsia="Times New Roman" w:hAnsi="Tahoma" w:cs="Tahoma"/>
                <w:kern w:val="2"/>
                <w14:ligatures w14:val="standardContextual"/>
              </w:rPr>
              <w:t xml:space="preserve"> and Gravity-Magnetic data. Accordingly, OIL was entrusted by </w:t>
            </w:r>
            <w:proofErr w:type="spellStart"/>
            <w:r w:rsidRPr="00DE0E0C">
              <w:rPr>
                <w:rFonts w:ascii="Tahoma" w:eastAsia="Times New Roman" w:hAnsi="Tahoma" w:cs="Tahoma"/>
                <w:kern w:val="2"/>
                <w14:ligatures w14:val="standardContextual"/>
              </w:rPr>
              <w:t>MoP&amp;NG</w:t>
            </w:r>
            <w:proofErr w:type="spellEnd"/>
            <w:r w:rsidRPr="00DE0E0C">
              <w:rPr>
                <w:rFonts w:ascii="Tahoma" w:eastAsia="Times New Roman" w:hAnsi="Tahoma" w:cs="Tahoma"/>
                <w:kern w:val="2"/>
                <w14:ligatures w14:val="standardContextual"/>
              </w:rPr>
              <w:t xml:space="preserve"> and DGH to execute Acquisition, Processing &amp; Interpretation (API) of Airborne Gravity </w:t>
            </w:r>
            <w:proofErr w:type="spellStart"/>
            <w:r w:rsidRPr="00DE0E0C">
              <w:rPr>
                <w:rFonts w:ascii="Tahoma" w:eastAsia="Times New Roman" w:hAnsi="Tahoma" w:cs="Tahoma"/>
                <w:kern w:val="2"/>
                <w14:ligatures w14:val="standardContextual"/>
              </w:rPr>
              <w:t>Gradiometry</w:t>
            </w:r>
            <w:proofErr w:type="spellEnd"/>
            <w:r w:rsidRPr="00DE0E0C">
              <w:rPr>
                <w:rFonts w:ascii="Tahoma" w:eastAsia="Times New Roman" w:hAnsi="Tahoma" w:cs="Tahoma"/>
                <w:kern w:val="2"/>
                <w14:ligatures w14:val="standardContextual"/>
              </w:rPr>
              <w:t xml:space="preserve"> &amp; Gravity Magnetic (AGG &amp; GM) studies. The areas cover </w:t>
            </w:r>
            <w:proofErr w:type="spellStart"/>
            <w:r w:rsidRPr="00DE0E0C">
              <w:rPr>
                <w:rFonts w:ascii="Tahoma" w:eastAsia="Times New Roman" w:hAnsi="Tahoma" w:cs="Tahoma"/>
                <w:kern w:val="2"/>
                <w14:ligatures w14:val="standardContextual"/>
              </w:rPr>
              <w:t>Spiti</w:t>
            </w:r>
            <w:proofErr w:type="spellEnd"/>
            <w:r w:rsidRPr="00DE0E0C">
              <w:rPr>
                <w:rFonts w:ascii="Tahoma" w:eastAsia="Times New Roman" w:hAnsi="Tahoma" w:cs="Tahoma"/>
                <w:kern w:val="2"/>
                <w14:ligatures w14:val="standardContextual"/>
              </w:rPr>
              <w:t xml:space="preserve"> in Himachal Pradesh &amp; Ladakh, </w:t>
            </w:r>
            <w:proofErr w:type="spellStart"/>
            <w:r w:rsidRPr="00DE0E0C">
              <w:rPr>
                <w:rFonts w:ascii="Tahoma" w:eastAsia="Times New Roman" w:hAnsi="Tahoma" w:cs="Tahoma"/>
                <w:kern w:val="2"/>
                <w14:ligatures w14:val="standardContextual"/>
              </w:rPr>
              <w:t>Jhanskar-Karewa</w:t>
            </w:r>
            <w:proofErr w:type="spellEnd"/>
            <w:r w:rsidRPr="00DE0E0C">
              <w:rPr>
                <w:rFonts w:ascii="Tahoma" w:eastAsia="Times New Roman" w:hAnsi="Tahoma" w:cs="Tahoma"/>
                <w:kern w:val="2"/>
                <w14:ligatures w14:val="standardContextual"/>
              </w:rPr>
              <w:t xml:space="preserve"> in Jammu &amp; Kashmir UT, </w:t>
            </w:r>
            <w:proofErr w:type="spellStart"/>
            <w:r w:rsidRPr="00DE0E0C">
              <w:rPr>
                <w:rFonts w:ascii="Tahoma" w:eastAsia="Times New Roman" w:hAnsi="Tahoma" w:cs="Tahoma"/>
                <w:kern w:val="2"/>
                <w14:ligatures w14:val="standardContextual"/>
              </w:rPr>
              <w:t>Bastar</w:t>
            </w:r>
            <w:proofErr w:type="spellEnd"/>
            <w:r w:rsidRPr="00DE0E0C">
              <w:rPr>
                <w:rFonts w:ascii="Tahoma" w:eastAsia="Times New Roman" w:hAnsi="Tahoma" w:cs="Tahoma"/>
                <w:kern w:val="2"/>
                <w14:ligatures w14:val="standardContextual"/>
              </w:rPr>
              <w:t xml:space="preserve"> in Chhattisgarh &amp; Odisha, Cauvery Basin in Tamil Nadu, and parts of Northeast (Assam, Arunachal Pradesh, Nagaland, Manipur, Meghalaya, Mizoram &amp; Tripura) India. The AGG &amp; GM survey commenced on 27.05.2023 concluded on 15.02.2024. A total of 42,943.09 flight LKM of data was recorded. The project was completed on 31.03.2024.</w:t>
            </w:r>
          </w:p>
          <w:p w14:paraId="2F6E1C57"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(iv) Drilling of Stratigraphic Wells: Under the </w:t>
            </w:r>
            <w:proofErr w:type="spellStart"/>
            <w:r w:rsidRPr="00DE0E0C">
              <w:rPr>
                <w:rFonts w:ascii="Tahoma" w:eastAsia="Times New Roman" w:hAnsi="Tahoma" w:cs="Tahoma"/>
                <w:kern w:val="2"/>
                <w14:ligatures w14:val="standardContextual"/>
              </w:rPr>
              <w:t>GoI</w:t>
            </w:r>
            <w:proofErr w:type="spellEnd"/>
            <w:r w:rsidRPr="00DE0E0C">
              <w:rPr>
                <w:rFonts w:ascii="Tahoma" w:eastAsia="Times New Roman" w:hAnsi="Tahoma" w:cs="Tahoma"/>
                <w:kern w:val="2"/>
                <w14:ligatures w14:val="standardContextual"/>
              </w:rPr>
              <w:t xml:space="preserve"> initiative, OIL is working along with ONGC to drill four stratigraphic wells in Mahanadi, Andaman, Bengal </w:t>
            </w:r>
            <w:proofErr w:type="spellStart"/>
            <w:r w:rsidRPr="00DE0E0C">
              <w:rPr>
                <w:rFonts w:ascii="Tahoma" w:eastAsia="Times New Roman" w:hAnsi="Tahoma" w:cs="Tahoma"/>
                <w:kern w:val="2"/>
                <w14:ligatures w14:val="standardContextual"/>
              </w:rPr>
              <w:t>Purnea</w:t>
            </w:r>
            <w:proofErr w:type="spellEnd"/>
            <w:r w:rsidRPr="00DE0E0C">
              <w:rPr>
                <w:rFonts w:ascii="Tahoma" w:eastAsia="Times New Roman" w:hAnsi="Tahoma" w:cs="Tahoma"/>
                <w:kern w:val="2"/>
                <w14:ligatures w14:val="standardContextual"/>
              </w:rPr>
              <w:t xml:space="preserve"> and Saurashtra Basins to acquire crucial geoscientific data for expediting efforts in making oil and gas discovery in the unexplored offshore frontier regions.</w:t>
            </w:r>
          </w:p>
          <w:p w14:paraId="2E420E2C"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lastRenderedPageBreak/>
              <w:t xml:space="preserve"> (v) Seismic Campaign Under Mission </w:t>
            </w:r>
            <w:proofErr w:type="spellStart"/>
            <w:r w:rsidRPr="00DE0E0C">
              <w:rPr>
                <w:rFonts w:ascii="Tahoma" w:eastAsia="Times New Roman" w:hAnsi="Tahoma" w:cs="Tahoma"/>
                <w:kern w:val="2"/>
                <w14:ligatures w14:val="standardContextual"/>
              </w:rPr>
              <w:t>Anveshan</w:t>
            </w:r>
            <w:proofErr w:type="spellEnd"/>
            <w:r w:rsidRPr="00DE0E0C">
              <w:rPr>
                <w:rFonts w:ascii="Tahoma" w:eastAsia="Times New Roman" w:hAnsi="Tahoma" w:cs="Tahoma"/>
                <w:kern w:val="2"/>
                <w14:ligatures w14:val="standardContextual"/>
              </w:rPr>
              <w:t xml:space="preserve"> (MA) &amp; Extended Continental Shelf Project (ECS) beyond EEZ: The Mission </w:t>
            </w:r>
            <w:proofErr w:type="spellStart"/>
            <w:r w:rsidRPr="00DE0E0C">
              <w:rPr>
                <w:rFonts w:ascii="Tahoma" w:eastAsia="Times New Roman" w:hAnsi="Tahoma" w:cs="Tahoma"/>
                <w:kern w:val="2"/>
                <w14:ligatures w14:val="standardContextual"/>
              </w:rPr>
              <w:t>Anveshan</w:t>
            </w:r>
            <w:proofErr w:type="spellEnd"/>
            <w:r w:rsidRPr="00DE0E0C">
              <w:rPr>
                <w:rFonts w:ascii="Tahoma" w:eastAsia="Times New Roman" w:hAnsi="Tahoma" w:cs="Tahoma"/>
                <w:kern w:val="2"/>
                <w14:ligatures w14:val="standardContextual"/>
              </w:rPr>
              <w:t xml:space="preserve"> (MA) &amp; appraisal of Extended Continental Shelf (ECS) beyond Exclusive Economic Zone (EEZ) of India is a flagship initiative of the Government of India under the aegis of the Ministry of Petroleum and Natural Gas (</w:t>
            </w:r>
            <w:proofErr w:type="spellStart"/>
            <w:r w:rsidRPr="00DE0E0C">
              <w:rPr>
                <w:rFonts w:ascii="Tahoma" w:eastAsia="Times New Roman" w:hAnsi="Tahoma" w:cs="Tahoma"/>
                <w:kern w:val="2"/>
                <w14:ligatures w14:val="standardContextual"/>
              </w:rPr>
              <w:t>MoP&amp;NG</w:t>
            </w:r>
            <w:proofErr w:type="spellEnd"/>
            <w:r w:rsidRPr="00DE0E0C">
              <w:rPr>
                <w:rFonts w:ascii="Tahoma" w:eastAsia="Times New Roman" w:hAnsi="Tahoma" w:cs="Tahoma"/>
                <w:kern w:val="2"/>
                <w14:ligatures w14:val="standardContextual"/>
              </w:rPr>
              <w:t xml:space="preserve">). Mission </w:t>
            </w:r>
            <w:proofErr w:type="spellStart"/>
            <w:r w:rsidRPr="00DE0E0C">
              <w:rPr>
                <w:rFonts w:ascii="Tahoma" w:eastAsia="Times New Roman" w:hAnsi="Tahoma" w:cs="Tahoma"/>
                <w:kern w:val="2"/>
                <w14:ligatures w14:val="standardContextual"/>
              </w:rPr>
              <w:t>Anveshan</w:t>
            </w:r>
            <w:proofErr w:type="spellEnd"/>
            <w:r w:rsidRPr="00DE0E0C">
              <w:rPr>
                <w:rFonts w:ascii="Tahoma" w:eastAsia="Times New Roman" w:hAnsi="Tahoma" w:cs="Tahoma"/>
                <w:kern w:val="2"/>
                <w14:ligatures w14:val="standardContextual"/>
              </w:rPr>
              <w:t xml:space="preserve"> (MA) is a sequel to the National Seismic Program wherein 2D Seismic API was carried across different sedimentary basins of the country. </w:t>
            </w:r>
          </w:p>
          <w:p w14:paraId="37267C49"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Recently, </w:t>
            </w:r>
            <w:proofErr w:type="spellStart"/>
            <w:r w:rsidRPr="00DE0E0C">
              <w:rPr>
                <w:rFonts w:ascii="Tahoma" w:eastAsia="Times New Roman" w:hAnsi="Tahoma" w:cs="Tahoma"/>
                <w:kern w:val="2"/>
                <w14:ligatures w14:val="standardContextual"/>
              </w:rPr>
              <w:t>MoP&amp;NG</w:t>
            </w:r>
            <w:proofErr w:type="spellEnd"/>
            <w:r w:rsidRPr="00DE0E0C">
              <w:rPr>
                <w:rFonts w:ascii="Tahoma" w:eastAsia="Times New Roman" w:hAnsi="Tahoma" w:cs="Tahoma"/>
                <w:kern w:val="2"/>
                <w14:ligatures w14:val="standardContextual"/>
              </w:rPr>
              <w:t xml:space="preserve"> has instructed OIL &amp; ONGCL to carryout 2D Seismic Acquisition, Processing &amp; Interpretation (API) of 20,275 LKM in the on land Indian Sedimentary basins and a total quantum of 30,000 LKM for the appraisal of ECS beyond EEZ in the eastern and western Offshore India.</w:t>
            </w:r>
          </w:p>
          <w:p w14:paraId="5A7ACF3D"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Out of the total allocated project quantum of 20,275 LKM 2D seismic API, OIL has been entrusted to carry out a total of 9,400 LKM out of total 20,275 of 2D seismic survey in areas of Rajasthan (4300 LKM) and Ganga-Punjab (5100 LKM) Basins. The survey commenced on 28.10.2024 and is currently under progress. Oil &amp; Natural Gas Corporation (ONGC) has been entrusted with the remaining quantum of 10,875 LKM covering Krishna-Godavari, Chhattisgarh and </w:t>
            </w:r>
            <w:proofErr w:type="spellStart"/>
            <w:r w:rsidRPr="00DE0E0C">
              <w:rPr>
                <w:rFonts w:ascii="Tahoma" w:eastAsia="Times New Roman" w:hAnsi="Tahoma" w:cs="Tahoma"/>
                <w:kern w:val="2"/>
                <w14:ligatures w14:val="standardContextual"/>
              </w:rPr>
              <w:t>Cuddapah</w:t>
            </w:r>
            <w:proofErr w:type="spellEnd"/>
            <w:r w:rsidRPr="00DE0E0C">
              <w:rPr>
                <w:rFonts w:ascii="Tahoma" w:eastAsia="Times New Roman" w:hAnsi="Tahoma" w:cs="Tahoma"/>
                <w:kern w:val="2"/>
                <w14:ligatures w14:val="standardContextual"/>
              </w:rPr>
              <w:t xml:space="preserve">. </w:t>
            </w:r>
          </w:p>
          <w:p w14:paraId="346D4561"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As on 31.10.2025, the total surface coverage in Rajasthan basin is 2911 LKM and in Ganga- Punjab Basin is 2481 LKM. The cumulative surface coverage of the Project under OIL is 5392 LKM (57%).</w:t>
            </w:r>
          </w:p>
          <w:p w14:paraId="5F0B7B7E"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Similarly, out of the total allocated project quantum of 30,000 LKM offshore 2D seismic API, Oil India limited (OIL) is entrusted to carry out 14,500 LKM 2D seismic API in ECS of Eastern offshore and the remaining 15,500 LKM to be carried out by ONGCL in the western offshore. The acquisition operation commenced on 04.02.2025 and completed on 13.06.2025 after acquiring a total surface coverage of 14513 LKM. At present, the processing of the raw data is under progress.</w:t>
            </w:r>
          </w:p>
          <w:p w14:paraId="568D8822"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(vi) Opening of No-Go Areas for E&amp;P Activities: Recently, </w:t>
            </w:r>
            <w:proofErr w:type="spellStart"/>
            <w:r w:rsidRPr="00DE0E0C">
              <w:rPr>
                <w:rFonts w:ascii="Tahoma" w:eastAsia="Times New Roman" w:hAnsi="Tahoma" w:cs="Tahoma"/>
                <w:kern w:val="2"/>
                <w14:ligatures w14:val="standardContextual"/>
              </w:rPr>
              <w:t>GoI</w:t>
            </w:r>
            <w:proofErr w:type="spellEnd"/>
            <w:r w:rsidRPr="00DE0E0C">
              <w:rPr>
                <w:rFonts w:ascii="Tahoma" w:eastAsia="Times New Roman" w:hAnsi="Tahoma" w:cs="Tahoma"/>
                <w:kern w:val="2"/>
                <w14:ligatures w14:val="standardContextual"/>
              </w:rPr>
              <w:t xml:space="preserve"> has significantly reduced the earlier "No-Go" areas by around 98% and this also includes 99% of area earlier prohibited for security reasons in India's Exclusive Economic Zone (EEZ). The total exempted area from No-Go restriction is around 1 million Sq. Km. </w:t>
            </w:r>
          </w:p>
          <w:p w14:paraId="0EAC67C2"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DE0E0C">
              <w:rPr>
                <w:rFonts w:ascii="Tahoma" w:eastAsia="Times New Roman" w:hAnsi="Tahoma" w:cs="Tahoma"/>
                <w:kern w:val="2"/>
                <w14:ligatures w14:val="standardContextual"/>
              </w:rPr>
              <w:t>ultra deep</w:t>
            </w:r>
            <w:proofErr w:type="spellEnd"/>
            <w:r w:rsidRPr="00DE0E0C">
              <w:rPr>
                <w:rFonts w:ascii="Tahoma" w:eastAsia="Times New Roman" w:hAnsi="Tahoma" w:cs="Tahoma"/>
                <w:kern w:val="2"/>
                <w14:ligatures w14:val="standardContextual"/>
              </w:rPr>
              <w:t xml:space="preserve"> offshore of the country is being highly encouraged by the Government thereby creating opportunities of making new discoveries and increasing domestic oil and gas production. The government expects significant increase of capex by the oil companies in the forthcoming years on account of opening of No-Go areas and other policy initiatives like OALP, DSF etc.</w:t>
            </w:r>
          </w:p>
          <w:p w14:paraId="07152412" w14:textId="77777777" w:rsidR="00DE0E0C" w:rsidRPr="00DE0E0C" w:rsidRDefault="00DE0E0C" w:rsidP="00DE0E0C">
            <w:pPr>
              <w:spacing w:after="120"/>
              <w:jc w:val="both"/>
              <w:rPr>
                <w:rFonts w:ascii="Tahoma" w:eastAsia="Times New Roman" w:hAnsi="Tahoma" w:cs="Tahoma"/>
                <w:kern w:val="2"/>
                <w14:ligatures w14:val="standardContextual"/>
              </w:rPr>
            </w:pPr>
            <w:r w:rsidRPr="00DE0E0C">
              <w:rPr>
                <w:rFonts w:ascii="Tahoma" w:eastAsia="Times New Roman" w:hAnsi="Tahoma" w:cs="Tahoma"/>
                <w:kern w:val="2"/>
                <w14:ligatures w14:val="standardContextual"/>
              </w:rPr>
              <w:lastRenderedPageBreak/>
              <w:t>Oil India Limited also views this as a significant opportunity and intends to acquire exploration acreages through forthcoming OALP Bid Rounds in these newly opened-up areas.</w:t>
            </w:r>
          </w:p>
          <w:p w14:paraId="5115688E" w14:textId="77777777" w:rsidR="00DE0E0C" w:rsidRPr="00DE0E0C" w:rsidRDefault="00DE0E0C" w:rsidP="00DE0E0C">
            <w:pPr>
              <w:spacing w:after="120"/>
              <w:jc w:val="both"/>
              <w:rPr>
                <w:rFonts w:ascii="Tahoma" w:eastAsia="Times New Roman" w:hAnsi="Tahoma" w:cs="Tahoma"/>
                <w:kern w:val="2"/>
                <w14:ligatures w14:val="standardContextual"/>
              </w:rPr>
            </w:pPr>
          </w:p>
          <w:p w14:paraId="66E9E522" w14:textId="77777777" w:rsidR="00BF5FD1" w:rsidRPr="00040065" w:rsidRDefault="00BF5FD1" w:rsidP="00DF02B5">
            <w:pPr>
              <w:spacing w:after="120"/>
              <w:jc w:val="both"/>
              <w:rPr>
                <w:rFonts w:ascii="Tahoma" w:hAnsi="Tahoma" w:cs="Tahoma"/>
                <w:b/>
                <w:lang w:val="en-US"/>
              </w:rPr>
            </w:pPr>
          </w:p>
        </w:tc>
      </w:tr>
    </w:tbl>
    <w:p w14:paraId="23352F1B" w14:textId="4051F5B0" w:rsidR="00F211B3" w:rsidRPr="00040065" w:rsidRDefault="00931D33" w:rsidP="0044759C">
      <w:pPr>
        <w:spacing w:after="0"/>
        <w:ind w:right="-482"/>
        <w:jc w:val="right"/>
        <w:rPr>
          <w:rFonts w:ascii="Tahoma" w:hAnsi="Tahoma" w:cs="Tahoma"/>
          <w:lang w:val="en-US"/>
        </w:rPr>
      </w:pPr>
      <w:r w:rsidRPr="00040065">
        <w:rPr>
          <w:rFonts w:ascii="Tahoma" w:hAnsi="Tahoma" w:cs="Tahoma"/>
          <w:lang w:val="en-US"/>
        </w:rPr>
        <w:lastRenderedPageBreak/>
        <w:t>Yours faithfully,</w:t>
      </w:r>
    </w:p>
    <w:p w14:paraId="4A5CE863" w14:textId="77777777" w:rsidR="00931D33" w:rsidRPr="00040065" w:rsidRDefault="00931D33" w:rsidP="0044759C">
      <w:pPr>
        <w:spacing w:after="0" w:line="240" w:lineRule="auto"/>
        <w:ind w:right="-482"/>
        <w:jc w:val="right"/>
        <w:rPr>
          <w:rFonts w:ascii="Tahoma" w:hAnsi="Tahoma" w:cs="Tahoma"/>
          <w:u w:val="single"/>
          <w:lang w:val="en-US"/>
        </w:rPr>
      </w:pPr>
      <w:r w:rsidRPr="00040065">
        <w:rPr>
          <w:rFonts w:ascii="Tahoma" w:hAnsi="Tahoma" w:cs="Tahoma"/>
          <w:u w:val="single"/>
          <w:lang w:val="en-US"/>
        </w:rPr>
        <w:t>OIL INDIA LIMITED</w:t>
      </w:r>
    </w:p>
    <w:p w14:paraId="694C060A" w14:textId="77777777" w:rsidR="00506AF9" w:rsidRPr="00040065" w:rsidRDefault="00506AF9" w:rsidP="0044759C">
      <w:pPr>
        <w:spacing w:after="0" w:line="240" w:lineRule="auto"/>
        <w:ind w:right="-482"/>
        <w:jc w:val="right"/>
        <w:rPr>
          <w:rFonts w:ascii="Tahoma" w:hAnsi="Tahoma" w:cs="Tahoma"/>
          <w:lang w:val="en-US"/>
        </w:rPr>
      </w:pPr>
    </w:p>
    <w:p w14:paraId="5961CAD7" w14:textId="0EBA5C20" w:rsidR="00F26CC7" w:rsidRPr="00040065" w:rsidRDefault="00F26CC7" w:rsidP="0044759C">
      <w:pPr>
        <w:spacing w:after="0" w:line="240" w:lineRule="auto"/>
        <w:ind w:right="-482"/>
        <w:jc w:val="right"/>
        <w:rPr>
          <w:rFonts w:ascii="Tahoma" w:hAnsi="Tahoma" w:cs="Tahoma"/>
          <w:b/>
          <w:lang w:val="en-US"/>
        </w:rPr>
      </w:pPr>
    </w:p>
    <w:p w14:paraId="17AF8927" w14:textId="713C4C82" w:rsidR="00506AF9" w:rsidRPr="00040065" w:rsidRDefault="00506AF9" w:rsidP="0044759C">
      <w:pPr>
        <w:spacing w:after="0" w:line="240" w:lineRule="auto"/>
        <w:ind w:right="-482"/>
        <w:jc w:val="right"/>
        <w:rPr>
          <w:rFonts w:ascii="Tahoma" w:hAnsi="Tahoma" w:cs="Tahoma"/>
          <w:b/>
          <w:lang w:val="en-US"/>
        </w:rPr>
      </w:pPr>
      <w:r w:rsidRPr="00040065">
        <w:rPr>
          <w:rFonts w:ascii="Tahoma" w:hAnsi="Tahoma" w:cs="Tahoma"/>
          <w:b/>
          <w:lang w:val="en-US"/>
        </w:rPr>
        <w:t>(</w:t>
      </w:r>
      <w:r w:rsidR="00C968B7" w:rsidRPr="00040065">
        <w:rPr>
          <w:rFonts w:ascii="Tahoma" w:hAnsi="Tahoma" w:cs="Tahoma"/>
          <w:b/>
          <w:lang w:val="en-US"/>
        </w:rPr>
        <w:t>Kishore Kumar Das</w:t>
      </w:r>
      <w:r w:rsidR="00F26CC7" w:rsidRPr="00040065">
        <w:rPr>
          <w:rFonts w:ascii="Tahoma" w:hAnsi="Tahoma" w:cs="Tahoma"/>
          <w:b/>
          <w:lang w:val="en-US"/>
        </w:rPr>
        <w:t>)</w:t>
      </w:r>
    </w:p>
    <w:p w14:paraId="442D57FD" w14:textId="0F40448F" w:rsidR="00F26CC7" w:rsidRPr="00040065" w:rsidRDefault="00345A27" w:rsidP="0044759C">
      <w:pPr>
        <w:spacing w:after="0" w:line="240" w:lineRule="auto"/>
        <w:ind w:right="-482"/>
        <w:jc w:val="right"/>
        <w:rPr>
          <w:rFonts w:ascii="Tahoma" w:hAnsi="Tahoma" w:cs="Tahoma"/>
          <w:lang w:val="en-US"/>
        </w:rPr>
      </w:pPr>
      <w:r w:rsidRPr="00040065">
        <w:rPr>
          <w:rFonts w:ascii="Tahoma" w:hAnsi="Tahoma" w:cs="Tahoma"/>
          <w:lang w:val="en-US"/>
        </w:rPr>
        <w:t xml:space="preserve">Chief </w:t>
      </w:r>
      <w:r w:rsidR="00F26CC7" w:rsidRPr="00040065">
        <w:rPr>
          <w:rFonts w:ascii="Tahoma" w:hAnsi="Tahoma" w:cs="Tahoma"/>
          <w:lang w:val="en-US"/>
        </w:rPr>
        <w:t>General Manager (Planning)</w:t>
      </w:r>
    </w:p>
    <w:p w14:paraId="0BF3FB52" w14:textId="1DF541CE" w:rsidR="000E1B72" w:rsidRPr="00040065" w:rsidRDefault="00F26CC7" w:rsidP="00F7545F">
      <w:pPr>
        <w:spacing w:after="0" w:line="240" w:lineRule="auto"/>
        <w:ind w:right="-482"/>
        <w:jc w:val="right"/>
        <w:rPr>
          <w:rFonts w:ascii="Tahoma" w:hAnsi="Tahoma" w:cs="Tahoma"/>
          <w:b/>
          <w:u w:val="single"/>
          <w:lang w:val="en-US"/>
        </w:rPr>
      </w:pPr>
      <w:r w:rsidRPr="00040065">
        <w:rPr>
          <w:rFonts w:ascii="Tahoma" w:hAnsi="Tahoma" w:cs="Tahoma"/>
          <w:b/>
          <w:u w:val="single"/>
          <w:lang w:val="en-US"/>
        </w:rPr>
        <w:t>For Chairman &amp; Managing Director</w:t>
      </w:r>
    </w:p>
    <w:sectPr w:rsidR="000E1B72" w:rsidRPr="00040065"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477CE0"/>
    <w:multiLevelType w:val="multilevel"/>
    <w:tmpl w:val="E2D483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F35866"/>
    <w:multiLevelType w:val="multilevel"/>
    <w:tmpl w:val="F6B2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1F5A6623"/>
    <w:multiLevelType w:val="hybridMultilevel"/>
    <w:tmpl w:val="2FDEC2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410382"/>
    <w:multiLevelType w:val="hybridMultilevel"/>
    <w:tmpl w:val="7B6C85FC"/>
    <w:lvl w:ilvl="0" w:tplc="88A22186">
      <w:start w:val="1"/>
      <w:numFmt w:val="upperRoman"/>
      <w:lvlText w:val="%1."/>
      <w:lvlJc w:val="right"/>
      <w:pPr>
        <w:ind w:left="1222" w:hanging="360"/>
      </w:pPr>
      <w:rPr>
        <w:rFonts w:ascii="Bookman Old Style" w:hAnsi="Bookman Old Style" w:hint="default"/>
      </w:rPr>
    </w:lvl>
    <w:lvl w:ilvl="1" w:tplc="40090019" w:tentative="1">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5"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7A03535"/>
    <w:multiLevelType w:val="multilevel"/>
    <w:tmpl w:val="EA2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3C061C4"/>
    <w:multiLevelType w:val="hybridMultilevel"/>
    <w:tmpl w:val="AEEE7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546F6E6A"/>
    <w:multiLevelType w:val="hybridMultilevel"/>
    <w:tmpl w:val="8ACE640E"/>
    <w:lvl w:ilvl="0" w:tplc="811EEA2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5A2D2E70"/>
    <w:multiLevelType w:val="hybridMultilevel"/>
    <w:tmpl w:val="51E4F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4A4789"/>
    <w:multiLevelType w:val="hybridMultilevel"/>
    <w:tmpl w:val="C58E8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1807A2F"/>
    <w:multiLevelType w:val="hybridMultilevel"/>
    <w:tmpl w:val="2C40F98C"/>
    <w:lvl w:ilvl="0" w:tplc="4FB0A434">
      <w:start w:val="1"/>
      <w:numFmt w:val="decimal"/>
      <w:lvlText w:val="%1)"/>
      <w:lvlJc w:val="left"/>
      <w:pPr>
        <w:ind w:left="284" w:hanging="2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5"/>
  </w:num>
  <w:num w:numId="2">
    <w:abstractNumId w:val="11"/>
  </w:num>
  <w:num w:numId="3">
    <w:abstractNumId w:val="10"/>
  </w:num>
  <w:num w:numId="4">
    <w:abstractNumId w:val="0"/>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num>
  <w:num w:numId="7">
    <w:abstractNumId w:val="8"/>
  </w:num>
  <w:num w:numId="8">
    <w:abstractNumId w:val="13"/>
  </w:num>
  <w:num w:numId="9">
    <w:abstractNumId w:val="25"/>
  </w:num>
  <w:num w:numId="10">
    <w:abstractNumId w:val="41"/>
  </w:num>
  <w:num w:numId="11">
    <w:abstractNumId w:val="23"/>
  </w:num>
  <w:num w:numId="12">
    <w:abstractNumId w:val="21"/>
  </w:num>
  <w:num w:numId="13">
    <w:abstractNumId w:val="34"/>
  </w:num>
  <w:num w:numId="14">
    <w:abstractNumId w:val="27"/>
  </w:num>
  <w:num w:numId="15">
    <w:abstractNumId w:val="36"/>
  </w:num>
  <w:num w:numId="16">
    <w:abstractNumId w:val="19"/>
  </w:num>
  <w:num w:numId="17">
    <w:abstractNumId w:val="20"/>
  </w:num>
  <w:num w:numId="18">
    <w:abstractNumId w:val="15"/>
  </w:num>
  <w:num w:numId="19">
    <w:abstractNumId w:val="30"/>
  </w:num>
  <w:num w:numId="20">
    <w:abstractNumId w:val="32"/>
  </w:num>
  <w:num w:numId="21">
    <w:abstractNumId w:val="6"/>
  </w:num>
  <w:num w:numId="22">
    <w:abstractNumId w:val="40"/>
  </w:num>
  <w:num w:numId="23">
    <w:abstractNumId w:val="28"/>
  </w:num>
  <w:num w:numId="24">
    <w:abstractNumId w:val="22"/>
  </w:num>
  <w:num w:numId="25">
    <w:abstractNumId w:val="12"/>
  </w:num>
  <w:num w:numId="26">
    <w:abstractNumId w:val="9"/>
  </w:num>
  <w:num w:numId="27">
    <w:abstractNumId w:val="4"/>
  </w:num>
  <w:num w:numId="28">
    <w:abstractNumId w:val="35"/>
  </w:num>
  <w:num w:numId="29">
    <w:abstractNumId w:val="37"/>
  </w:num>
  <w:num w:numId="3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6"/>
    <w:lvlOverride w:ilvl="0">
      <w:startOverride w:val="1"/>
    </w:lvlOverride>
    <w:lvlOverride w:ilvl="1"/>
    <w:lvlOverride w:ilvl="2"/>
    <w:lvlOverride w:ilvl="3"/>
    <w:lvlOverride w:ilvl="4"/>
    <w:lvlOverride w:ilvl="5"/>
    <w:lvlOverride w:ilvl="6"/>
    <w:lvlOverride w:ilvl="7"/>
    <w:lvlOverride w:ilvl="8"/>
  </w:num>
  <w:num w:numId="33">
    <w:abstractNumId w:val="17"/>
  </w:num>
  <w:num w:numId="34">
    <w:abstractNumId w:val="31"/>
  </w:num>
  <w:num w:numId="35">
    <w:abstractNumId w:val="39"/>
  </w:num>
  <w:num w:numId="36">
    <w:abstractNumId w:val="16"/>
  </w:num>
  <w:num w:numId="37">
    <w:abstractNumId w:val="2"/>
  </w:num>
  <w:num w:numId="38">
    <w:abstractNumId w:val="1"/>
  </w:num>
  <w:num w:numId="39">
    <w:abstractNumId w:val="7"/>
  </w:num>
  <w:num w:numId="40">
    <w:abstractNumId w:val="24"/>
  </w:num>
  <w:num w:numId="41">
    <w:abstractNumId w:val="33"/>
  </w:num>
  <w:num w:numId="42">
    <w:abstractNumId w:val="38"/>
  </w:num>
  <w:num w:numId="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40065"/>
    <w:rsid w:val="0004741A"/>
    <w:rsid w:val="0005506B"/>
    <w:rsid w:val="0006232A"/>
    <w:rsid w:val="000715A3"/>
    <w:rsid w:val="00071650"/>
    <w:rsid w:val="000730D5"/>
    <w:rsid w:val="0007784F"/>
    <w:rsid w:val="000977F8"/>
    <w:rsid w:val="000A09A2"/>
    <w:rsid w:val="000A2F38"/>
    <w:rsid w:val="000B6878"/>
    <w:rsid w:val="000B717E"/>
    <w:rsid w:val="000C27A5"/>
    <w:rsid w:val="000C5232"/>
    <w:rsid w:val="000C5B3E"/>
    <w:rsid w:val="000C6499"/>
    <w:rsid w:val="000C6679"/>
    <w:rsid w:val="000C780F"/>
    <w:rsid w:val="000E1B72"/>
    <w:rsid w:val="000F07AB"/>
    <w:rsid w:val="000F5C49"/>
    <w:rsid w:val="0010195B"/>
    <w:rsid w:val="00106CAF"/>
    <w:rsid w:val="00110B0D"/>
    <w:rsid w:val="0011251C"/>
    <w:rsid w:val="001151F2"/>
    <w:rsid w:val="001246C7"/>
    <w:rsid w:val="00133A75"/>
    <w:rsid w:val="001352A6"/>
    <w:rsid w:val="001360E3"/>
    <w:rsid w:val="001368FD"/>
    <w:rsid w:val="001465BD"/>
    <w:rsid w:val="00157286"/>
    <w:rsid w:val="00170613"/>
    <w:rsid w:val="00172997"/>
    <w:rsid w:val="00175FC8"/>
    <w:rsid w:val="001A2608"/>
    <w:rsid w:val="001A27F8"/>
    <w:rsid w:val="001B137F"/>
    <w:rsid w:val="001B4C58"/>
    <w:rsid w:val="001B7D4C"/>
    <w:rsid w:val="001C6223"/>
    <w:rsid w:val="001E301A"/>
    <w:rsid w:val="001F17B4"/>
    <w:rsid w:val="001F253B"/>
    <w:rsid w:val="00201D8F"/>
    <w:rsid w:val="0020483F"/>
    <w:rsid w:val="002254E2"/>
    <w:rsid w:val="00230158"/>
    <w:rsid w:val="00235041"/>
    <w:rsid w:val="00246075"/>
    <w:rsid w:val="00261595"/>
    <w:rsid w:val="002618BC"/>
    <w:rsid w:val="002639D6"/>
    <w:rsid w:val="00265CDC"/>
    <w:rsid w:val="00284B8F"/>
    <w:rsid w:val="00287BE4"/>
    <w:rsid w:val="002A7B0E"/>
    <w:rsid w:val="002B2E46"/>
    <w:rsid w:val="002B36D7"/>
    <w:rsid w:val="002C07CD"/>
    <w:rsid w:val="002C2F3A"/>
    <w:rsid w:val="002D5897"/>
    <w:rsid w:val="002E2DA8"/>
    <w:rsid w:val="002E5790"/>
    <w:rsid w:val="002E61F1"/>
    <w:rsid w:val="002E7EBA"/>
    <w:rsid w:val="002F2731"/>
    <w:rsid w:val="002F5F62"/>
    <w:rsid w:val="0030475B"/>
    <w:rsid w:val="00311DD9"/>
    <w:rsid w:val="00312D2B"/>
    <w:rsid w:val="003179D3"/>
    <w:rsid w:val="0032755B"/>
    <w:rsid w:val="00335C1C"/>
    <w:rsid w:val="00337F1D"/>
    <w:rsid w:val="00345A27"/>
    <w:rsid w:val="00350D11"/>
    <w:rsid w:val="003544AE"/>
    <w:rsid w:val="003601F4"/>
    <w:rsid w:val="00375F76"/>
    <w:rsid w:val="0038585B"/>
    <w:rsid w:val="003859BE"/>
    <w:rsid w:val="00393FB4"/>
    <w:rsid w:val="003A5087"/>
    <w:rsid w:val="003B2588"/>
    <w:rsid w:val="003C0FC2"/>
    <w:rsid w:val="003C2502"/>
    <w:rsid w:val="003C732A"/>
    <w:rsid w:val="003D0647"/>
    <w:rsid w:val="003E2531"/>
    <w:rsid w:val="003E2B73"/>
    <w:rsid w:val="003E3F64"/>
    <w:rsid w:val="003E4084"/>
    <w:rsid w:val="003E4220"/>
    <w:rsid w:val="003F0C3B"/>
    <w:rsid w:val="003F381E"/>
    <w:rsid w:val="003F39FC"/>
    <w:rsid w:val="004014DE"/>
    <w:rsid w:val="004040E1"/>
    <w:rsid w:val="0041688D"/>
    <w:rsid w:val="0042311F"/>
    <w:rsid w:val="0044759C"/>
    <w:rsid w:val="004509DC"/>
    <w:rsid w:val="00452FD5"/>
    <w:rsid w:val="00453188"/>
    <w:rsid w:val="0045374D"/>
    <w:rsid w:val="00463A0C"/>
    <w:rsid w:val="004A407D"/>
    <w:rsid w:val="004A4DED"/>
    <w:rsid w:val="004B1CCA"/>
    <w:rsid w:val="004B3795"/>
    <w:rsid w:val="004B712C"/>
    <w:rsid w:val="004B7881"/>
    <w:rsid w:val="004C1BDE"/>
    <w:rsid w:val="004C32CD"/>
    <w:rsid w:val="004D19E8"/>
    <w:rsid w:val="004D2246"/>
    <w:rsid w:val="004E0098"/>
    <w:rsid w:val="004E0DDE"/>
    <w:rsid w:val="004E3BD3"/>
    <w:rsid w:val="004E599F"/>
    <w:rsid w:val="004F7AD1"/>
    <w:rsid w:val="005068B1"/>
    <w:rsid w:val="00506AF9"/>
    <w:rsid w:val="00520031"/>
    <w:rsid w:val="00524BCB"/>
    <w:rsid w:val="00525029"/>
    <w:rsid w:val="00527190"/>
    <w:rsid w:val="0053066E"/>
    <w:rsid w:val="00532449"/>
    <w:rsid w:val="00551830"/>
    <w:rsid w:val="00556073"/>
    <w:rsid w:val="00562579"/>
    <w:rsid w:val="005632FA"/>
    <w:rsid w:val="0056541D"/>
    <w:rsid w:val="00575BE9"/>
    <w:rsid w:val="005765F5"/>
    <w:rsid w:val="00587F15"/>
    <w:rsid w:val="005910DF"/>
    <w:rsid w:val="00594A78"/>
    <w:rsid w:val="005A784C"/>
    <w:rsid w:val="005C7452"/>
    <w:rsid w:val="005D0D7B"/>
    <w:rsid w:val="005D7917"/>
    <w:rsid w:val="005E04DF"/>
    <w:rsid w:val="005E0D47"/>
    <w:rsid w:val="005E1023"/>
    <w:rsid w:val="005E43DE"/>
    <w:rsid w:val="005F1C0F"/>
    <w:rsid w:val="005F36D0"/>
    <w:rsid w:val="00603405"/>
    <w:rsid w:val="006069F4"/>
    <w:rsid w:val="00612609"/>
    <w:rsid w:val="006140F0"/>
    <w:rsid w:val="00616CCE"/>
    <w:rsid w:val="00631EB0"/>
    <w:rsid w:val="00640F2E"/>
    <w:rsid w:val="00643085"/>
    <w:rsid w:val="00645BD2"/>
    <w:rsid w:val="0064614F"/>
    <w:rsid w:val="00654ECF"/>
    <w:rsid w:val="0066060F"/>
    <w:rsid w:val="00667341"/>
    <w:rsid w:val="006702D9"/>
    <w:rsid w:val="00671E00"/>
    <w:rsid w:val="0067744F"/>
    <w:rsid w:val="006914A0"/>
    <w:rsid w:val="006A0F75"/>
    <w:rsid w:val="006A2B11"/>
    <w:rsid w:val="006A734A"/>
    <w:rsid w:val="006A7AF4"/>
    <w:rsid w:val="006B5433"/>
    <w:rsid w:val="006C405C"/>
    <w:rsid w:val="006E5B6B"/>
    <w:rsid w:val="006F2F7A"/>
    <w:rsid w:val="006F5F9D"/>
    <w:rsid w:val="00700063"/>
    <w:rsid w:val="00702DC3"/>
    <w:rsid w:val="00705E51"/>
    <w:rsid w:val="00707A79"/>
    <w:rsid w:val="007102AE"/>
    <w:rsid w:val="00715CA5"/>
    <w:rsid w:val="00724C3D"/>
    <w:rsid w:val="007420CA"/>
    <w:rsid w:val="00745480"/>
    <w:rsid w:val="007566E9"/>
    <w:rsid w:val="007601BC"/>
    <w:rsid w:val="00775609"/>
    <w:rsid w:val="00787588"/>
    <w:rsid w:val="007918D9"/>
    <w:rsid w:val="007A2889"/>
    <w:rsid w:val="007B1B7A"/>
    <w:rsid w:val="007B5BAF"/>
    <w:rsid w:val="007C2857"/>
    <w:rsid w:val="007C79E3"/>
    <w:rsid w:val="007C7B5F"/>
    <w:rsid w:val="007D20F9"/>
    <w:rsid w:val="007D3769"/>
    <w:rsid w:val="007D5571"/>
    <w:rsid w:val="007D7027"/>
    <w:rsid w:val="007F0CFA"/>
    <w:rsid w:val="007F1159"/>
    <w:rsid w:val="00801D06"/>
    <w:rsid w:val="00801DB7"/>
    <w:rsid w:val="00801E6E"/>
    <w:rsid w:val="00803AE7"/>
    <w:rsid w:val="008172AC"/>
    <w:rsid w:val="00820CA7"/>
    <w:rsid w:val="00843CD3"/>
    <w:rsid w:val="008506B3"/>
    <w:rsid w:val="00851623"/>
    <w:rsid w:val="0085652B"/>
    <w:rsid w:val="0085767A"/>
    <w:rsid w:val="00857BB5"/>
    <w:rsid w:val="00870F0F"/>
    <w:rsid w:val="00884A02"/>
    <w:rsid w:val="008875A6"/>
    <w:rsid w:val="0089111D"/>
    <w:rsid w:val="0089558B"/>
    <w:rsid w:val="008B23B3"/>
    <w:rsid w:val="008B492E"/>
    <w:rsid w:val="008D1ADC"/>
    <w:rsid w:val="008F4256"/>
    <w:rsid w:val="00910D7E"/>
    <w:rsid w:val="00912768"/>
    <w:rsid w:val="009139CD"/>
    <w:rsid w:val="0091634E"/>
    <w:rsid w:val="00916452"/>
    <w:rsid w:val="00920CFB"/>
    <w:rsid w:val="00930CB0"/>
    <w:rsid w:val="00931D33"/>
    <w:rsid w:val="00941EAA"/>
    <w:rsid w:val="00946607"/>
    <w:rsid w:val="00952273"/>
    <w:rsid w:val="00954933"/>
    <w:rsid w:val="00964E66"/>
    <w:rsid w:val="009750EE"/>
    <w:rsid w:val="009A2F73"/>
    <w:rsid w:val="009A4EE9"/>
    <w:rsid w:val="009A5C54"/>
    <w:rsid w:val="009A6888"/>
    <w:rsid w:val="009B54ED"/>
    <w:rsid w:val="009C467D"/>
    <w:rsid w:val="009C4AB8"/>
    <w:rsid w:val="009C5163"/>
    <w:rsid w:val="009C57D9"/>
    <w:rsid w:val="009C5C57"/>
    <w:rsid w:val="009C7F2F"/>
    <w:rsid w:val="009E562D"/>
    <w:rsid w:val="009F159F"/>
    <w:rsid w:val="009F343A"/>
    <w:rsid w:val="00A023DB"/>
    <w:rsid w:val="00A06BB3"/>
    <w:rsid w:val="00A10F4F"/>
    <w:rsid w:val="00A1623B"/>
    <w:rsid w:val="00A322D4"/>
    <w:rsid w:val="00A340F2"/>
    <w:rsid w:val="00A36610"/>
    <w:rsid w:val="00A3735E"/>
    <w:rsid w:val="00A40A9F"/>
    <w:rsid w:val="00A41779"/>
    <w:rsid w:val="00A41B22"/>
    <w:rsid w:val="00A44788"/>
    <w:rsid w:val="00A44F46"/>
    <w:rsid w:val="00A5073A"/>
    <w:rsid w:val="00A62CDE"/>
    <w:rsid w:val="00A67BEF"/>
    <w:rsid w:val="00A818F1"/>
    <w:rsid w:val="00A83A36"/>
    <w:rsid w:val="00A8485C"/>
    <w:rsid w:val="00A91DB3"/>
    <w:rsid w:val="00A92834"/>
    <w:rsid w:val="00AE10C1"/>
    <w:rsid w:val="00AE3F37"/>
    <w:rsid w:val="00B234E6"/>
    <w:rsid w:val="00B32638"/>
    <w:rsid w:val="00B3384E"/>
    <w:rsid w:val="00B355C9"/>
    <w:rsid w:val="00B45FB2"/>
    <w:rsid w:val="00B475C0"/>
    <w:rsid w:val="00B50E79"/>
    <w:rsid w:val="00B519EF"/>
    <w:rsid w:val="00B71914"/>
    <w:rsid w:val="00B810F9"/>
    <w:rsid w:val="00B85579"/>
    <w:rsid w:val="00BB1AC4"/>
    <w:rsid w:val="00BC0366"/>
    <w:rsid w:val="00BC4C9F"/>
    <w:rsid w:val="00BC74A8"/>
    <w:rsid w:val="00BD30F6"/>
    <w:rsid w:val="00BD5E52"/>
    <w:rsid w:val="00BE2646"/>
    <w:rsid w:val="00BE27FC"/>
    <w:rsid w:val="00BE6EAD"/>
    <w:rsid w:val="00BF024B"/>
    <w:rsid w:val="00BF5FD1"/>
    <w:rsid w:val="00BF64ED"/>
    <w:rsid w:val="00C02CCE"/>
    <w:rsid w:val="00C07081"/>
    <w:rsid w:val="00C1363F"/>
    <w:rsid w:val="00C15630"/>
    <w:rsid w:val="00C209C9"/>
    <w:rsid w:val="00C31228"/>
    <w:rsid w:val="00C31D7F"/>
    <w:rsid w:val="00C34382"/>
    <w:rsid w:val="00C36D47"/>
    <w:rsid w:val="00C3786F"/>
    <w:rsid w:val="00C405F2"/>
    <w:rsid w:val="00C41083"/>
    <w:rsid w:val="00C42C3F"/>
    <w:rsid w:val="00C436AE"/>
    <w:rsid w:val="00C53EE1"/>
    <w:rsid w:val="00C54323"/>
    <w:rsid w:val="00C62C3F"/>
    <w:rsid w:val="00C63D71"/>
    <w:rsid w:val="00C64C8A"/>
    <w:rsid w:val="00C652DE"/>
    <w:rsid w:val="00C721F8"/>
    <w:rsid w:val="00C82B13"/>
    <w:rsid w:val="00C84AF1"/>
    <w:rsid w:val="00C87458"/>
    <w:rsid w:val="00C91076"/>
    <w:rsid w:val="00C968B7"/>
    <w:rsid w:val="00C97D4E"/>
    <w:rsid w:val="00CA3E7A"/>
    <w:rsid w:val="00CB2C12"/>
    <w:rsid w:val="00CB7949"/>
    <w:rsid w:val="00CC5EF4"/>
    <w:rsid w:val="00CD6DC6"/>
    <w:rsid w:val="00CE5DA4"/>
    <w:rsid w:val="00CF1922"/>
    <w:rsid w:val="00D03791"/>
    <w:rsid w:val="00D04540"/>
    <w:rsid w:val="00D079D3"/>
    <w:rsid w:val="00D11D57"/>
    <w:rsid w:val="00D2423C"/>
    <w:rsid w:val="00D30105"/>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CA9"/>
    <w:rsid w:val="00DE0E0C"/>
    <w:rsid w:val="00DE347B"/>
    <w:rsid w:val="00DE76E6"/>
    <w:rsid w:val="00DF02B5"/>
    <w:rsid w:val="00DF1C17"/>
    <w:rsid w:val="00DF270C"/>
    <w:rsid w:val="00E02CD6"/>
    <w:rsid w:val="00E06B03"/>
    <w:rsid w:val="00E14F53"/>
    <w:rsid w:val="00E339E5"/>
    <w:rsid w:val="00E36BCC"/>
    <w:rsid w:val="00E37BCB"/>
    <w:rsid w:val="00E44632"/>
    <w:rsid w:val="00E454EE"/>
    <w:rsid w:val="00E74050"/>
    <w:rsid w:val="00E869E0"/>
    <w:rsid w:val="00E96B7E"/>
    <w:rsid w:val="00EB0203"/>
    <w:rsid w:val="00EB5F4C"/>
    <w:rsid w:val="00EB6DB5"/>
    <w:rsid w:val="00EC4D11"/>
    <w:rsid w:val="00ED2EBB"/>
    <w:rsid w:val="00EE37B2"/>
    <w:rsid w:val="00EF357F"/>
    <w:rsid w:val="00EF4BEA"/>
    <w:rsid w:val="00EF4C58"/>
    <w:rsid w:val="00F211B3"/>
    <w:rsid w:val="00F21622"/>
    <w:rsid w:val="00F25295"/>
    <w:rsid w:val="00F255CA"/>
    <w:rsid w:val="00F26A26"/>
    <w:rsid w:val="00F26CC7"/>
    <w:rsid w:val="00F270A6"/>
    <w:rsid w:val="00F308F3"/>
    <w:rsid w:val="00F322FF"/>
    <w:rsid w:val="00F34A50"/>
    <w:rsid w:val="00F47FDD"/>
    <w:rsid w:val="00F61966"/>
    <w:rsid w:val="00F636E8"/>
    <w:rsid w:val="00F6408C"/>
    <w:rsid w:val="00F7545F"/>
    <w:rsid w:val="00F90735"/>
    <w:rsid w:val="00F977D6"/>
    <w:rsid w:val="00F97BB8"/>
    <w:rsid w:val="00FA77B1"/>
    <w:rsid w:val="00FB29DD"/>
    <w:rsid w:val="00FB3301"/>
    <w:rsid w:val="00FB3A1A"/>
    <w:rsid w:val="00FC22E2"/>
    <w:rsid w:val="00FC2310"/>
    <w:rsid w:val="00FC3DD8"/>
    <w:rsid w:val="00FC57B6"/>
    <w:rsid w:val="00FD365A"/>
    <w:rsid w:val="00FD5E95"/>
    <w:rsid w:val="00FD7CA1"/>
    <w:rsid w:val="00FE1F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aliases w:val="heading 9,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customStyle="1" w:styleId="ListParagraphChar">
    <w:name w:val="List Paragraph Char"/>
    <w:aliases w:val="heading 9 Char,Report Para Char,List Paragraph11 Char,Bullet for Sub Section Char,List Paragraph (numbered (a)) Char,References Char,List_Paragraph Char,Multilevel para_II Char,List Paragraph1 Char,Citation List Char,Graphic Char"/>
    <w:basedOn w:val="DefaultParagraphFont"/>
    <w:link w:val="ListParagraph"/>
    <w:uiPriority w:val="34"/>
    <w:qFormat/>
    <w:locked/>
    <w:rsid w:val="007D20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74284245">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01267470">
      <w:bodyDiv w:val="1"/>
      <w:marLeft w:val="0"/>
      <w:marRight w:val="0"/>
      <w:marTop w:val="0"/>
      <w:marBottom w:val="0"/>
      <w:divBdr>
        <w:top w:val="none" w:sz="0" w:space="0" w:color="auto"/>
        <w:left w:val="none" w:sz="0" w:space="0" w:color="auto"/>
        <w:bottom w:val="none" w:sz="0" w:space="0" w:color="auto"/>
        <w:right w:val="none" w:sz="0" w:space="0" w:color="auto"/>
      </w:divBdr>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01792828">
      <w:bodyDiv w:val="1"/>
      <w:marLeft w:val="0"/>
      <w:marRight w:val="0"/>
      <w:marTop w:val="0"/>
      <w:marBottom w:val="0"/>
      <w:divBdr>
        <w:top w:val="none" w:sz="0" w:space="0" w:color="auto"/>
        <w:left w:val="none" w:sz="0" w:space="0" w:color="auto"/>
        <w:bottom w:val="none" w:sz="0" w:space="0" w:color="auto"/>
        <w:right w:val="none" w:sz="0" w:space="0" w:color="auto"/>
      </w:divBdr>
    </w:div>
    <w:div w:id="217059882">
      <w:bodyDiv w:val="1"/>
      <w:marLeft w:val="0"/>
      <w:marRight w:val="0"/>
      <w:marTop w:val="0"/>
      <w:marBottom w:val="0"/>
      <w:divBdr>
        <w:top w:val="none" w:sz="0" w:space="0" w:color="auto"/>
        <w:left w:val="none" w:sz="0" w:space="0" w:color="auto"/>
        <w:bottom w:val="none" w:sz="0" w:space="0" w:color="auto"/>
        <w:right w:val="none" w:sz="0" w:space="0" w:color="auto"/>
      </w:divBdr>
    </w:div>
    <w:div w:id="229735561">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60055668">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179984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476803608">
      <w:bodyDiv w:val="1"/>
      <w:marLeft w:val="0"/>
      <w:marRight w:val="0"/>
      <w:marTop w:val="0"/>
      <w:marBottom w:val="0"/>
      <w:divBdr>
        <w:top w:val="none" w:sz="0" w:space="0" w:color="auto"/>
        <w:left w:val="none" w:sz="0" w:space="0" w:color="auto"/>
        <w:bottom w:val="none" w:sz="0" w:space="0" w:color="auto"/>
        <w:right w:val="none" w:sz="0" w:space="0" w:color="auto"/>
      </w:divBdr>
    </w:div>
    <w:div w:id="509030320">
      <w:bodyDiv w:val="1"/>
      <w:marLeft w:val="0"/>
      <w:marRight w:val="0"/>
      <w:marTop w:val="0"/>
      <w:marBottom w:val="0"/>
      <w:divBdr>
        <w:top w:val="none" w:sz="0" w:space="0" w:color="auto"/>
        <w:left w:val="none" w:sz="0" w:space="0" w:color="auto"/>
        <w:bottom w:val="none" w:sz="0" w:space="0" w:color="auto"/>
        <w:right w:val="none" w:sz="0" w:space="0" w:color="auto"/>
      </w:divBdr>
    </w:div>
    <w:div w:id="517935175">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45264775">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04578009">
      <w:bodyDiv w:val="1"/>
      <w:marLeft w:val="0"/>
      <w:marRight w:val="0"/>
      <w:marTop w:val="0"/>
      <w:marBottom w:val="0"/>
      <w:divBdr>
        <w:top w:val="none" w:sz="0" w:space="0" w:color="auto"/>
        <w:left w:val="none" w:sz="0" w:space="0" w:color="auto"/>
        <w:bottom w:val="none" w:sz="0" w:space="0" w:color="auto"/>
        <w:right w:val="none" w:sz="0" w:space="0" w:color="auto"/>
      </w:divBdr>
    </w:div>
    <w:div w:id="64035420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47368451">
      <w:bodyDiv w:val="1"/>
      <w:marLeft w:val="0"/>
      <w:marRight w:val="0"/>
      <w:marTop w:val="0"/>
      <w:marBottom w:val="0"/>
      <w:divBdr>
        <w:top w:val="none" w:sz="0" w:space="0" w:color="auto"/>
        <w:left w:val="none" w:sz="0" w:space="0" w:color="auto"/>
        <w:bottom w:val="none" w:sz="0" w:space="0" w:color="auto"/>
        <w:right w:val="none" w:sz="0" w:space="0" w:color="auto"/>
      </w:divBdr>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89063990">
      <w:bodyDiv w:val="1"/>
      <w:marLeft w:val="0"/>
      <w:marRight w:val="0"/>
      <w:marTop w:val="0"/>
      <w:marBottom w:val="0"/>
      <w:divBdr>
        <w:top w:val="none" w:sz="0" w:space="0" w:color="auto"/>
        <w:left w:val="none" w:sz="0" w:space="0" w:color="auto"/>
        <w:bottom w:val="none" w:sz="0" w:space="0" w:color="auto"/>
        <w:right w:val="none" w:sz="0" w:space="0" w:color="auto"/>
      </w:divBdr>
    </w:div>
    <w:div w:id="695421987">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0543264">
      <w:bodyDiv w:val="1"/>
      <w:marLeft w:val="0"/>
      <w:marRight w:val="0"/>
      <w:marTop w:val="0"/>
      <w:marBottom w:val="0"/>
      <w:divBdr>
        <w:top w:val="none" w:sz="0" w:space="0" w:color="auto"/>
        <w:left w:val="none" w:sz="0" w:space="0" w:color="auto"/>
        <w:bottom w:val="none" w:sz="0" w:space="0" w:color="auto"/>
        <w:right w:val="none" w:sz="0" w:space="0" w:color="auto"/>
      </w:divBdr>
    </w:div>
    <w:div w:id="751048932">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06124472">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862610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998775099">
      <w:bodyDiv w:val="1"/>
      <w:marLeft w:val="0"/>
      <w:marRight w:val="0"/>
      <w:marTop w:val="0"/>
      <w:marBottom w:val="0"/>
      <w:divBdr>
        <w:top w:val="none" w:sz="0" w:space="0" w:color="auto"/>
        <w:left w:val="none" w:sz="0" w:space="0" w:color="auto"/>
        <w:bottom w:val="none" w:sz="0" w:space="0" w:color="auto"/>
        <w:right w:val="none" w:sz="0" w:space="0" w:color="auto"/>
      </w:divBdr>
    </w:div>
    <w:div w:id="999162839">
      <w:bodyDiv w:val="1"/>
      <w:marLeft w:val="0"/>
      <w:marRight w:val="0"/>
      <w:marTop w:val="0"/>
      <w:marBottom w:val="0"/>
      <w:divBdr>
        <w:top w:val="none" w:sz="0" w:space="0" w:color="auto"/>
        <w:left w:val="none" w:sz="0" w:space="0" w:color="auto"/>
        <w:bottom w:val="none" w:sz="0" w:space="0" w:color="auto"/>
        <w:right w:val="none" w:sz="0" w:space="0" w:color="auto"/>
      </w:divBdr>
    </w:div>
    <w:div w:id="1007251898">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085153906">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51870187">
      <w:bodyDiv w:val="1"/>
      <w:marLeft w:val="0"/>
      <w:marRight w:val="0"/>
      <w:marTop w:val="0"/>
      <w:marBottom w:val="0"/>
      <w:divBdr>
        <w:top w:val="none" w:sz="0" w:space="0" w:color="auto"/>
        <w:left w:val="none" w:sz="0" w:space="0" w:color="auto"/>
        <w:bottom w:val="none" w:sz="0" w:space="0" w:color="auto"/>
        <w:right w:val="none" w:sz="0" w:space="0" w:color="auto"/>
      </w:divBdr>
    </w:div>
    <w:div w:id="1154953536">
      <w:bodyDiv w:val="1"/>
      <w:marLeft w:val="0"/>
      <w:marRight w:val="0"/>
      <w:marTop w:val="0"/>
      <w:marBottom w:val="0"/>
      <w:divBdr>
        <w:top w:val="none" w:sz="0" w:space="0" w:color="auto"/>
        <w:left w:val="none" w:sz="0" w:space="0" w:color="auto"/>
        <w:bottom w:val="none" w:sz="0" w:space="0" w:color="auto"/>
        <w:right w:val="none" w:sz="0" w:space="0" w:color="auto"/>
      </w:divBdr>
    </w:div>
    <w:div w:id="1174296055">
      <w:bodyDiv w:val="1"/>
      <w:marLeft w:val="0"/>
      <w:marRight w:val="0"/>
      <w:marTop w:val="0"/>
      <w:marBottom w:val="0"/>
      <w:divBdr>
        <w:top w:val="none" w:sz="0" w:space="0" w:color="auto"/>
        <w:left w:val="none" w:sz="0" w:space="0" w:color="auto"/>
        <w:bottom w:val="none" w:sz="0" w:space="0" w:color="auto"/>
        <w:right w:val="none" w:sz="0" w:space="0" w:color="auto"/>
      </w:divBdr>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205944396">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412772557">
      <w:bodyDiv w:val="1"/>
      <w:marLeft w:val="0"/>
      <w:marRight w:val="0"/>
      <w:marTop w:val="0"/>
      <w:marBottom w:val="0"/>
      <w:divBdr>
        <w:top w:val="none" w:sz="0" w:space="0" w:color="auto"/>
        <w:left w:val="none" w:sz="0" w:space="0" w:color="auto"/>
        <w:bottom w:val="none" w:sz="0" w:space="0" w:color="auto"/>
        <w:right w:val="none" w:sz="0" w:space="0" w:color="auto"/>
      </w:divBdr>
    </w:div>
    <w:div w:id="1422944254">
      <w:bodyDiv w:val="1"/>
      <w:marLeft w:val="0"/>
      <w:marRight w:val="0"/>
      <w:marTop w:val="0"/>
      <w:marBottom w:val="0"/>
      <w:divBdr>
        <w:top w:val="none" w:sz="0" w:space="0" w:color="auto"/>
        <w:left w:val="none" w:sz="0" w:space="0" w:color="auto"/>
        <w:bottom w:val="none" w:sz="0" w:space="0" w:color="auto"/>
        <w:right w:val="none" w:sz="0" w:space="0" w:color="auto"/>
      </w:divBdr>
    </w:div>
    <w:div w:id="1463039513">
      <w:bodyDiv w:val="1"/>
      <w:marLeft w:val="0"/>
      <w:marRight w:val="0"/>
      <w:marTop w:val="0"/>
      <w:marBottom w:val="0"/>
      <w:divBdr>
        <w:top w:val="none" w:sz="0" w:space="0" w:color="auto"/>
        <w:left w:val="none" w:sz="0" w:space="0" w:color="auto"/>
        <w:bottom w:val="none" w:sz="0" w:space="0" w:color="auto"/>
        <w:right w:val="none" w:sz="0" w:space="0" w:color="auto"/>
      </w:divBdr>
    </w:div>
    <w:div w:id="1488017457">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696734067">
      <w:bodyDiv w:val="1"/>
      <w:marLeft w:val="0"/>
      <w:marRight w:val="0"/>
      <w:marTop w:val="0"/>
      <w:marBottom w:val="0"/>
      <w:divBdr>
        <w:top w:val="none" w:sz="0" w:space="0" w:color="auto"/>
        <w:left w:val="none" w:sz="0" w:space="0" w:color="auto"/>
        <w:bottom w:val="none" w:sz="0" w:space="0" w:color="auto"/>
        <w:right w:val="none" w:sz="0" w:space="0" w:color="auto"/>
      </w:divBdr>
    </w:div>
    <w:div w:id="1708261537">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22054376">
      <w:bodyDiv w:val="1"/>
      <w:marLeft w:val="0"/>
      <w:marRight w:val="0"/>
      <w:marTop w:val="0"/>
      <w:marBottom w:val="0"/>
      <w:divBdr>
        <w:top w:val="none" w:sz="0" w:space="0" w:color="auto"/>
        <w:left w:val="none" w:sz="0" w:space="0" w:color="auto"/>
        <w:bottom w:val="none" w:sz="0" w:space="0" w:color="auto"/>
        <w:right w:val="none" w:sz="0" w:space="0" w:color="auto"/>
      </w:divBdr>
    </w:div>
    <w:div w:id="1746219058">
      <w:bodyDiv w:val="1"/>
      <w:marLeft w:val="0"/>
      <w:marRight w:val="0"/>
      <w:marTop w:val="0"/>
      <w:marBottom w:val="0"/>
      <w:divBdr>
        <w:top w:val="none" w:sz="0" w:space="0" w:color="auto"/>
        <w:left w:val="none" w:sz="0" w:space="0" w:color="auto"/>
        <w:bottom w:val="none" w:sz="0" w:space="0" w:color="auto"/>
        <w:right w:val="none" w:sz="0" w:space="0" w:color="auto"/>
      </w:divBdr>
    </w:div>
    <w:div w:id="1750232833">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06337010">
      <w:bodyDiv w:val="1"/>
      <w:marLeft w:val="0"/>
      <w:marRight w:val="0"/>
      <w:marTop w:val="0"/>
      <w:marBottom w:val="0"/>
      <w:divBdr>
        <w:top w:val="none" w:sz="0" w:space="0" w:color="auto"/>
        <w:left w:val="none" w:sz="0" w:space="0" w:color="auto"/>
        <w:bottom w:val="none" w:sz="0" w:space="0" w:color="auto"/>
        <w:right w:val="none" w:sz="0" w:space="0" w:color="auto"/>
      </w:divBdr>
    </w:div>
    <w:div w:id="1925064856">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1609941">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099057563">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CACD46-287B-44AB-9654-5ADE0CB08418}">
  <ds:schemaRefs>
    <ds:schemaRef ds:uri="http://schemas.microsoft.com/sharepoint/v3/contenttype/forms"/>
  </ds:schemaRefs>
</ds:datastoreItem>
</file>

<file path=customXml/itemProps2.xml><?xml version="1.0" encoding="utf-8"?>
<ds:datastoreItem xmlns:ds="http://schemas.openxmlformats.org/officeDocument/2006/customXml" ds:itemID="{DEFB73AF-A564-45D7-9815-CB520C6D0D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C3EECE-1D75-478E-9E01-FBFE272F3C93}">
  <ds:schemaRefs>
    <ds:schemaRef ds:uri="http://schemas.microsoft.com/office/2006/metadata/properties"/>
    <ds:schemaRef ds:uri="http://schemas.microsoft.com/office/infopath/2007/PartnerControls"/>
    <ds:schemaRef ds:uri="56ca33e5-fdf5-4ecf-8b0f-957925caeaf0"/>
  </ds:schemaRefs>
</ds:datastoreItem>
</file>

<file path=customXml/itemProps4.xml><?xml version="1.0" encoding="utf-8"?>
<ds:datastoreItem xmlns:ds="http://schemas.openxmlformats.org/officeDocument/2006/customXml" ds:itemID="{A53A8246-4CFF-4E7F-B9F0-A00EC688D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2026</Words>
  <Characters>11553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3</cp:revision>
  <cp:lastPrinted>2025-11-27T11:40:00Z</cp:lastPrinted>
  <dcterms:created xsi:type="dcterms:W3CDTF">2025-11-27T10:50:00Z</dcterms:created>
  <dcterms:modified xsi:type="dcterms:W3CDTF">2025-11-27T11:41:00Z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