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198CDFCD" w14:textId="4F761923" w:rsidR="00B3384E" w:rsidRDefault="00B3384E" w:rsidP="00F270A6">
      <w:pPr>
        <w:spacing w:after="0"/>
        <w:ind w:right="-392"/>
        <w:rPr>
          <w:rFonts w:ascii="Tahoma" w:hAnsi="Tahoma" w:cs="Tahoma"/>
          <w:b/>
          <w:lang w:val="en-US"/>
        </w:rPr>
      </w:pPr>
    </w:p>
    <w:p w14:paraId="00AF3E1E" w14:textId="77777777" w:rsidR="009139CD" w:rsidRPr="00040065" w:rsidRDefault="009139CD"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335511A1"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209C9">
        <w:rPr>
          <w:rFonts w:ascii="Tahoma" w:hAnsi="Tahoma" w:cs="Tahoma"/>
          <w:b/>
          <w:lang w:val="en-US"/>
        </w:rPr>
        <w:t>20</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C209C9">
        <w:rPr>
          <w:rFonts w:ascii="Tahoma" w:hAnsi="Tahoma" w:cs="Tahoma"/>
          <w:b/>
          <w:lang w:val="en-US"/>
        </w:rPr>
        <w:t>7</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31E71B8" w14:textId="7307E96A" w:rsidR="0020483F" w:rsidRPr="0020483F" w:rsidRDefault="00506AF9" w:rsidP="0020483F">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9139CD">
        <w:rPr>
          <w:rFonts w:ascii="Tahoma" w:hAnsi="Tahoma" w:cs="Tahoma"/>
          <w:b/>
        </w:rPr>
        <w:t xml:space="preserve">Sh. </w:t>
      </w:r>
      <w:r w:rsidR="00C209C9">
        <w:rPr>
          <w:rFonts w:ascii="Tahoma" w:hAnsi="Tahoma" w:cs="Tahoma"/>
          <w:b/>
        </w:rPr>
        <w:t>N.K. Panda</w:t>
      </w:r>
    </w:p>
    <w:p w14:paraId="033C9A2C" w14:textId="6F09D906" w:rsidR="0085652B" w:rsidRDefault="00C87458" w:rsidP="00C87458">
      <w:pPr>
        <w:spacing w:after="0"/>
        <w:ind w:right="-482"/>
        <w:rPr>
          <w:rFonts w:ascii="Tahoma" w:hAnsi="Tahoma" w:cs="Tahoma"/>
          <w:bCs/>
          <w:u w:val="single"/>
        </w:rPr>
      </w:pPr>
      <w:r>
        <w:rPr>
          <w:rFonts w:ascii="Tahoma" w:hAnsi="Tahoma" w:cs="Tahoma"/>
          <w:bCs/>
        </w:rPr>
        <w:t xml:space="preserve">                                                                         </w:t>
      </w:r>
      <w:r w:rsidR="00C209C9">
        <w:rPr>
          <w:rFonts w:ascii="Tahoma" w:hAnsi="Tahoma" w:cs="Tahoma"/>
          <w:bCs/>
        </w:rPr>
        <w:t xml:space="preserve">                           </w:t>
      </w:r>
      <w:r w:rsidRPr="00C87458">
        <w:rPr>
          <w:rFonts w:ascii="Tahoma" w:hAnsi="Tahoma" w:cs="Tahoma"/>
          <w:bCs/>
          <w:u w:val="single"/>
        </w:rPr>
        <w:t xml:space="preserve">Section </w:t>
      </w:r>
      <w:r w:rsidR="00311DD9" w:rsidRPr="00C87458">
        <w:rPr>
          <w:rFonts w:ascii="Tahoma" w:hAnsi="Tahoma" w:cs="Tahoma"/>
          <w:bCs/>
          <w:u w:val="single"/>
        </w:rPr>
        <w:t>Officer (</w:t>
      </w:r>
      <w:r w:rsidR="00C209C9">
        <w:rPr>
          <w:rFonts w:ascii="Tahoma" w:hAnsi="Tahoma" w:cs="Tahoma"/>
          <w:bCs/>
          <w:u w:val="single"/>
        </w:rPr>
        <w:t>Parliament</w:t>
      </w:r>
      <w:r w:rsidRPr="00C87458">
        <w:rPr>
          <w:rFonts w:ascii="Tahoma" w:hAnsi="Tahoma" w:cs="Tahoma"/>
          <w:bCs/>
          <w:u w:val="single"/>
        </w:rPr>
        <w:t>)</w:t>
      </w:r>
    </w:p>
    <w:p w14:paraId="220A2160" w14:textId="77777777" w:rsidR="00C87458" w:rsidRPr="00C87458" w:rsidRDefault="00C87458" w:rsidP="00C87458">
      <w:pPr>
        <w:spacing w:after="0"/>
        <w:ind w:right="-482"/>
        <w:rPr>
          <w:rFonts w:ascii="Tahoma" w:hAnsi="Tahoma" w:cs="Tahoma"/>
          <w:bCs/>
          <w:u w:val="single"/>
        </w:rPr>
      </w:pPr>
    </w:p>
    <w:p w14:paraId="24F1D845" w14:textId="10A0B60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C209C9">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775609">
        <w:rPr>
          <w:rFonts w:ascii="Tahoma" w:hAnsi="Tahoma" w:cs="Tahoma"/>
          <w:lang w:val="en-US"/>
        </w:rPr>
        <w:t>S</w:t>
      </w:r>
      <w:r w:rsidR="00311DD9">
        <w:rPr>
          <w:rFonts w:ascii="Tahoma" w:hAnsi="Tahoma" w:cs="Tahoma"/>
          <w:lang w:val="en-US"/>
        </w:rPr>
        <w:t>tarred</w:t>
      </w:r>
      <w:r w:rsidR="00C209C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C209C9">
        <w:rPr>
          <w:rFonts w:ascii="Tahoma" w:hAnsi="Tahoma" w:cs="Tahoma"/>
          <w:b/>
          <w:bCs/>
        </w:rPr>
        <w:t>S</w:t>
      </w:r>
      <w:r w:rsidR="00DE0E0C">
        <w:rPr>
          <w:rFonts w:ascii="Tahoma" w:hAnsi="Tahoma" w:cs="Tahoma"/>
          <w:b/>
          <w:bCs/>
        </w:rPr>
        <w:t>1385</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w:t>
      </w:r>
      <w:r w:rsidR="00C209C9">
        <w:rPr>
          <w:rFonts w:ascii="Tahoma" w:hAnsi="Tahoma" w:cs="Tahoma"/>
          <w:lang w:val="en-US"/>
        </w:rPr>
        <w:t>8</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42759463"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C209C9">
        <w:rPr>
          <w:rFonts w:ascii="Tahoma" w:hAnsi="Tahoma" w:cs="Tahoma"/>
          <w:b/>
          <w:bCs/>
        </w:rPr>
        <w:t>Domestic Crude Oil Production and Imports</w:t>
      </w:r>
      <w:r w:rsidR="00311DD9">
        <w:rPr>
          <w:rFonts w:ascii="Tahoma" w:hAnsi="Tahoma" w:cs="Tahoma"/>
          <w:b/>
          <w:bCs/>
        </w:rPr>
        <w:t>”</w:t>
      </w:r>
    </w:p>
    <w:p w14:paraId="3297E00F" w14:textId="77034BF0"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9139CD">
        <w:rPr>
          <w:rFonts w:ascii="Tahoma" w:hAnsi="Tahoma" w:cs="Tahoma"/>
          <w:lang w:val="en-US"/>
        </w:rPr>
        <w:t>2</w:t>
      </w:r>
      <w:r w:rsidR="00C209C9">
        <w:rPr>
          <w:rFonts w:ascii="Tahoma" w:hAnsi="Tahoma" w:cs="Tahoma"/>
          <w:lang w:val="en-US"/>
        </w:rPr>
        <w:t>7</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2B3F3CB2"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209C9">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3397"/>
        <w:gridCol w:w="6350"/>
      </w:tblGrid>
      <w:tr w:rsidR="003E2B73" w:rsidRPr="00040065" w14:paraId="55DD2EA1" w14:textId="77777777" w:rsidTr="00DE0E0C">
        <w:trPr>
          <w:trHeight w:val="2170"/>
        </w:trPr>
        <w:tc>
          <w:tcPr>
            <w:tcW w:w="3397" w:type="dxa"/>
          </w:tcPr>
          <w:p w14:paraId="077D8A08" w14:textId="77777777" w:rsidR="00C209C9" w:rsidRPr="00C209C9" w:rsidRDefault="00C209C9" w:rsidP="00C209C9">
            <w:pPr>
              <w:rPr>
                <w:rFonts w:ascii="Times New Roman" w:eastAsia="Times New Roman" w:hAnsi="Times New Roman" w:cs="Times New Roman"/>
                <w:b/>
                <w:bCs/>
                <w:sz w:val="24"/>
                <w:szCs w:val="24"/>
                <w:lang w:val="en-US" w:bidi="hi-IN"/>
              </w:rPr>
            </w:pPr>
            <w:r w:rsidRPr="00C209C9">
              <w:rPr>
                <w:rFonts w:ascii="Times New Roman" w:eastAsia="Times New Roman" w:hAnsi="Times New Roman" w:cs="Times New Roman"/>
                <w:b/>
                <w:bCs/>
                <w:sz w:val="24"/>
                <w:szCs w:val="24"/>
                <w:lang w:val="en-US" w:bidi="hi-IN"/>
              </w:rPr>
              <w:t>Will the Minister of Petroleum and Natural Gas be pleased to state</w:t>
            </w:r>
            <w:proofErr w:type="gramStart"/>
            <w:r w:rsidRPr="00C209C9">
              <w:rPr>
                <w:rFonts w:ascii="Times New Roman" w:eastAsia="Times New Roman" w:hAnsi="Times New Roman" w:cs="Times New Roman"/>
                <w:b/>
                <w:bCs/>
                <w:sz w:val="24"/>
                <w:szCs w:val="24"/>
                <w:lang w:val="en-US" w:bidi="hi-IN"/>
              </w:rPr>
              <w:t>: ?</w:t>
            </w:r>
            <w:proofErr w:type="gramEnd"/>
          </w:p>
          <w:p w14:paraId="20DA8764" w14:textId="77777777" w:rsidR="00C209C9" w:rsidRDefault="00C209C9" w:rsidP="00EC4D11">
            <w:pPr>
              <w:ind w:right="34"/>
              <w:jc w:val="both"/>
              <w:rPr>
                <w:rFonts w:ascii="Tahoma" w:hAnsi="Tahoma" w:cs="Tahoma"/>
                <w:i/>
                <w:iCs/>
              </w:rPr>
            </w:pPr>
          </w:p>
          <w:p w14:paraId="178891F9" w14:textId="106976D5" w:rsidR="00C209C9" w:rsidRPr="00C209C9" w:rsidRDefault="003E2B73" w:rsidP="00C209C9">
            <w:pPr>
              <w:ind w:right="34"/>
              <w:jc w:val="both"/>
              <w:rPr>
                <w:rFonts w:ascii="Tahoma" w:hAnsi="Tahoma" w:cs="Tahoma"/>
                <w:i/>
                <w:iCs/>
                <w:lang w:val="en-US"/>
              </w:rPr>
            </w:pPr>
            <w:r w:rsidRPr="00040065">
              <w:rPr>
                <w:rFonts w:ascii="Tahoma" w:hAnsi="Tahoma" w:cs="Tahoma"/>
                <w:i/>
                <w:iCs/>
              </w:rPr>
              <w:t>Q.(a)</w:t>
            </w:r>
            <w:r w:rsidR="00FC2310" w:rsidRPr="00040065">
              <w:rPr>
                <w:rFonts w:ascii="Tahoma" w:hAnsi="Tahoma" w:cs="Tahoma"/>
                <w:i/>
                <w:iCs/>
              </w:rPr>
              <w:t xml:space="preserve"> </w:t>
            </w:r>
            <w:r w:rsidR="00C209C9">
              <w:rPr>
                <w:rFonts w:ascii="Tahoma" w:hAnsi="Tahoma" w:cs="Tahoma"/>
                <w:i/>
                <w:iCs/>
                <w:lang w:val="en-US"/>
              </w:rPr>
              <w:t>T</w:t>
            </w:r>
            <w:r w:rsidR="00C209C9" w:rsidRPr="00C209C9">
              <w:rPr>
                <w:rFonts w:ascii="Tahoma" w:hAnsi="Tahoma" w:cs="Tahoma"/>
                <w:i/>
                <w:iCs/>
                <w:lang w:val="en-US"/>
              </w:rPr>
              <w:t xml:space="preserve">he total domestic production of crude oil during the last five years, year-wise; </w:t>
            </w:r>
          </w:p>
          <w:p w14:paraId="4062B524" w14:textId="75D56B76" w:rsidR="0010195B" w:rsidRPr="00040065" w:rsidRDefault="0010195B" w:rsidP="00EC4D11">
            <w:pPr>
              <w:ind w:right="34"/>
              <w:jc w:val="both"/>
              <w:rPr>
                <w:rFonts w:ascii="Tahoma" w:hAnsi="Tahoma" w:cs="Tahoma"/>
                <w:i/>
                <w:iCs/>
              </w:rPr>
            </w:pPr>
          </w:p>
        </w:tc>
        <w:tc>
          <w:tcPr>
            <w:tcW w:w="6350"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B741BEB" w14:textId="77777777" w:rsidR="00DE0E0C" w:rsidRDefault="00DE0E0C" w:rsidP="00C41083">
            <w:pPr>
              <w:spacing w:after="120"/>
              <w:jc w:val="both"/>
              <w:rPr>
                <w:rFonts w:ascii="Tahoma" w:eastAsia="Times New Roman" w:hAnsi="Tahoma" w:cs="Tahoma"/>
                <w:kern w:val="2"/>
                <w14:ligatures w14:val="standardContextual"/>
              </w:rPr>
            </w:pPr>
          </w:p>
          <w:p w14:paraId="19D7070C" w14:textId="77777777" w:rsidR="00DE0E0C" w:rsidRPr="00DE0E0C" w:rsidRDefault="003C2502" w:rsidP="00DE0E0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proofErr w:type="gramStart"/>
            <w:r w:rsidR="00DE0E0C" w:rsidRPr="00DE0E0C">
              <w:rPr>
                <w:rFonts w:ascii="Tahoma" w:eastAsia="Times New Roman" w:hAnsi="Tahoma" w:cs="Tahoma"/>
                <w:kern w:val="2"/>
                <w14:ligatures w14:val="standardContextual"/>
              </w:rPr>
              <w:t>As</w:t>
            </w:r>
            <w:proofErr w:type="gramEnd"/>
            <w:r w:rsidR="00DE0E0C" w:rsidRPr="00DE0E0C">
              <w:rPr>
                <w:rFonts w:ascii="Tahoma" w:eastAsia="Times New Roman" w:hAnsi="Tahoma" w:cs="Tahoma"/>
                <w:kern w:val="2"/>
                <w14:ligatures w14:val="standardContextual"/>
              </w:rPr>
              <w:t xml:space="preserve"> far as OIL is concerned, the domestic crude oil production during the past 5 years is as follows:</w:t>
            </w:r>
          </w:p>
          <w:tbl>
            <w:tblPr>
              <w:tblStyle w:val="TableGrid"/>
              <w:tblpPr w:leftFromText="180" w:rightFromText="180" w:vertAnchor="text" w:horzAnchor="margin" w:tblpXSpec="center" w:tblpY="-111"/>
              <w:tblOverlap w:val="never"/>
              <w:tblW w:w="5000" w:type="pct"/>
              <w:tblLayout w:type="fixed"/>
              <w:tblLook w:val="04A0" w:firstRow="1" w:lastRow="0" w:firstColumn="1" w:lastColumn="0" w:noHBand="0" w:noVBand="1"/>
            </w:tblPr>
            <w:tblGrid>
              <w:gridCol w:w="1220"/>
              <w:gridCol w:w="612"/>
              <w:gridCol w:w="859"/>
              <w:gridCol w:w="859"/>
              <w:gridCol w:w="859"/>
              <w:gridCol w:w="859"/>
              <w:gridCol w:w="856"/>
            </w:tblGrid>
            <w:tr w:rsidR="00DE0E0C" w:rsidRPr="00DE0E0C" w14:paraId="6A8A11B6" w14:textId="77777777" w:rsidTr="00BD7B97">
              <w:trPr>
                <w:trHeight w:val="223"/>
              </w:trPr>
              <w:tc>
                <w:tcPr>
                  <w:tcW w:w="997" w:type="pct"/>
                  <w:tcBorders>
                    <w:top w:val="single" w:sz="4" w:space="0" w:color="auto"/>
                    <w:left w:val="single" w:sz="4" w:space="0" w:color="auto"/>
                    <w:bottom w:val="single" w:sz="4" w:space="0" w:color="auto"/>
                    <w:right w:val="single" w:sz="4" w:space="0" w:color="auto"/>
                  </w:tcBorders>
                  <w:hideMark/>
                </w:tcPr>
                <w:p w14:paraId="69361326"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Parameters</w:t>
                  </w:r>
                </w:p>
              </w:tc>
              <w:tc>
                <w:tcPr>
                  <w:tcW w:w="500" w:type="pct"/>
                  <w:tcBorders>
                    <w:top w:val="single" w:sz="4" w:space="0" w:color="auto"/>
                    <w:left w:val="single" w:sz="4" w:space="0" w:color="auto"/>
                    <w:bottom w:val="single" w:sz="4" w:space="0" w:color="auto"/>
                    <w:right w:val="single" w:sz="4" w:space="0" w:color="auto"/>
                  </w:tcBorders>
                  <w:hideMark/>
                </w:tcPr>
                <w:p w14:paraId="5A89970F"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UoM</w:t>
                  </w:r>
                </w:p>
              </w:tc>
              <w:tc>
                <w:tcPr>
                  <w:tcW w:w="701" w:type="pct"/>
                  <w:tcBorders>
                    <w:top w:val="single" w:sz="4" w:space="0" w:color="auto"/>
                    <w:left w:val="single" w:sz="4" w:space="0" w:color="auto"/>
                    <w:bottom w:val="single" w:sz="4" w:space="0" w:color="auto"/>
                    <w:right w:val="single" w:sz="4" w:space="0" w:color="auto"/>
                  </w:tcBorders>
                  <w:hideMark/>
                </w:tcPr>
                <w:p w14:paraId="6B74F6C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2020-21</w:t>
                  </w:r>
                </w:p>
              </w:tc>
              <w:tc>
                <w:tcPr>
                  <w:tcW w:w="701" w:type="pct"/>
                  <w:tcBorders>
                    <w:top w:val="single" w:sz="4" w:space="0" w:color="auto"/>
                    <w:left w:val="single" w:sz="4" w:space="0" w:color="auto"/>
                    <w:bottom w:val="single" w:sz="4" w:space="0" w:color="auto"/>
                    <w:right w:val="single" w:sz="4" w:space="0" w:color="auto"/>
                  </w:tcBorders>
                  <w:hideMark/>
                </w:tcPr>
                <w:p w14:paraId="012B684B"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2021-22</w:t>
                  </w:r>
                </w:p>
              </w:tc>
              <w:tc>
                <w:tcPr>
                  <w:tcW w:w="701" w:type="pct"/>
                  <w:tcBorders>
                    <w:top w:val="single" w:sz="4" w:space="0" w:color="auto"/>
                    <w:left w:val="single" w:sz="4" w:space="0" w:color="auto"/>
                    <w:bottom w:val="single" w:sz="4" w:space="0" w:color="auto"/>
                    <w:right w:val="single" w:sz="4" w:space="0" w:color="auto"/>
                  </w:tcBorders>
                  <w:hideMark/>
                </w:tcPr>
                <w:p w14:paraId="794CA370"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2022-23</w:t>
                  </w:r>
                </w:p>
              </w:tc>
              <w:tc>
                <w:tcPr>
                  <w:tcW w:w="701" w:type="pct"/>
                  <w:tcBorders>
                    <w:top w:val="single" w:sz="4" w:space="0" w:color="auto"/>
                    <w:left w:val="single" w:sz="4" w:space="0" w:color="auto"/>
                    <w:bottom w:val="single" w:sz="4" w:space="0" w:color="auto"/>
                    <w:right w:val="single" w:sz="4" w:space="0" w:color="auto"/>
                  </w:tcBorders>
                  <w:hideMark/>
                </w:tcPr>
                <w:p w14:paraId="0C27079D"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2023-24</w:t>
                  </w:r>
                </w:p>
              </w:tc>
              <w:tc>
                <w:tcPr>
                  <w:tcW w:w="701" w:type="pct"/>
                  <w:tcBorders>
                    <w:top w:val="single" w:sz="4" w:space="0" w:color="auto"/>
                    <w:left w:val="single" w:sz="4" w:space="0" w:color="auto"/>
                    <w:bottom w:val="single" w:sz="4" w:space="0" w:color="auto"/>
                    <w:right w:val="single" w:sz="4" w:space="0" w:color="auto"/>
                  </w:tcBorders>
                  <w:hideMark/>
                </w:tcPr>
                <w:p w14:paraId="505BBDB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2024-25</w:t>
                  </w:r>
                </w:p>
              </w:tc>
            </w:tr>
            <w:tr w:rsidR="00DE0E0C" w:rsidRPr="00DE0E0C" w14:paraId="20C97C34" w14:textId="77777777" w:rsidTr="00BD7B97">
              <w:trPr>
                <w:trHeight w:val="212"/>
              </w:trPr>
              <w:tc>
                <w:tcPr>
                  <w:tcW w:w="997" w:type="pct"/>
                  <w:tcBorders>
                    <w:top w:val="single" w:sz="4" w:space="0" w:color="auto"/>
                    <w:left w:val="single" w:sz="4" w:space="0" w:color="auto"/>
                    <w:bottom w:val="single" w:sz="4" w:space="0" w:color="auto"/>
                    <w:right w:val="single" w:sz="4" w:space="0" w:color="auto"/>
                  </w:tcBorders>
                  <w:hideMark/>
                </w:tcPr>
                <w:p w14:paraId="4DD6531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Crude Oil</w:t>
                  </w:r>
                </w:p>
              </w:tc>
              <w:tc>
                <w:tcPr>
                  <w:tcW w:w="500" w:type="pct"/>
                  <w:tcBorders>
                    <w:top w:val="single" w:sz="4" w:space="0" w:color="auto"/>
                    <w:left w:val="single" w:sz="4" w:space="0" w:color="auto"/>
                    <w:bottom w:val="single" w:sz="4" w:space="0" w:color="auto"/>
                    <w:right w:val="single" w:sz="4" w:space="0" w:color="auto"/>
                  </w:tcBorders>
                  <w:hideMark/>
                </w:tcPr>
                <w:p w14:paraId="323EDA1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MMT</w:t>
                  </w:r>
                </w:p>
              </w:tc>
              <w:tc>
                <w:tcPr>
                  <w:tcW w:w="701" w:type="pct"/>
                  <w:tcBorders>
                    <w:top w:val="single" w:sz="4" w:space="0" w:color="auto"/>
                    <w:left w:val="single" w:sz="4" w:space="0" w:color="auto"/>
                    <w:bottom w:val="single" w:sz="4" w:space="0" w:color="auto"/>
                    <w:right w:val="single" w:sz="4" w:space="0" w:color="auto"/>
                  </w:tcBorders>
                  <w:hideMark/>
                </w:tcPr>
                <w:p w14:paraId="3040C546"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2.964</w:t>
                  </w:r>
                </w:p>
              </w:tc>
              <w:tc>
                <w:tcPr>
                  <w:tcW w:w="701" w:type="pct"/>
                  <w:tcBorders>
                    <w:top w:val="single" w:sz="4" w:space="0" w:color="auto"/>
                    <w:left w:val="single" w:sz="4" w:space="0" w:color="auto"/>
                    <w:bottom w:val="single" w:sz="4" w:space="0" w:color="auto"/>
                    <w:right w:val="single" w:sz="4" w:space="0" w:color="auto"/>
                  </w:tcBorders>
                  <w:hideMark/>
                </w:tcPr>
                <w:p w14:paraId="3FDCD50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3.010</w:t>
                  </w:r>
                </w:p>
              </w:tc>
              <w:tc>
                <w:tcPr>
                  <w:tcW w:w="701" w:type="pct"/>
                  <w:tcBorders>
                    <w:top w:val="single" w:sz="4" w:space="0" w:color="auto"/>
                    <w:left w:val="single" w:sz="4" w:space="0" w:color="auto"/>
                    <w:bottom w:val="single" w:sz="4" w:space="0" w:color="auto"/>
                    <w:right w:val="single" w:sz="4" w:space="0" w:color="auto"/>
                  </w:tcBorders>
                  <w:hideMark/>
                </w:tcPr>
                <w:p w14:paraId="15E4B1F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3.176</w:t>
                  </w:r>
                </w:p>
              </w:tc>
              <w:tc>
                <w:tcPr>
                  <w:tcW w:w="701" w:type="pct"/>
                  <w:tcBorders>
                    <w:top w:val="single" w:sz="4" w:space="0" w:color="auto"/>
                    <w:left w:val="single" w:sz="4" w:space="0" w:color="auto"/>
                    <w:bottom w:val="single" w:sz="4" w:space="0" w:color="auto"/>
                    <w:right w:val="single" w:sz="4" w:space="0" w:color="auto"/>
                  </w:tcBorders>
                  <w:hideMark/>
                </w:tcPr>
                <w:p w14:paraId="018C8E2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3.359</w:t>
                  </w:r>
                </w:p>
              </w:tc>
              <w:tc>
                <w:tcPr>
                  <w:tcW w:w="701" w:type="pct"/>
                  <w:tcBorders>
                    <w:top w:val="single" w:sz="4" w:space="0" w:color="auto"/>
                    <w:left w:val="single" w:sz="4" w:space="0" w:color="auto"/>
                    <w:bottom w:val="single" w:sz="4" w:space="0" w:color="auto"/>
                    <w:right w:val="single" w:sz="4" w:space="0" w:color="auto"/>
                  </w:tcBorders>
                  <w:hideMark/>
                </w:tcPr>
                <w:p w14:paraId="083628D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3.458</w:t>
                  </w:r>
                </w:p>
              </w:tc>
            </w:tr>
          </w:tbl>
          <w:p w14:paraId="6CAE896D" w14:textId="77777777" w:rsidR="00DE0E0C" w:rsidRPr="00DE0E0C" w:rsidRDefault="00DE0E0C" w:rsidP="00DE0E0C">
            <w:pPr>
              <w:spacing w:after="120"/>
              <w:jc w:val="both"/>
              <w:rPr>
                <w:rFonts w:ascii="Tahoma" w:eastAsia="Times New Roman" w:hAnsi="Tahoma" w:cs="Tahoma"/>
                <w:kern w:val="2"/>
                <w14:ligatures w14:val="standardContextual"/>
              </w:rPr>
            </w:pPr>
          </w:p>
          <w:p w14:paraId="1C2BC2CF" w14:textId="57CE382B" w:rsidR="00CD6DC6" w:rsidRPr="00040065" w:rsidRDefault="00CD6DC6" w:rsidP="00C41083">
            <w:pPr>
              <w:spacing w:after="120"/>
              <w:jc w:val="both"/>
              <w:rPr>
                <w:rFonts w:ascii="Tahoma" w:eastAsia="Times New Roman" w:hAnsi="Tahoma" w:cs="Tahoma"/>
                <w:kern w:val="2"/>
                <w14:ligatures w14:val="standardContextual"/>
              </w:rPr>
            </w:pPr>
          </w:p>
        </w:tc>
      </w:tr>
      <w:tr w:rsidR="003E2B73" w:rsidRPr="00040065" w14:paraId="65648DF5" w14:textId="77777777" w:rsidTr="00DE0E0C">
        <w:trPr>
          <w:trHeight w:val="986"/>
        </w:trPr>
        <w:tc>
          <w:tcPr>
            <w:tcW w:w="3397" w:type="dxa"/>
          </w:tcPr>
          <w:p w14:paraId="04A4DB82" w14:textId="0652C612" w:rsidR="00C209C9" w:rsidRPr="00C209C9" w:rsidRDefault="003E2B73" w:rsidP="00C209C9">
            <w:pPr>
              <w:ind w:right="34"/>
              <w:jc w:val="both"/>
              <w:rPr>
                <w:rFonts w:ascii="Tahoma" w:hAnsi="Tahoma" w:cs="Tahoma"/>
                <w:i/>
                <w:iCs/>
                <w:lang w:val="en-US"/>
              </w:rPr>
            </w:pPr>
            <w:r w:rsidRPr="00040065">
              <w:rPr>
                <w:rFonts w:ascii="Tahoma" w:hAnsi="Tahoma" w:cs="Tahoma"/>
                <w:i/>
                <w:iCs/>
              </w:rPr>
              <w:t xml:space="preserve">Q.(b) </w:t>
            </w:r>
            <w:r w:rsidR="00C209C9">
              <w:rPr>
                <w:rFonts w:ascii="Tahoma" w:hAnsi="Tahoma" w:cs="Tahoma"/>
                <w:i/>
                <w:iCs/>
                <w:lang w:val="en-US"/>
              </w:rPr>
              <w:t>T</w:t>
            </w:r>
            <w:r w:rsidR="00C209C9" w:rsidRPr="00C209C9">
              <w:rPr>
                <w:rFonts w:ascii="Tahoma" w:hAnsi="Tahoma" w:cs="Tahoma"/>
                <w:i/>
                <w:iCs/>
                <w:lang w:val="en-US"/>
              </w:rPr>
              <w:t>he total import of crude oil during the same period, country-wise; and</w:t>
            </w:r>
          </w:p>
          <w:p w14:paraId="01947609" w14:textId="5EDAA2D0" w:rsidR="00BF5FD1" w:rsidRPr="00040065" w:rsidRDefault="00BF5FD1" w:rsidP="00EC4D11">
            <w:pPr>
              <w:ind w:right="34"/>
              <w:jc w:val="both"/>
              <w:rPr>
                <w:rFonts w:ascii="Tahoma" w:eastAsia="Times New Roman" w:hAnsi="Tahoma" w:cs="Tahoma"/>
                <w:i/>
                <w:color w:val="000000"/>
              </w:rPr>
            </w:pPr>
          </w:p>
        </w:tc>
        <w:tc>
          <w:tcPr>
            <w:tcW w:w="6350"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4EEE8F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As far as OIL is concerned, OIL does not import crude oil.</w:t>
            </w:r>
          </w:p>
          <w:p w14:paraId="3780DB29" w14:textId="195A36A4" w:rsidR="003E2B73" w:rsidRPr="00040065" w:rsidRDefault="003E2B73" w:rsidP="00EC4D11">
            <w:pPr>
              <w:spacing w:after="120"/>
              <w:jc w:val="both"/>
              <w:rPr>
                <w:rFonts w:ascii="Tahoma" w:hAnsi="Tahoma" w:cs="Tahoma"/>
                <w:lang w:val="en-US"/>
              </w:rPr>
            </w:pPr>
          </w:p>
        </w:tc>
      </w:tr>
      <w:tr w:rsidR="00BF5FD1" w:rsidRPr="00040065" w14:paraId="36083E04" w14:textId="77777777" w:rsidTr="00DE0E0C">
        <w:trPr>
          <w:trHeight w:val="1230"/>
        </w:trPr>
        <w:tc>
          <w:tcPr>
            <w:tcW w:w="3397" w:type="dxa"/>
          </w:tcPr>
          <w:p w14:paraId="18E154E9" w14:textId="475844A4" w:rsidR="00C209C9" w:rsidRPr="00C209C9" w:rsidRDefault="00BF5FD1" w:rsidP="00C209C9">
            <w:pPr>
              <w:ind w:right="34"/>
              <w:jc w:val="both"/>
              <w:rPr>
                <w:rFonts w:ascii="Tahoma" w:hAnsi="Tahoma" w:cs="Tahoma"/>
                <w:i/>
                <w:iCs/>
                <w:lang w:val="en-US"/>
              </w:rPr>
            </w:pPr>
            <w:r>
              <w:rPr>
                <w:rFonts w:ascii="Tahoma" w:hAnsi="Tahoma" w:cs="Tahoma"/>
                <w:i/>
                <w:iCs/>
              </w:rPr>
              <w:t xml:space="preserve">Q.(c) </w:t>
            </w:r>
            <w:r w:rsidR="00C209C9">
              <w:rPr>
                <w:rFonts w:ascii="Tahoma" w:hAnsi="Tahoma" w:cs="Tahoma"/>
                <w:i/>
                <w:iCs/>
                <w:lang w:val="en-US"/>
              </w:rPr>
              <w:t>T</w:t>
            </w:r>
            <w:r w:rsidR="00C209C9" w:rsidRPr="00C209C9">
              <w:rPr>
                <w:rFonts w:ascii="Tahoma" w:hAnsi="Tahoma" w:cs="Tahoma"/>
                <w:i/>
                <w:iCs/>
                <w:lang w:val="en-US"/>
              </w:rPr>
              <w:t>he steps being taken by the Government to reduce import dependency on crude oil?</w:t>
            </w:r>
          </w:p>
          <w:p w14:paraId="50B911BA" w14:textId="16B78120" w:rsidR="00EC4D11" w:rsidRPr="00040065" w:rsidRDefault="00EC4D11" w:rsidP="00EC4D11">
            <w:pPr>
              <w:ind w:right="34"/>
              <w:jc w:val="both"/>
              <w:rPr>
                <w:rFonts w:ascii="Tahoma" w:hAnsi="Tahoma" w:cs="Tahoma"/>
                <w:i/>
                <w:iCs/>
              </w:rPr>
            </w:pPr>
          </w:p>
        </w:tc>
        <w:tc>
          <w:tcPr>
            <w:tcW w:w="6350" w:type="dxa"/>
          </w:tcPr>
          <w:p w14:paraId="10DB793E" w14:textId="1D3EABA1"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CB717AB"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initiatives to reduce India’s dependence on imports.</w:t>
            </w:r>
          </w:p>
          <w:p w14:paraId="3713CAD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0D59A480"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lastRenderedPageBreak/>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14:paraId="430888C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To drive future growth and enhance production, OIL’s key </w:t>
            </w:r>
            <w:proofErr w:type="spellStart"/>
            <w:r w:rsidRPr="00DE0E0C">
              <w:rPr>
                <w:rFonts w:ascii="Tahoma" w:eastAsia="Times New Roman" w:hAnsi="Tahoma" w:cs="Tahoma"/>
                <w:kern w:val="2"/>
                <w14:ligatures w14:val="standardContextual"/>
              </w:rPr>
              <w:t>endeavors</w:t>
            </w:r>
            <w:proofErr w:type="spellEnd"/>
            <w:r w:rsidRPr="00DE0E0C">
              <w:rPr>
                <w:rFonts w:ascii="Tahoma" w:eastAsia="Times New Roman" w:hAnsi="Tahoma" w:cs="Tahoma"/>
                <w:kern w:val="2"/>
                <w14:ligatures w14:val="standardContextual"/>
              </w:rPr>
              <w:t xml:space="preserve"> can be broadly summarized as follows:</w:t>
            </w:r>
          </w:p>
          <w:p w14:paraId="3974490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Enhancing Production Targets: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3D2292B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72637C60"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Focused Development Areas: The company has identified several key areas for fast-track development, which are expected to substantially enhance production levels in the near future.</w:t>
            </w:r>
          </w:p>
          <w:p w14:paraId="6DA75F6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Advanced Recovery Techniques: To maximize recovery from its mature fields in the Upper Assam Basin, OIL continues to implement water injection techniques and other IOR (Improved Oil Recovery) and EOR (Enhanced Oil Recovery) technologies.</w:t>
            </w:r>
          </w:p>
          <w:p w14:paraId="49045F1E"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Adopting Innovative Technologies: OIL is actively deploying fit-for-purpose technologies to improve production efficiency and optimize operations.</w:t>
            </w:r>
          </w:p>
          <w:p w14:paraId="47C1D43F"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Collaborative Efforts: OIL is collaborating with national and international institutions and industry leaders to leverage expertise and resources for enhanced exploration and production activities.</w:t>
            </w:r>
          </w:p>
          <w:p w14:paraId="71F8404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In addition to these initiatives, OIL is implementing a comprehensive strategy comprising short-, mid-, and long-term </w:t>
            </w:r>
            <w:r w:rsidRPr="00DE0E0C">
              <w:rPr>
                <w:rFonts w:ascii="Tahoma" w:eastAsia="Times New Roman" w:hAnsi="Tahoma" w:cs="Tahoma"/>
                <w:kern w:val="2"/>
                <w14:ligatures w14:val="standardContextual"/>
              </w:rPr>
              <w:lastRenderedPageBreak/>
              <w:t>measures for enhancement of crude oil production as detailed below:</w:t>
            </w:r>
          </w:p>
          <w:p w14:paraId="5BC6403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Short-term Measures: These include well intervention activities and the immediate induction of new technologies to address operational challenges.</w:t>
            </w:r>
          </w:p>
          <w:p w14:paraId="5F99DA1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Mid-term Measures: Creation of surface facilities to remove bottlenecks and facilitate smoother production processes.</w:t>
            </w:r>
          </w:p>
          <w:p w14:paraId="2C507DF9"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Long-term Measures: Maximizing recovery from mature fields through advanced IOR/EOR techniques.</w:t>
            </w:r>
          </w:p>
          <w:p w14:paraId="26FD763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Apart from the conventional sources of energy 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whereas the remaining 20 plants are at various stages of development. OIL is also establishing 645 MW of solar power generation through JV with Assam Power Generation Corporation Limited (APGCL). </w:t>
            </w:r>
          </w:p>
          <w:p w14:paraId="64AD4E75"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 is presently being Green Hydrogen (2%) with natural gas at India’s first AEM-based GH₂ pilot plant (30 kg/day) Jorhat. A 1 MW GH₂ plant (400 kg/day) is under construction at </w:t>
            </w:r>
            <w:proofErr w:type="spellStart"/>
            <w:r w:rsidRPr="00DE0E0C">
              <w:rPr>
                <w:rFonts w:ascii="Tahoma" w:eastAsia="Times New Roman" w:hAnsi="Tahoma" w:cs="Tahoma"/>
                <w:kern w:val="2"/>
                <w14:ligatures w14:val="standardContextual"/>
              </w:rPr>
              <w:t>Nalagarh</w:t>
            </w:r>
            <w:proofErr w:type="spellEnd"/>
            <w:r w:rsidRPr="00DE0E0C">
              <w:rPr>
                <w:rFonts w:ascii="Tahoma" w:eastAsia="Times New Roman" w:hAnsi="Tahoma" w:cs="Tahoma"/>
                <w:kern w:val="2"/>
                <w14:ligatures w14:val="standardContextual"/>
              </w:rPr>
              <w:t xml:space="preserve">, Himachal Pradesh, in collaboration with Himachal Pradesh Power Corporation Ltd </w:t>
            </w:r>
          </w:p>
          <w:p w14:paraId="67A7D1F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OIL’s material subsidiary NRL’s 50 KTPA 2G </w:t>
            </w:r>
            <w:proofErr w:type="spellStart"/>
            <w:r w:rsidRPr="00DE0E0C">
              <w:rPr>
                <w:rFonts w:ascii="Tahoma" w:eastAsia="Times New Roman" w:hAnsi="Tahoma" w:cs="Tahoma"/>
                <w:kern w:val="2"/>
                <w14:ligatures w14:val="standardContextual"/>
              </w:rPr>
              <w:t>bioethonal</w:t>
            </w:r>
            <w:proofErr w:type="spellEnd"/>
            <w:r w:rsidRPr="00DE0E0C">
              <w:rPr>
                <w:rFonts w:ascii="Tahoma" w:eastAsia="Times New Roman" w:hAnsi="Tahoma" w:cs="Tahoma"/>
                <w:kern w:val="2"/>
                <w14:ligatures w14:val="standardContextual"/>
              </w:rPr>
              <w:t xml:space="preserve"> plant has been inaugurated by the Prime Minister on 14</w:t>
            </w:r>
            <w:r w:rsidRPr="00DE0E0C">
              <w:rPr>
                <w:rFonts w:ascii="Tahoma" w:eastAsia="Times New Roman" w:hAnsi="Tahoma" w:cs="Tahoma"/>
                <w:kern w:val="2"/>
                <w:vertAlign w:val="superscript"/>
                <w14:ligatures w14:val="standardContextual"/>
              </w:rPr>
              <w:t>th</w:t>
            </w:r>
            <w:r w:rsidRPr="00DE0E0C">
              <w:rPr>
                <w:rFonts w:ascii="Tahoma" w:eastAsia="Times New Roman" w:hAnsi="Tahoma" w:cs="Tahoma"/>
                <w:kern w:val="2"/>
                <w14:ligatures w14:val="standardContextual"/>
              </w:rPr>
              <w:t xml:space="preserve"> Sep 2025 which uses bamboo feedstock. Moreover the 2.4 KTPA Green Hydrogen plant is under commissioning phase.</w:t>
            </w:r>
          </w:p>
          <w:p w14:paraId="2C2EED6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Government has taken various initiatives and actions in the recent past to increase domestic exploration and production of petroleum and natural gas. Some of the major initiatives are stated below.</w:t>
            </w:r>
          </w:p>
          <w:p w14:paraId="1F56B894"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w:t>
            </w:r>
            <w:r w:rsidRPr="00DE0E0C">
              <w:rPr>
                <w:rFonts w:ascii="Tahoma" w:eastAsia="Times New Roman" w:hAnsi="Tahoma" w:cs="Tahoma"/>
                <w:kern w:val="2"/>
                <w14:ligatures w14:val="standardContextual"/>
              </w:rPr>
              <w:tab/>
              <w:t>Hydrocarbon Exploration Licensing policy (HELP) &amp; Discovery Small Fields (DSF)</w:t>
            </w:r>
          </w:p>
          <w:p w14:paraId="5CF3BAA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w:t>
            </w:r>
            <w:r w:rsidRPr="00DE0E0C">
              <w:rPr>
                <w:rFonts w:ascii="Tahoma" w:eastAsia="Times New Roman" w:hAnsi="Tahoma" w:cs="Tahoma"/>
                <w:kern w:val="2"/>
                <w14:ligatures w14:val="standardContextual"/>
              </w:rPr>
              <w:tab/>
              <w:t>National Seismic Programme (NSP) and Deep Andaman offshore Surveys</w:t>
            </w:r>
          </w:p>
          <w:p w14:paraId="0D4CEEBE"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III.</w:t>
            </w:r>
            <w:r w:rsidRPr="00DE0E0C">
              <w:rPr>
                <w:rFonts w:ascii="Tahoma" w:eastAsia="Times New Roman" w:hAnsi="Tahoma" w:cs="Tahoma"/>
                <w:kern w:val="2"/>
                <w14:ligatures w14:val="standardContextual"/>
              </w:rPr>
              <w:tab/>
              <w:t xml:space="preserve">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survey</w:t>
            </w:r>
          </w:p>
          <w:p w14:paraId="5B6FA07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IV.</w:t>
            </w:r>
            <w:r w:rsidRPr="00DE0E0C">
              <w:rPr>
                <w:rFonts w:ascii="Tahoma" w:eastAsia="Times New Roman" w:hAnsi="Tahoma" w:cs="Tahoma"/>
                <w:kern w:val="2"/>
                <w14:ligatures w14:val="standardContextual"/>
              </w:rPr>
              <w:tab/>
              <w:t>Drilling of Stratigraphic Wells</w:t>
            </w:r>
          </w:p>
          <w:p w14:paraId="646C3DA9"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V.</w:t>
            </w:r>
            <w:r w:rsidRPr="00DE0E0C">
              <w:rPr>
                <w:rFonts w:ascii="Tahoma" w:eastAsia="Times New Roman" w:hAnsi="Tahoma" w:cs="Tahoma"/>
                <w:kern w:val="2"/>
                <w14:ligatures w14:val="standardContextual"/>
              </w:rPr>
              <w:tab/>
              <w:t xml:space="preserve">Seismic Campaign Under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&amp; ECS beyond EEZ</w:t>
            </w:r>
          </w:p>
          <w:p w14:paraId="27867854"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VI.</w:t>
            </w:r>
            <w:r w:rsidRPr="00DE0E0C">
              <w:rPr>
                <w:rFonts w:ascii="Tahoma" w:eastAsia="Times New Roman" w:hAnsi="Tahoma" w:cs="Tahoma"/>
                <w:kern w:val="2"/>
                <w14:ligatures w14:val="standardContextual"/>
              </w:rPr>
              <w:tab/>
              <w:t>Opening of No-Go Areas for E&amp;P Activities.</w:t>
            </w:r>
          </w:p>
          <w:p w14:paraId="6CC2F29F" w14:textId="77777777" w:rsidR="00DE0E0C" w:rsidRPr="00DE0E0C" w:rsidRDefault="00DE0E0C" w:rsidP="00DE0E0C">
            <w:pPr>
              <w:spacing w:after="120"/>
              <w:jc w:val="both"/>
              <w:rPr>
                <w:rFonts w:ascii="Tahoma" w:eastAsia="Times New Roman" w:hAnsi="Tahoma" w:cs="Tahoma"/>
                <w:kern w:val="2"/>
                <w14:ligatures w14:val="standardContextual"/>
              </w:rPr>
            </w:pPr>
          </w:p>
          <w:p w14:paraId="0DE2C23D"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Details of the major initiatives taken by Government of India are stated below.</w:t>
            </w:r>
          </w:p>
          <w:p w14:paraId="4F42570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proofErr w:type="spellStart"/>
            <w:r w:rsidRPr="00DE0E0C">
              <w:rPr>
                <w:rFonts w:ascii="Tahoma" w:eastAsia="Times New Roman" w:hAnsi="Tahoma" w:cs="Tahoma"/>
                <w:kern w:val="2"/>
                <w14:ligatures w14:val="standardContextual"/>
              </w:rPr>
              <w:t>i</w:t>
            </w:r>
            <w:proofErr w:type="spellEnd"/>
            <w:r w:rsidRPr="00DE0E0C">
              <w:rPr>
                <w:rFonts w:ascii="Tahoma" w:eastAsia="Times New Roman" w:hAnsi="Tahoma" w:cs="Tahoma"/>
                <w:kern w:val="2"/>
                <w14:ligatures w14:val="standardContextual"/>
              </w:rPr>
              <w:t xml:space="preserve">) Hydrocarbon Exploration Licensing policy (HELP) &amp; Discovery Small Fields (DSF): The Hydrocarbon Exploration Licensing </w:t>
            </w:r>
            <w:r w:rsidRPr="00DE0E0C">
              <w:rPr>
                <w:rFonts w:ascii="Tahoma" w:eastAsia="Times New Roman" w:hAnsi="Tahoma" w:cs="Tahoma"/>
                <w:kern w:val="2"/>
                <w14:ligatures w14:val="standardContextual"/>
              </w:rPr>
              <w:lastRenderedPageBreak/>
              <w:t xml:space="preserve">policy (HELP) was launched by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3F11A29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DE0E0C">
              <w:rPr>
                <w:rFonts w:ascii="Tahoma" w:eastAsia="Times New Roman" w:hAnsi="Tahoma" w:cs="Tahoma"/>
                <w:kern w:val="2"/>
                <w14:ligatures w14:val="standardContextual"/>
              </w:rPr>
              <w:t>Kerela</w:t>
            </w:r>
            <w:proofErr w:type="spellEnd"/>
            <w:r w:rsidRPr="00DE0E0C">
              <w:rPr>
                <w:rFonts w:ascii="Tahoma" w:eastAsia="Times New Roman" w:hAnsi="Tahoma" w:cs="Tahoma"/>
                <w:kern w:val="2"/>
                <w14:ligatures w14:val="standardContextual"/>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E0E0C">
              <w:rPr>
                <w:rFonts w:ascii="Tahoma" w:eastAsia="Times New Roman" w:hAnsi="Tahoma" w:cs="Tahoma"/>
                <w:kern w:val="2"/>
                <w14:ligatures w14:val="standardContextual"/>
              </w:rPr>
              <w:t>blocks  in</w:t>
            </w:r>
            <w:proofErr w:type="gramEnd"/>
            <w:r w:rsidRPr="00DE0E0C">
              <w:rPr>
                <w:rFonts w:ascii="Tahoma" w:eastAsia="Times New Roman" w:hAnsi="Tahoma" w:cs="Tahoma"/>
                <w:kern w:val="2"/>
                <w14:ligatures w14:val="standardContextual"/>
              </w:rPr>
              <w:t xml:space="preserve"> Assam, out of which One discovery has been monetised. Further drilling </w:t>
            </w:r>
            <w:proofErr w:type="gramStart"/>
            <w:r w:rsidRPr="00DE0E0C">
              <w:rPr>
                <w:rFonts w:ascii="Tahoma" w:eastAsia="Times New Roman" w:hAnsi="Tahoma" w:cs="Tahoma"/>
                <w:kern w:val="2"/>
                <w14:ligatures w14:val="standardContextual"/>
              </w:rPr>
              <w:t>and  exploration</w:t>
            </w:r>
            <w:proofErr w:type="gramEnd"/>
            <w:r w:rsidRPr="00DE0E0C">
              <w:rPr>
                <w:rFonts w:ascii="Tahoma" w:eastAsia="Times New Roman" w:hAnsi="Tahoma" w:cs="Tahoma"/>
                <w:kern w:val="2"/>
                <w14:ligatures w14:val="standardContextual"/>
              </w:rPr>
              <w:t xml:space="preserve"> activities are ongoing at full scale in the other OALP blocks also. OIL has drilled 3 DSF wells in Rajasthan (</w:t>
            </w:r>
            <w:proofErr w:type="spellStart"/>
            <w:r w:rsidRPr="00DE0E0C">
              <w:rPr>
                <w:rFonts w:ascii="Tahoma" w:eastAsia="Times New Roman" w:hAnsi="Tahoma" w:cs="Tahoma"/>
                <w:kern w:val="2"/>
                <w14:ligatures w14:val="standardContextual"/>
              </w:rPr>
              <w:t>Bakhrittibba</w:t>
            </w:r>
            <w:proofErr w:type="spellEnd"/>
            <w:r w:rsidRPr="00DE0E0C">
              <w:rPr>
                <w:rFonts w:ascii="Tahoma" w:eastAsia="Times New Roman" w:hAnsi="Tahoma" w:cs="Tahoma"/>
                <w:kern w:val="2"/>
                <w14:ligatures w14:val="standardContextual"/>
              </w:rPr>
              <w:t>) in FY-25 and NG production has brought into stream from these wells. DSF Blocks are under pre-development phase.</w:t>
            </w:r>
          </w:p>
          <w:p w14:paraId="2296C4FC"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 National Seismic Programme (NSP) and Deep Andaman offshore Surveys: Ministry of Petroleum and Natural Gas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OIL has completed 5245.80 LKM and 22554.60 LKM of 2D Seismic Surveys under the National Seismic Programme (NSP) and Deep Andaman Offshore respectively.</w:t>
            </w:r>
          </w:p>
          <w:p w14:paraId="0D0FBA6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(iii) 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survey: To cover areas where seismic data couldn’t be acquired under National Seismic Programme (NSP) due to inaccessible terrain and hostile environment,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formulated a planned to conduct Airborne Geophysical survey to acquire 49,795 flight LKM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data. Accordingly, OIL was entrusted by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and DGH to execute Acquisition, Processing &amp; Interpretation (API) of 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&amp; Gravity Magnetic (AGG &amp; GM) studies. The areas cover </w:t>
            </w:r>
            <w:proofErr w:type="spellStart"/>
            <w:r w:rsidRPr="00DE0E0C">
              <w:rPr>
                <w:rFonts w:ascii="Tahoma" w:eastAsia="Times New Roman" w:hAnsi="Tahoma" w:cs="Tahoma"/>
                <w:kern w:val="2"/>
                <w14:ligatures w14:val="standardContextual"/>
              </w:rPr>
              <w:t>Spiti</w:t>
            </w:r>
            <w:proofErr w:type="spellEnd"/>
            <w:r w:rsidRPr="00DE0E0C">
              <w:rPr>
                <w:rFonts w:ascii="Tahoma" w:eastAsia="Times New Roman" w:hAnsi="Tahoma" w:cs="Tahoma"/>
                <w:kern w:val="2"/>
                <w14:ligatures w14:val="standardContextual"/>
              </w:rPr>
              <w:t xml:space="preserve"> in Himachal Pradesh &amp; Ladakh, </w:t>
            </w:r>
            <w:proofErr w:type="spellStart"/>
            <w:r w:rsidRPr="00DE0E0C">
              <w:rPr>
                <w:rFonts w:ascii="Tahoma" w:eastAsia="Times New Roman" w:hAnsi="Tahoma" w:cs="Tahoma"/>
                <w:kern w:val="2"/>
                <w14:ligatures w14:val="standardContextual"/>
              </w:rPr>
              <w:t>Jhanskar-Karewa</w:t>
            </w:r>
            <w:proofErr w:type="spellEnd"/>
            <w:r w:rsidRPr="00DE0E0C">
              <w:rPr>
                <w:rFonts w:ascii="Tahoma" w:eastAsia="Times New Roman" w:hAnsi="Tahoma" w:cs="Tahoma"/>
                <w:kern w:val="2"/>
                <w14:ligatures w14:val="standardContextual"/>
              </w:rPr>
              <w:t xml:space="preserve"> in Jammu &amp; Kashmir UT, </w:t>
            </w:r>
            <w:proofErr w:type="spellStart"/>
            <w:r w:rsidRPr="00DE0E0C">
              <w:rPr>
                <w:rFonts w:ascii="Tahoma" w:eastAsia="Times New Roman" w:hAnsi="Tahoma" w:cs="Tahoma"/>
                <w:kern w:val="2"/>
                <w14:ligatures w14:val="standardContextual"/>
              </w:rPr>
              <w:t>Bastar</w:t>
            </w:r>
            <w:proofErr w:type="spellEnd"/>
            <w:r w:rsidRPr="00DE0E0C">
              <w:rPr>
                <w:rFonts w:ascii="Tahoma" w:eastAsia="Times New Roman" w:hAnsi="Tahoma" w:cs="Tahoma"/>
                <w:kern w:val="2"/>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2F6E1C5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(iv) Drilling of Stratigraphic Wells: Under the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initiative, OIL is working along with ONGC to drill four stratigraphic wells in Mahanadi, Andaman, Bengal </w:t>
            </w:r>
            <w:proofErr w:type="spellStart"/>
            <w:r w:rsidRPr="00DE0E0C">
              <w:rPr>
                <w:rFonts w:ascii="Tahoma" w:eastAsia="Times New Roman" w:hAnsi="Tahoma" w:cs="Tahoma"/>
                <w:kern w:val="2"/>
                <w14:ligatures w14:val="standardContextual"/>
              </w:rPr>
              <w:t>Purnea</w:t>
            </w:r>
            <w:proofErr w:type="spellEnd"/>
            <w:r w:rsidRPr="00DE0E0C">
              <w:rPr>
                <w:rFonts w:ascii="Tahoma" w:eastAsia="Times New Roman" w:hAnsi="Tahoma" w:cs="Tahoma"/>
                <w:kern w:val="2"/>
                <w14:ligatures w14:val="standardContextual"/>
              </w:rPr>
              <w:t xml:space="preserve"> and Saurashtra Basins to acquire crucial geoscientific data for expediting efforts in making oil and gas discovery in the unexplored offshore frontier regions.</w:t>
            </w:r>
          </w:p>
          <w:p w14:paraId="2E420E2C"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lastRenderedPageBreak/>
              <w:t xml:space="preserve"> (v) Seismic Campaign Under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&amp; Extended Continental Shelf Project (ECS) beyond EEZ: The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is a sequel to the National Seismic Program wherein 2D Seismic API was carried across different sedimentary basins of the country. </w:t>
            </w:r>
          </w:p>
          <w:p w14:paraId="37267C49"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Recently,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5A7ACF3D"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E0E0C">
              <w:rPr>
                <w:rFonts w:ascii="Tahoma" w:eastAsia="Times New Roman" w:hAnsi="Tahoma" w:cs="Tahoma"/>
                <w:kern w:val="2"/>
                <w14:ligatures w14:val="standardContextual"/>
              </w:rPr>
              <w:t>Cuddapah</w:t>
            </w:r>
            <w:proofErr w:type="spellEnd"/>
            <w:r w:rsidRPr="00DE0E0C">
              <w:rPr>
                <w:rFonts w:ascii="Tahoma" w:eastAsia="Times New Roman" w:hAnsi="Tahoma" w:cs="Tahoma"/>
                <w:kern w:val="2"/>
                <w14:ligatures w14:val="standardContextual"/>
              </w:rPr>
              <w:t xml:space="preserve">. </w:t>
            </w:r>
          </w:p>
          <w:p w14:paraId="346D4561"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As on 31.10.2025, the total surface coverage in Rajasthan basin is 2911 LKM and in Ganga- Punjab Basin is 2481 LKM. The cumulative surface coverage of the Project under OIL is 5392 LKM (57%).</w:t>
            </w:r>
          </w:p>
          <w:p w14:paraId="5F0B7B7E"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568D882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(vi) Opening of No-Go Areas for E&amp;P Activities: Recently,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0EAC67C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DE0E0C">
              <w:rPr>
                <w:rFonts w:ascii="Tahoma" w:eastAsia="Times New Roman" w:hAnsi="Tahoma" w:cs="Tahoma"/>
                <w:kern w:val="2"/>
                <w14:ligatures w14:val="standardContextual"/>
              </w:rPr>
              <w:t>ultra deep</w:t>
            </w:r>
            <w:proofErr w:type="spellEnd"/>
            <w:r w:rsidRPr="00DE0E0C">
              <w:rPr>
                <w:rFonts w:ascii="Tahoma" w:eastAsia="Times New Roman" w:hAnsi="Tahoma" w:cs="Tahoma"/>
                <w:kern w:val="2"/>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0715241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lastRenderedPageBreak/>
              <w:t>Oil India Limited also views this as a significant opportunity and intends to acquire exploration acreages through forthcoming OALP Bid Rounds in these newly opened-up areas.</w:t>
            </w:r>
          </w:p>
          <w:p w14:paraId="5115688E" w14:textId="77777777" w:rsidR="00DE0E0C" w:rsidRPr="00DE0E0C" w:rsidRDefault="00DE0E0C" w:rsidP="00DE0E0C">
            <w:pPr>
              <w:spacing w:after="120"/>
              <w:jc w:val="both"/>
              <w:rPr>
                <w:rFonts w:ascii="Tahoma" w:eastAsia="Times New Roman" w:hAnsi="Tahoma" w:cs="Tahoma"/>
                <w:kern w:val="2"/>
                <w14:ligatures w14:val="standardContextual"/>
              </w:rPr>
            </w:pPr>
          </w:p>
          <w:p w14:paraId="66E9E522" w14:textId="77777777" w:rsidR="00BF5FD1" w:rsidRPr="00040065" w:rsidRDefault="00BF5FD1" w:rsidP="00DF02B5">
            <w:pPr>
              <w:spacing w:after="120"/>
              <w:jc w:val="both"/>
              <w:rPr>
                <w:rFonts w:ascii="Tahoma" w:hAnsi="Tahoma" w:cs="Tahoma"/>
                <w:b/>
                <w:lang w:val="en-US"/>
              </w:rPr>
            </w:pPr>
            <w:bookmarkStart w:id="0" w:name="_GoBack"/>
            <w:bookmarkEnd w:id="0"/>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lastRenderedPageBreak/>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75609"/>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39CD"/>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209C9"/>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0E0C"/>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C4D11"/>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5421987">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0612447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862610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08515390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5944396">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2054376">
      <w:bodyDiv w:val="1"/>
      <w:marLeft w:val="0"/>
      <w:marRight w:val="0"/>
      <w:marTop w:val="0"/>
      <w:marBottom w:val="0"/>
      <w:divBdr>
        <w:top w:val="none" w:sz="0" w:space="0" w:color="auto"/>
        <w:left w:val="none" w:sz="0" w:space="0" w:color="auto"/>
        <w:bottom w:val="none" w:sz="0" w:space="0" w:color="auto"/>
        <w:right w:val="none" w:sz="0" w:space="0" w:color="auto"/>
      </w:divBdr>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0633701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F9F43C6E-FFDD-4A67-94EC-505CF6F42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6</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18</cp:revision>
  <cp:lastPrinted>2025-07-30T07:40:00Z</cp:lastPrinted>
  <dcterms:created xsi:type="dcterms:W3CDTF">2025-08-13T11:24:00Z</dcterms:created>
  <dcterms:modified xsi:type="dcterms:W3CDTF">2025-11-27T10:49:00Z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