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130FA794" w14:textId="77777777" w:rsidR="00A16C55" w:rsidRDefault="00A16C55" w:rsidP="00F270A6">
      <w:pPr>
        <w:spacing w:after="0"/>
        <w:ind w:right="-392"/>
        <w:rPr>
          <w:rFonts w:ascii="Tahoma" w:hAnsi="Tahoma" w:cs="Tahoma"/>
          <w:b/>
          <w:lang w:val="en-US"/>
        </w:rPr>
      </w:pPr>
    </w:p>
    <w:p w14:paraId="46466F75" w14:textId="77777777" w:rsidR="00A16C55" w:rsidRDefault="00A16C55" w:rsidP="00F270A6">
      <w:pPr>
        <w:spacing w:after="0"/>
        <w:ind w:right="-392"/>
        <w:rPr>
          <w:rFonts w:ascii="Tahoma" w:hAnsi="Tahoma" w:cs="Tahoma"/>
          <w:b/>
          <w:lang w:val="en-US"/>
        </w:rPr>
      </w:pPr>
    </w:p>
    <w:p w14:paraId="0C934999" w14:textId="3D4C903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87458">
        <w:rPr>
          <w:rFonts w:ascii="Tahoma" w:hAnsi="Tahoma" w:cs="Tahoma"/>
          <w:b/>
          <w:lang w:val="en-US"/>
        </w:rPr>
        <w:t>0</w:t>
      </w:r>
      <w:r w:rsidR="00311DD9">
        <w:rPr>
          <w:rFonts w:ascii="Tahoma" w:hAnsi="Tahoma" w:cs="Tahoma"/>
          <w:b/>
          <w:lang w:val="en-US"/>
        </w:rPr>
        <w:t>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3E6DD2">
        <w:rPr>
          <w:rFonts w:ascii="Tahoma" w:hAnsi="Tahoma" w:cs="Tahoma"/>
          <w:b/>
          <w:lang w:val="en-US"/>
        </w:rPr>
        <w:t xml:space="preserve">Date: </w:t>
      </w:r>
      <w:r w:rsidR="009A5E02">
        <w:rPr>
          <w:rFonts w:ascii="Tahoma" w:hAnsi="Tahoma" w:cs="Tahoma"/>
          <w:b/>
          <w:lang w:val="en-US"/>
        </w:rPr>
        <w:t>21-11-2025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6E1F537"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C87458">
        <w:rPr>
          <w:rFonts w:ascii="Tahoma" w:hAnsi="Tahoma" w:cs="Tahoma"/>
          <w:b/>
        </w:rPr>
        <w:t>Manan Kumar</w:t>
      </w:r>
    </w:p>
    <w:p w14:paraId="033C9A2C" w14:textId="2697AE4D" w:rsidR="0085652B" w:rsidRDefault="00C87458" w:rsidP="00C87458">
      <w:pPr>
        <w:spacing w:after="0"/>
        <w:ind w:right="-482"/>
        <w:rPr>
          <w:rFonts w:ascii="Tahoma" w:hAnsi="Tahoma" w:cs="Tahoma"/>
          <w:bCs/>
          <w:u w:val="single"/>
        </w:rPr>
      </w:pPr>
      <w:r>
        <w:rPr>
          <w:rFonts w:ascii="Tahoma" w:hAnsi="Tahoma" w:cs="Tahoma"/>
          <w:bCs/>
        </w:rPr>
        <w:t xml:space="preserve">                                                                         </w:t>
      </w:r>
      <w:r w:rsidRPr="00C87458">
        <w:rPr>
          <w:rFonts w:ascii="Tahoma" w:hAnsi="Tahoma" w:cs="Tahoma"/>
          <w:bCs/>
          <w:u w:val="single"/>
        </w:rPr>
        <w:t xml:space="preserve">Assistant Section </w:t>
      </w:r>
      <w:r w:rsidR="00311DD9" w:rsidRPr="00C87458">
        <w:rPr>
          <w:rFonts w:ascii="Tahoma" w:hAnsi="Tahoma" w:cs="Tahoma"/>
          <w:bCs/>
          <w:u w:val="single"/>
        </w:rPr>
        <w:t>Officer (</w:t>
      </w:r>
      <w:r w:rsidRPr="00C87458">
        <w:rPr>
          <w:rFonts w:ascii="Tahoma" w:hAnsi="Tahoma" w:cs="Tahoma"/>
          <w:bCs/>
          <w:u w:val="single"/>
        </w:rPr>
        <w:t>ONG-</w:t>
      </w:r>
      <w:r>
        <w:rPr>
          <w:rFonts w:ascii="Tahoma" w:hAnsi="Tahoma" w:cs="Tahoma"/>
          <w:bCs/>
          <w:u w:val="single"/>
        </w:rPr>
        <w:t>III</w:t>
      </w:r>
      <w:r w:rsidRPr="00C87458">
        <w:rPr>
          <w:rFonts w:ascii="Tahoma" w:hAnsi="Tahoma" w:cs="Tahoma"/>
          <w:bCs/>
          <w:u w:val="single"/>
        </w:rPr>
        <w:t xml:space="preserve"> &amp; ONG-IV)</w:t>
      </w:r>
    </w:p>
    <w:p w14:paraId="220A2160" w14:textId="77777777" w:rsidR="00C87458" w:rsidRPr="00C87458" w:rsidRDefault="00C87458" w:rsidP="00C87458">
      <w:pPr>
        <w:spacing w:after="0"/>
        <w:ind w:right="-482"/>
        <w:rPr>
          <w:rFonts w:ascii="Tahoma" w:hAnsi="Tahoma" w:cs="Tahoma"/>
          <w:bCs/>
          <w:u w:val="single"/>
        </w:rPr>
      </w:pPr>
    </w:p>
    <w:p w14:paraId="24F1D845" w14:textId="213A6CED"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87458">
        <w:rPr>
          <w:rFonts w:ascii="Tahoma" w:hAnsi="Tahoma" w:cs="Tahoma"/>
          <w:b/>
          <w:bCs/>
        </w:rPr>
        <w:t>U</w:t>
      </w:r>
      <w:r w:rsidR="00311DD9">
        <w:rPr>
          <w:rFonts w:ascii="Tahoma" w:hAnsi="Tahoma" w:cs="Tahoma"/>
          <w:b/>
          <w:bCs/>
        </w:rPr>
        <w:t>736</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3B99018F"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311DD9">
        <w:rPr>
          <w:rFonts w:ascii="Tahoma" w:hAnsi="Tahoma" w:cs="Tahoma"/>
          <w:b/>
          <w:bCs/>
        </w:rPr>
        <w:t>Hydrocarbon Exploration Licensing Policy”</w:t>
      </w:r>
    </w:p>
    <w:p w14:paraId="3297E00F" w14:textId="5AF41518"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311DD9">
        <w:rPr>
          <w:rFonts w:ascii="Tahoma" w:hAnsi="Tahoma" w:cs="Tahoma"/>
          <w:lang w:val="en-US"/>
        </w:rPr>
        <w:t>19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2830"/>
        <w:gridCol w:w="6917"/>
      </w:tblGrid>
      <w:tr w:rsidR="003E2B73" w:rsidRPr="00040065" w14:paraId="55DD2EA1" w14:textId="77777777" w:rsidTr="0026209E">
        <w:trPr>
          <w:trHeight w:val="1208"/>
        </w:trPr>
        <w:tc>
          <w:tcPr>
            <w:tcW w:w="2830" w:type="dxa"/>
          </w:tcPr>
          <w:p w14:paraId="3F38774B" w14:textId="77777777" w:rsidR="00311DD9" w:rsidRPr="00525029" w:rsidRDefault="00311DD9" w:rsidP="00311DD9">
            <w:pPr>
              <w:ind w:right="34"/>
              <w:jc w:val="both"/>
              <w:rPr>
                <w:rFonts w:ascii="Tahoma" w:hAnsi="Tahoma" w:cs="Tahoma"/>
                <w:b/>
                <w:bCs/>
              </w:rPr>
            </w:pPr>
            <w:r w:rsidRPr="00525029">
              <w:rPr>
                <w:rFonts w:ascii="Tahoma" w:hAnsi="Tahoma" w:cs="Tahoma"/>
                <w:b/>
                <w:bCs/>
              </w:rPr>
              <w:t xml:space="preserve">Will the Minister of Petroleum and Natural Gas be please to </w:t>
            </w:r>
            <w:proofErr w:type="gramStart"/>
            <w:r w:rsidRPr="00525029">
              <w:rPr>
                <w:rFonts w:ascii="Tahoma" w:hAnsi="Tahoma" w:cs="Tahoma"/>
                <w:b/>
                <w:bCs/>
              </w:rPr>
              <w:t>state:</w:t>
            </w:r>
            <w:proofErr w:type="gramEnd"/>
          </w:p>
          <w:p w14:paraId="38696AF1" w14:textId="77777777" w:rsidR="00311DD9" w:rsidRDefault="00311DD9" w:rsidP="00C87458">
            <w:pPr>
              <w:ind w:right="34"/>
              <w:jc w:val="both"/>
              <w:rPr>
                <w:rFonts w:ascii="Tahoma" w:hAnsi="Tahoma" w:cs="Tahoma"/>
                <w:i/>
                <w:iCs/>
              </w:rPr>
            </w:pPr>
          </w:p>
          <w:p w14:paraId="2B18CA38" w14:textId="77777777" w:rsidR="0066060F" w:rsidRDefault="003E2B73" w:rsidP="00C87458">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311DD9">
              <w:rPr>
                <w:rFonts w:ascii="Tahoma" w:hAnsi="Tahoma" w:cs="Tahoma"/>
                <w:i/>
                <w:iCs/>
              </w:rPr>
              <w:t>What Specific fiscal and regulatory incentives is the government considering to promote exploration and production of unconventional hydrocarbon resources, such as shale gas and coal bed methane, and how will these measures contribute to India’s energy security and reduce import dependence?</w:t>
            </w:r>
          </w:p>
          <w:p w14:paraId="4062B524" w14:textId="655C904D" w:rsidR="0010195B" w:rsidRPr="00040065" w:rsidRDefault="0010195B" w:rsidP="00C87458">
            <w:pPr>
              <w:ind w:right="34"/>
              <w:jc w:val="both"/>
              <w:rPr>
                <w:rFonts w:ascii="Tahoma" w:hAnsi="Tahoma" w:cs="Tahoma"/>
                <w:i/>
                <w:iCs/>
              </w:rPr>
            </w:pPr>
          </w:p>
        </w:tc>
        <w:tc>
          <w:tcPr>
            <w:tcW w:w="6917"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1F91F2E" w14:textId="079E6988" w:rsidR="0026209E" w:rsidRPr="0026209E" w:rsidRDefault="003C2502" w:rsidP="0026209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proofErr w:type="gramStart"/>
            <w:r w:rsidR="00525029">
              <w:rPr>
                <w:rFonts w:ascii="Tahoma" w:eastAsia="Times New Roman" w:hAnsi="Tahoma" w:cs="Tahoma"/>
                <w:kern w:val="2"/>
                <w14:ligatures w14:val="standardContextual"/>
              </w:rPr>
              <w:t>Limited(</w:t>
            </w:r>
            <w:proofErr w:type="gramEnd"/>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r w:rsidR="0026209E">
              <w:rPr>
                <w:rFonts w:ascii="Tahoma" w:eastAsia="Times New Roman" w:hAnsi="Tahoma" w:cs="Tahoma"/>
                <w:kern w:val="2"/>
                <w14:ligatures w14:val="standardContextual"/>
              </w:rPr>
              <w:t>t</w:t>
            </w:r>
            <w:r w:rsidR="0026209E" w:rsidRPr="0026209E">
              <w:rPr>
                <w:rFonts w:ascii="Tahoma" w:eastAsia="Times New Roman" w:hAnsi="Tahoma" w:cs="Tahoma"/>
                <w:kern w:val="2"/>
                <w14:ligatures w14:val="standardContextual"/>
              </w:rPr>
              <w:t xml:space="preserve">he policy framework for exploration and exploitation of unconventional hydrocarbons under existing Production Sharing Contracts (PSCs), Coal Bed Methane (CBM) contracts, and Nomination fields allows contractors to explore and exploit resources like shale oil/gas and CBM within their allocated areas, shifting from a “one resource per license” system to a more flexible “uniform licensing policy”. </w:t>
            </w:r>
          </w:p>
          <w:p w14:paraId="3D2E08AB" w14:textId="77777777" w:rsidR="0026209E" w:rsidRPr="0026209E" w:rsidRDefault="0026209E" w:rsidP="0026209E">
            <w:p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Key Features</w:t>
            </w:r>
          </w:p>
          <w:p w14:paraId="1D59ADCF" w14:textId="77777777" w:rsidR="0026209E" w:rsidRDefault="0026209E" w:rsidP="0026209E">
            <w:pPr>
              <w:pStyle w:val="ListParagraph"/>
              <w:numPr>
                <w:ilvl w:val="0"/>
                <w:numId w:val="44"/>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 xml:space="preserve">The policy enables simultaneous exploration and exploitation of both conventional and unconventional hydrocarbons (such as shale oil/gas and CBM) in existing contract areas. </w:t>
            </w:r>
          </w:p>
          <w:p w14:paraId="4FDDDAF3" w14:textId="77777777" w:rsidR="0026209E" w:rsidRDefault="0026209E" w:rsidP="0026209E">
            <w:pPr>
              <w:pStyle w:val="ListParagraph"/>
              <w:numPr>
                <w:ilvl w:val="0"/>
                <w:numId w:val="44"/>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The fiscal regime includes ring-fencing for cost recovery and an additional 10% rate of Profit Petroleum (for PSCs) or Production Level Payment (for CBM contracts) on new discoveries, shared with the government.</w:t>
            </w:r>
          </w:p>
          <w:p w14:paraId="15D22E9F" w14:textId="78221DCB" w:rsidR="0026209E" w:rsidRPr="0026209E" w:rsidRDefault="0026209E" w:rsidP="0026209E">
            <w:pPr>
              <w:pStyle w:val="ListParagraph"/>
              <w:numPr>
                <w:ilvl w:val="0"/>
                <w:numId w:val="44"/>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Possible royalty waivers for production from offshore unconventional gas projects to further reduce costs and improve project viability.</w:t>
            </w:r>
          </w:p>
          <w:p w14:paraId="3B5339DE" w14:textId="77777777" w:rsidR="0026209E" w:rsidRPr="0026209E" w:rsidRDefault="0026209E" w:rsidP="0026209E">
            <w:p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Benefits</w:t>
            </w:r>
          </w:p>
          <w:p w14:paraId="04534D33" w14:textId="77777777" w:rsidR="0026209E" w:rsidRDefault="0026209E" w:rsidP="0026209E">
            <w:pPr>
              <w:pStyle w:val="ListParagraph"/>
              <w:numPr>
                <w:ilvl w:val="0"/>
                <w:numId w:val="46"/>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 xml:space="preserve">Unlocks the hydrocarbon potential in already allocated acreages, leading to increased domestic production and investment in exploration and production activities. </w:t>
            </w:r>
          </w:p>
          <w:p w14:paraId="4660E2DA" w14:textId="77777777" w:rsidR="0026209E" w:rsidRDefault="0026209E" w:rsidP="0026209E">
            <w:pPr>
              <w:pStyle w:val="ListParagraph"/>
              <w:numPr>
                <w:ilvl w:val="0"/>
                <w:numId w:val="46"/>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lastRenderedPageBreak/>
              <w:t>Lower costs and favourable fiscal environment attract international expertise and investment, strengthening domestic output.</w:t>
            </w:r>
          </w:p>
          <w:p w14:paraId="1C2BC2CF" w14:textId="00B4D85E" w:rsidR="00CD6DC6" w:rsidRPr="00367615" w:rsidRDefault="0026209E" w:rsidP="00C41083">
            <w:pPr>
              <w:pStyle w:val="ListParagraph"/>
              <w:numPr>
                <w:ilvl w:val="0"/>
                <w:numId w:val="46"/>
              </w:numPr>
              <w:spacing w:after="120"/>
              <w:jc w:val="both"/>
              <w:rPr>
                <w:rFonts w:ascii="Tahoma" w:eastAsia="Times New Roman" w:hAnsi="Tahoma" w:cs="Tahoma"/>
                <w:kern w:val="2"/>
                <w14:ligatures w14:val="standardContextual"/>
              </w:rPr>
            </w:pPr>
            <w:r w:rsidRPr="0026209E">
              <w:rPr>
                <w:rFonts w:ascii="Tahoma" w:eastAsia="Times New Roman" w:hAnsi="Tahoma" w:cs="Tahoma"/>
                <w:kern w:val="2"/>
                <w14:ligatures w14:val="standardContextual"/>
              </w:rPr>
              <w:t>Reducing import dependence ties directly to strategic aims, promoting self-reliance and supporting stable, affordable energy access for India's growing economy.</w:t>
            </w:r>
          </w:p>
        </w:tc>
      </w:tr>
      <w:tr w:rsidR="003E2B73" w:rsidRPr="00040065" w14:paraId="65648DF5" w14:textId="77777777" w:rsidTr="0026209E">
        <w:trPr>
          <w:trHeight w:val="1230"/>
        </w:trPr>
        <w:tc>
          <w:tcPr>
            <w:tcW w:w="2830" w:type="dxa"/>
          </w:tcPr>
          <w:p w14:paraId="01947609" w14:textId="56700639" w:rsidR="0066060F" w:rsidRPr="00040065" w:rsidRDefault="003E2B73" w:rsidP="008B492E">
            <w:pPr>
              <w:ind w:right="34"/>
              <w:jc w:val="both"/>
              <w:rPr>
                <w:rFonts w:ascii="Tahoma" w:eastAsia="Times New Roman" w:hAnsi="Tahoma" w:cs="Tahoma"/>
                <w:i/>
                <w:color w:val="000000"/>
              </w:rPr>
            </w:pPr>
            <w:r w:rsidRPr="00040065">
              <w:rPr>
                <w:rFonts w:ascii="Tahoma" w:hAnsi="Tahoma" w:cs="Tahoma"/>
                <w:i/>
                <w:iCs/>
              </w:rPr>
              <w:lastRenderedPageBreak/>
              <w:t xml:space="preserve">Q.(b) </w:t>
            </w:r>
            <w:r w:rsidR="00311DD9">
              <w:rPr>
                <w:rFonts w:ascii="Tahoma" w:eastAsia="Times New Roman" w:hAnsi="Tahoma" w:cs="Tahoma"/>
                <w:i/>
                <w:color w:val="000000"/>
              </w:rPr>
              <w:t>How does the HELP Policy’s revenue-sharing model impact the intergenerational equity of India’s hydrocarbon resources, considering the volatility of global oil prices and the country’s long-term energy transition goals?</w:t>
            </w:r>
          </w:p>
        </w:tc>
        <w:tc>
          <w:tcPr>
            <w:tcW w:w="6917"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3F9CC6F" w14:textId="50ABFCFB" w:rsidR="00AC17D3" w:rsidRPr="00AC17D3" w:rsidRDefault="00525029" w:rsidP="00AC17D3">
            <w:pPr>
              <w:spacing w:after="120" w:line="276"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r w:rsidR="00D172FD">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 xml:space="preserve">OIL) is concerned, </w:t>
            </w:r>
            <w:r w:rsidR="00AC17D3">
              <w:rPr>
                <w:rFonts w:ascii="Tahoma" w:eastAsia="Times New Roman" w:hAnsi="Tahoma" w:cs="Tahoma"/>
                <w:kern w:val="2"/>
                <w14:ligatures w14:val="standardContextual"/>
              </w:rPr>
              <w:t>t</w:t>
            </w:r>
            <w:r w:rsidR="00AC17D3" w:rsidRPr="00AC17D3">
              <w:rPr>
                <w:rFonts w:ascii="Tahoma" w:eastAsia="Times New Roman" w:hAnsi="Tahoma" w:cs="Tahoma"/>
                <w:kern w:val="2"/>
                <w14:ligatures w14:val="standardContextual"/>
              </w:rPr>
              <w:t>he Hydrocarbon Exploration and Licensing Policy (HELP) uses a revenue-sharing model that directly impacts intergenerational equity, India’s energy transition, and its response to oil price volatility. Under HELP, the government receives a share of gross revenue from oil and gas produced instead of monitoring cost recovery or profit after costs, streamlining administration and reducing disputes. The impact of the HELP policy is as follows.</w:t>
            </w:r>
          </w:p>
          <w:p w14:paraId="212463B7" w14:textId="77777777" w:rsidR="00AC17D3" w:rsidRPr="00AC17D3" w:rsidRDefault="00AC17D3" w:rsidP="00AC17D3">
            <w:pPr>
              <w:widowControl w:val="0"/>
              <w:numPr>
                <w:ilvl w:val="0"/>
                <w:numId w:val="48"/>
              </w:numPr>
              <w:autoSpaceDE w:val="0"/>
              <w:autoSpaceDN w:val="0"/>
              <w:spacing w:after="120"/>
              <w:ind w:left="709" w:hanging="218"/>
              <w:contextualSpacing/>
              <w:jc w:val="both"/>
              <w:rPr>
                <w:rFonts w:ascii="Tahoma" w:eastAsia="Times New Roman" w:hAnsi="Tahoma" w:cs="Tahoma"/>
                <w:kern w:val="2"/>
                <w14:ligatures w14:val="standardContextual"/>
              </w:rPr>
            </w:pPr>
            <w:r w:rsidRPr="00AC17D3">
              <w:rPr>
                <w:rFonts w:ascii="Tahoma" w:eastAsia="Times New Roman" w:hAnsi="Tahoma" w:cs="Tahoma"/>
                <w:kern w:val="2"/>
                <w14:ligatures w14:val="standardContextual"/>
              </w:rPr>
              <w:t xml:space="preserve">HELP includes inducements like lower royalties for offshore and deep-water operations, encouraging sustainable, long-term development of diverse hydrocarbons, including unconventional resources. </w:t>
            </w:r>
          </w:p>
          <w:p w14:paraId="0C122F76" w14:textId="77777777" w:rsidR="00AC17D3" w:rsidRPr="00AC17D3" w:rsidRDefault="00AC17D3" w:rsidP="00AC17D3">
            <w:pPr>
              <w:widowControl w:val="0"/>
              <w:numPr>
                <w:ilvl w:val="0"/>
                <w:numId w:val="48"/>
              </w:numPr>
              <w:autoSpaceDE w:val="0"/>
              <w:autoSpaceDN w:val="0"/>
              <w:spacing w:after="120"/>
              <w:ind w:left="709" w:hanging="218"/>
              <w:jc w:val="both"/>
              <w:rPr>
                <w:rFonts w:ascii="Tahoma" w:eastAsia="Times New Roman" w:hAnsi="Tahoma" w:cs="Tahoma"/>
                <w:kern w:val="2"/>
                <w14:ligatures w14:val="standardContextual"/>
              </w:rPr>
            </w:pPr>
            <w:r w:rsidRPr="00AC17D3">
              <w:rPr>
                <w:rFonts w:ascii="Tahoma" w:eastAsia="Times New Roman" w:hAnsi="Tahoma" w:cs="Tahoma"/>
                <w:kern w:val="2"/>
                <w14:ligatures w14:val="standardContextual"/>
              </w:rPr>
              <w:t>Addressing oil price volatility in contexts of HELP (Hydrocarbon Exploration and Licensing Policy) involves a combination of strategic, tactical, and policy-driven approaches to mitigate the risks and impacts associated with fluctuating oil prices. These methods aim to improve resilience, reduce dependency on oil, and cushion the economic consequences of price swings.</w:t>
            </w:r>
          </w:p>
          <w:p w14:paraId="30B37C63" w14:textId="77777777" w:rsidR="00AC17D3" w:rsidRPr="00AC17D3" w:rsidRDefault="00AC17D3" w:rsidP="00AC17D3">
            <w:pPr>
              <w:widowControl w:val="0"/>
              <w:numPr>
                <w:ilvl w:val="0"/>
                <w:numId w:val="48"/>
              </w:numPr>
              <w:autoSpaceDE w:val="0"/>
              <w:autoSpaceDN w:val="0"/>
              <w:spacing w:after="120"/>
              <w:ind w:left="709" w:hanging="218"/>
              <w:jc w:val="both"/>
              <w:rPr>
                <w:rFonts w:ascii="Tahoma" w:eastAsia="Times New Roman" w:hAnsi="Tahoma" w:cs="Tahoma"/>
                <w:kern w:val="2"/>
                <w14:ligatures w14:val="standardContextual"/>
              </w:rPr>
            </w:pPr>
            <w:r w:rsidRPr="00AC17D3">
              <w:rPr>
                <w:rFonts w:ascii="Tahoma" w:eastAsia="Times New Roman" w:hAnsi="Tahoma" w:cs="Tahoma"/>
                <w:kern w:val="2"/>
                <w14:ligatures w14:val="standardContextual"/>
              </w:rPr>
              <w:t xml:space="preserve">Creating a stable, transparent framework that attracts investment across conventional and unconventional hydrocarbons (like shale gas and coal bed methane), the policy ensures energy security during the transition toward renewables. </w:t>
            </w:r>
          </w:p>
          <w:p w14:paraId="70B7B67B" w14:textId="77777777" w:rsidR="00AC17D3" w:rsidRPr="00AC17D3" w:rsidRDefault="00AC17D3" w:rsidP="00AC17D3">
            <w:pPr>
              <w:widowControl w:val="0"/>
              <w:numPr>
                <w:ilvl w:val="0"/>
                <w:numId w:val="48"/>
              </w:numPr>
              <w:autoSpaceDE w:val="0"/>
              <w:autoSpaceDN w:val="0"/>
              <w:spacing w:after="120"/>
              <w:ind w:left="709" w:hanging="218"/>
              <w:jc w:val="both"/>
              <w:rPr>
                <w:rFonts w:ascii="Tahoma" w:eastAsia="Times New Roman" w:hAnsi="Tahoma" w:cs="Tahoma"/>
                <w:kern w:val="2"/>
                <w14:ligatures w14:val="standardContextual"/>
              </w:rPr>
            </w:pPr>
            <w:r w:rsidRPr="00AC17D3">
              <w:rPr>
                <w:rFonts w:ascii="Tahoma" w:eastAsia="Times New Roman" w:hAnsi="Tahoma" w:cs="Tahoma"/>
                <w:kern w:val="2"/>
                <w14:ligatures w14:val="standardContextual"/>
              </w:rPr>
              <w:t xml:space="preserve">The policy’s incentives for </w:t>
            </w:r>
            <w:proofErr w:type="spellStart"/>
            <w:r w:rsidRPr="00AC17D3">
              <w:rPr>
                <w:rFonts w:ascii="Tahoma" w:eastAsia="Times New Roman" w:hAnsi="Tahoma" w:cs="Tahoma"/>
                <w:kern w:val="2"/>
                <w14:ligatures w14:val="standardContextual"/>
              </w:rPr>
              <w:t>deepwater</w:t>
            </w:r>
            <w:proofErr w:type="spellEnd"/>
            <w:r w:rsidRPr="00AC17D3">
              <w:rPr>
                <w:rFonts w:ascii="Tahoma" w:eastAsia="Times New Roman" w:hAnsi="Tahoma" w:cs="Tahoma"/>
                <w:kern w:val="2"/>
                <w14:ligatures w14:val="standardContextual"/>
              </w:rPr>
              <w:t xml:space="preserve"> and technologically intensive plays encourage resource-sparing, high-tech extraction methods, protecting reserves for future generations.</w:t>
            </w:r>
          </w:p>
          <w:p w14:paraId="52E088B0" w14:textId="77777777" w:rsidR="00AC17D3" w:rsidRPr="00AC17D3" w:rsidRDefault="00AC17D3" w:rsidP="00AC17D3">
            <w:pPr>
              <w:widowControl w:val="0"/>
              <w:autoSpaceDE w:val="0"/>
              <w:autoSpaceDN w:val="0"/>
              <w:spacing w:after="120"/>
              <w:jc w:val="both"/>
              <w:rPr>
                <w:rFonts w:ascii="Tahoma" w:eastAsia="Times New Roman" w:hAnsi="Tahoma" w:cs="Tahoma"/>
                <w:kern w:val="2"/>
                <w14:ligatures w14:val="standardContextual"/>
              </w:rPr>
            </w:pPr>
            <w:r w:rsidRPr="00AC17D3">
              <w:rPr>
                <w:rFonts w:ascii="Tahoma" w:eastAsia="Times New Roman" w:hAnsi="Tahoma" w:cs="Tahoma"/>
                <w:kern w:val="2"/>
                <w14:ligatures w14:val="standardContextual"/>
              </w:rPr>
              <w:t>In summary, the HELP revenue-sharing model is designed to balance present needs with future interests by ensuring fair government receipts, encouraging efficient resource use, and supporting India’s broader transition to energy self-sufficiency and sustainability.</w:t>
            </w:r>
          </w:p>
          <w:p w14:paraId="3780DB29" w14:textId="0AE8B975" w:rsidR="003E2B73" w:rsidRPr="00AC17D3" w:rsidRDefault="003E2B73" w:rsidP="00E339E5">
            <w:pPr>
              <w:jc w:val="both"/>
              <w:rPr>
                <w:rFonts w:ascii="Tahoma" w:hAnsi="Tahoma" w:cs="Tahoma"/>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F7D47"/>
    <w:multiLevelType w:val="hybridMultilevel"/>
    <w:tmpl w:val="949C8A5E"/>
    <w:lvl w:ilvl="0" w:tplc="806A0900">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816AEA"/>
    <w:multiLevelType w:val="hybridMultilevel"/>
    <w:tmpl w:val="D5E8C35C"/>
    <w:lvl w:ilvl="0" w:tplc="17BA9706">
      <w:start w:val="1"/>
      <w:numFmt w:val="lowerRoman"/>
      <w:lvlText w:val="(%1)"/>
      <w:lvlJc w:val="right"/>
      <w:pPr>
        <w:ind w:left="1080" w:hanging="360"/>
      </w:pPr>
      <w:rPr>
        <w:rFonts w:ascii="Calibri" w:eastAsia="Arial" w:hAnsi="Calibri" w:cs="Calibr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3177B5"/>
    <w:multiLevelType w:val="hybridMultilevel"/>
    <w:tmpl w:val="FB7C4BDE"/>
    <w:lvl w:ilvl="0" w:tplc="48AE9AE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8"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76D7F3C"/>
    <w:multiLevelType w:val="hybridMultilevel"/>
    <w:tmpl w:val="DDEC36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6172D5"/>
    <w:multiLevelType w:val="hybridMultilevel"/>
    <w:tmpl w:val="57B2CE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4"/>
  </w:num>
  <w:num w:numId="3">
    <w:abstractNumId w:val="13"/>
  </w:num>
  <w:num w:numId="4">
    <w:abstractNumId w:val="0"/>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num>
  <w:num w:numId="7">
    <w:abstractNumId w:val="10"/>
  </w:num>
  <w:num w:numId="8">
    <w:abstractNumId w:val="16"/>
  </w:num>
  <w:num w:numId="9">
    <w:abstractNumId w:val="29"/>
  </w:num>
  <w:num w:numId="10">
    <w:abstractNumId w:val="46"/>
  </w:num>
  <w:num w:numId="11">
    <w:abstractNumId w:val="27"/>
  </w:num>
  <w:num w:numId="12">
    <w:abstractNumId w:val="25"/>
  </w:num>
  <w:num w:numId="13">
    <w:abstractNumId w:val="39"/>
  </w:num>
  <w:num w:numId="14">
    <w:abstractNumId w:val="31"/>
  </w:num>
  <w:num w:numId="15">
    <w:abstractNumId w:val="41"/>
  </w:num>
  <w:num w:numId="16">
    <w:abstractNumId w:val="23"/>
  </w:num>
  <w:num w:numId="17">
    <w:abstractNumId w:val="24"/>
  </w:num>
  <w:num w:numId="18">
    <w:abstractNumId w:val="18"/>
  </w:num>
  <w:num w:numId="19">
    <w:abstractNumId w:val="34"/>
  </w:num>
  <w:num w:numId="20">
    <w:abstractNumId w:val="37"/>
  </w:num>
  <w:num w:numId="21">
    <w:abstractNumId w:val="8"/>
  </w:num>
  <w:num w:numId="22">
    <w:abstractNumId w:val="45"/>
  </w:num>
  <w:num w:numId="23">
    <w:abstractNumId w:val="32"/>
  </w:num>
  <w:num w:numId="24">
    <w:abstractNumId w:val="26"/>
  </w:num>
  <w:num w:numId="25">
    <w:abstractNumId w:val="15"/>
  </w:num>
  <w:num w:numId="26">
    <w:abstractNumId w:val="12"/>
  </w:num>
  <w:num w:numId="27">
    <w:abstractNumId w:val="5"/>
  </w:num>
  <w:num w:numId="28">
    <w:abstractNumId w:val="40"/>
  </w:num>
  <w:num w:numId="29">
    <w:abstractNumId w:val="42"/>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0"/>
    <w:lvlOverride w:ilvl="0">
      <w:startOverride w:val="1"/>
    </w:lvlOverride>
    <w:lvlOverride w:ilvl="1"/>
    <w:lvlOverride w:ilvl="2"/>
    <w:lvlOverride w:ilvl="3"/>
    <w:lvlOverride w:ilvl="4"/>
    <w:lvlOverride w:ilvl="5"/>
    <w:lvlOverride w:ilvl="6"/>
    <w:lvlOverride w:ilvl="7"/>
    <w:lvlOverride w:ilvl="8"/>
  </w:num>
  <w:num w:numId="33">
    <w:abstractNumId w:val="21"/>
  </w:num>
  <w:num w:numId="34">
    <w:abstractNumId w:val="35"/>
  </w:num>
  <w:num w:numId="35">
    <w:abstractNumId w:val="44"/>
  </w:num>
  <w:num w:numId="36">
    <w:abstractNumId w:val="20"/>
  </w:num>
  <w:num w:numId="37">
    <w:abstractNumId w:val="2"/>
  </w:num>
  <w:num w:numId="38">
    <w:abstractNumId w:val="1"/>
  </w:num>
  <w:num w:numId="39">
    <w:abstractNumId w:val="9"/>
  </w:num>
  <w:num w:numId="40">
    <w:abstractNumId w:val="28"/>
  </w:num>
  <w:num w:numId="41">
    <w:abstractNumId w:val="38"/>
  </w:num>
  <w:num w:numId="42">
    <w:abstractNumId w:val="43"/>
  </w:num>
  <w:num w:numId="43">
    <w:abstractNumId w:val="17"/>
  </w:num>
  <w:num w:numId="44">
    <w:abstractNumId w:val="19"/>
  </w:num>
  <w:num w:numId="45">
    <w:abstractNumId w:val="11"/>
  </w:num>
  <w:num w:numId="46">
    <w:abstractNumId w:val="36"/>
  </w:num>
  <w:num w:numId="47">
    <w:abstractNumId w:val="4"/>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209E"/>
    <w:rsid w:val="002639D6"/>
    <w:rsid w:val="00265CDC"/>
    <w:rsid w:val="00284B8F"/>
    <w:rsid w:val="002861D6"/>
    <w:rsid w:val="00287BE4"/>
    <w:rsid w:val="002A7B0E"/>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67615"/>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E6DD2"/>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032"/>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5E02"/>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16C55"/>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C17D3"/>
    <w:rsid w:val="00AE10C1"/>
    <w:rsid w:val="00AE3F37"/>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172FD"/>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28364217-0606-465A-BA19-8C7259E5F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2025-11-22T07:07:00Z</dcterms:created>
  <dcterms:modified xsi:type="dcterms:W3CDTF">2025-11-22T07:07:00Z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