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017" w:rsidRPr="00584B0C" w:rsidRDefault="00BC0017" w:rsidP="00485257">
      <w:pPr>
        <w:spacing w:after="0"/>
        <w:ind w:right="-392"/>
        <w:rPr>
          <w:rFonts w:ascii="Tahoma" w:hAnsi="Tahoma" w:cs="Tahoma"/>
          <w:b/>
          <w:lang w:val="en-US"/>
        </w:rPr>
      </w:pPr>
    </w:p>
    <w:p w:rsidR="00BC0017" w:rsidRPr="00584B0C" w:rsidRDefault="00BC0017" w:rsidP="00485257">
      <w:pPr>
        <w:spacing w:after="0"/>
        <w:ind w:right="-392"/>
        <w:rPr>
          <w:rFonts w:ascii="Tahoma" w:hAnsi="Tahoma" w:cs="Tahoma"/>
          <w:b/>
          <w:lang w:val="en-US"/>
        </w:rPr>
      </w:pPr>
    </w:p>
    <w:p w:rsidR="00BC0017" w:rsidRPr="00584B0C" w:rsidRDefault="00BC0017" w:rsidP="00485257">
      <w:pPr>
        <w:spacing w:after="0"/>
        <w:ind w:right="-392"/>
        <w:rPr>
          <w:rFonts w:ascii="Tahoma" w:hAnsi="Tahoma" w:cs="Tahoma"/>
          <w:b/>
          <w:lang w:val="en-US"/>
        </w:rPr>
      </w:pPr>
    </w:p>
    <w:p w:rsidR="00485257" w:rsidRPr="00584B0C" w:rsidRDefault="00485257" w:rsidP="00485257">
      <w:pPr>
        <w:spacing w:after="0"/>
        <w:ind w:right="-392"/>
        <w:rPr>
          <w:rFonts w:ascii="Tahoma" w:hAnsi="Tahoma" w:cs="Tahoma"/>
          <w:b/>
          <w:lang w:val="en-US"/>
        </w:rPr>
      </w:pPr>
      <w:r w:rsidRPr="00584B0C">
        <w:rPr>
          <w:rFonts w:ascii="Tahoma" w:hAnsi="Tahoma" w:cs="Tahoma"/>
          <w:b/>
          <w:lang w:val="en-US"/>
        </w:rPr>
        <w:t>OIL/PLNG/54/2/3/2025/36</w:t>
      </w:r>
      <w:r w:rsidRPr="00584B0C">
        <w:rPr>
          <w:rFonts w:ascii="Tahoma" w:hAnsi="Tahoma" w:cs="Tahoma"/>
          <w:b/>
          <w:lang w:val="en-US"/>
        </w:rPr>
        <w:tab/>
      </w:r>
      <w:r w:rsidRPr="00584B0C">
        <w:rPr>
          <w:rFonts w:ascii="Tahoma" w:hAnsi="Tahoma" w:cs="Tahoma"/>
          <w:b/>
          <w:lang w:val="en-US"/>
        </w:rPr>
        <w:tab/>
      </w:r>
      <w:r w:rsidRPr="00584B0C">
        <w:rPr>
          <w:rFonts w:ascii="Tahoma" w:hAnsi="Tahoma" w:cs="Tahoma"/>
          <w:b/>
          <w:lang w:val="en-US"/>
        </w:rPr>
        <w:tab/>
      </w:r>
      <w:r w:rsidRPr="00584B0C">
        <w:rPr>
          <w:rFonts w:ascii="Tahoma" w:hAnsi="Tahoma" w:cs="Tahoma"/>
          <w:b/>
          <w:lang w:val="en-US"/>
        </w:rPr>
        <w:tab/>
      </w:r>
      <w:r w:rsidRPr="00584B0C">
        <w:rPr>
          <w:rFonts w:ascii="Tahoma" w:hAnsi="Tahoma" w:cs="Tahoma"/>
          <w:b/>
          <w:lang w:val="en-US"/>
        </w:rPr>
        <w:tab/>
        <w:t xml:space="preserve">              </w:t>
      </w:r>
      <w:r w:rsidR="00584B0C" w:rsidRPr="00584B0C">
        <w:rPr>
          <w:rFonts w:ascii="Tahoma" w:hAnsi="Tahoma" w:cs="Tahoma"/>
          <w:b/>
          <w:lang w:val="en-US"/>
        </w:rPr>
        <w:t>11</w:t>
      </w:r>
      <w:proofErr w:type="gramStart"/>
      <w:r w:rsidR="00584B0C" w:rsidRPr="00584B0C">
        <w:rPr>
          <w:rFonts w:ascii="Tahoma" w:hAnsi="Tahoma" w:cs="Tahoma"/>
          <w:b/>
          <w:vertAlign w:val="superscript"/>
          <w:lang w:val="en-US"/>
        </w:rPr>
        <w:t>th</w:t>
      </w:r>
      <w:r w:rsidR="00584B0C" w:rsidRPr="00584B0C">
        <w:rPr>
          <w:rFonts w:ascii="Tahoma" w:hAnsi="Tahoma" w:cs="Tahoma"/>
          <w:b/>
          <w:lang w:val="en-US"/>
        </w:rPr>
        <w:t xml:space="preserve"> </w:t>
      </w:r>
      <w:r w:rsidRPr="00584B0C">
        <w:rPr>
          <w:rFonts w:ascii="Tahoma" w:hAnsi="Tahoma" w:cs="Tahoma"/>
          <w:b/>
          <w:lang w:val="en-US"/>
        </w:rPr>
        <w:t xml:space="preserve"> December</w:t>
      </w:r>
      <w:proofErr w:type="gramEnd"/>
      <w:r w:rsidRPr="00584B0C">
        <w:rPr>
          <w:rFonts w:ascii="Tahoma" w:hAnsi="Tahoma" w:cs="Tahoma"/>
          <w:b/>
          <w:lang w:val="en-US"/>
        </w:rPr>
        <w:t>, 2025</w:t>
      </w:r>
    </w:p>
    <w:p w:rsidR="00485257" w:rsidRPr="00584B0C" w:rsidRDefault="00485257" w:rsidP="00485257">
      <w:pPr>
        <w:spacing w:after="0"/>
        <w:ind w:right="-28"/>
        <w:rPr>
          <w:rFonts w:ascii="Tahoma" w:hAnsi="Tahoma" w:cs="Tahoma"/>
          <w:lang w:val="en-US"/>
        </w:rPr>
      </w:pPr>
    </w:p>
    <w:p w:rsidR="00485257" w:rsidRPr="00584B0C" w:rsidRDefault="00485257" w:rsidP="00485257">
      <w:pPr>
        <w:spacing w:after="0"/>
        <w:rPr>
          <w:rFonts w:ascii="Tahoma" w:hAnsi="Tahoma" w:cs="Tahoma"/>
          <w:lang w:val="en-US"/>
        </w:rPr>
      </w:pPr>
      <w:r w:rsidRPr="00584B0C">
        <w:rPr>
          <w:rFonts w:ascii="Tahoma" w:hAnsi="Tahoma" w:cs="Tahoma"/>
          <w:lang w:val="en-US"/>
        </w:rPr>
        <w:t>Ministry of Petroleum and Natural Gas</w:t>
      </w:r>
    </w:p>
    <w:p w:rsidR="00485257" w:rsidRPr="00584B0C" w:rsidRDefault="00485257" w:rsidP="00485257">
      <w:pPr>
        <w:spacing w:after="0"/>
        <w:ind w:right="-482"/>
        <w:rPr>
          <w:rFonts w:ascii="Tahoma" w:hAnsi="Tahoma" w:cs="Tahoma"/>
          <w:lang w:val="en-US"/>
        </w:rPr>
      </w:pPr>
      <w:proofErr w:type="spellStart"/>
      <w:r w:rsidRPr="00584B0C">
        <w:rPr>
          <w:rFonts w:ascii="Tahoma" w:hAnsi="Tahoma" w:cs="Tahoma"/>
          <w:lang w:val="en-US"/>
        </w:rPr>
        <w:t>Kartavya</w:t>
      </w:r>
      <w:proofErr w:type="spellEnd"/>
      <w:r w:rsidRPr="00584B0C">
        <w:rPr>
          <w:rFonts w:ascii="Tahoma" w:hAnsi="Tahoma" w:cs="Tahoma"/>
          <w:lang w:val="en-US"/>
        </w:rPr>
        <w:t xml:space="preserve"> Bhawan-03, </w:t>
      </w:r>
      <w:proofErr w:type="spellStart"/>
      <w:r w:rsidRPr="00584B0C">
        <w:rPr>
          <w:rFonts w:ascii="Tahoma" w:hAnsi="Tahoma" w:cs="Tahoma"/>
          <w:lang w:val="en-US"/>
        </w:rPr>
        <w:t>Janpath</w:t>
      </w:r>
      <w:proofErr w:type="spellEnd"/>
    </w:p>
    <w:p w:rsidR="00485257" w:rsidRPr="00584B0C" w:rsidRDefault="00485257" w:rsidP="00485257">
      <w:pPr>
        <w:spacing w:after="0"/>
        <w:rPr>
          <w:rFonts w:ascii="Tahoma" w:hAnsi="Tahoma" w:cs="Tahoma"/>
          <w:b/>
        </w:rPr>
      </w:pPr>
      <w:r w:rsidRPr="00584B0C">
        <w:rPr>
          <w:rFonts w:ascii="Tahoma" w:hAnsi="Tahoma" w:cs="Tahoma"/>
          <w:b/>
          <w:bCs/>
          <w:u w:val="single"/>
          <w:lang w:val="en-US"/>
        </w:rPr>
        <w:t>New Delhi - 110001</w:t>
      </w:r>
      <w:r w:rsidRPr="00584B0C">
        <w:rPr>
          <w:rFonts w:ascii="Tahoma" w:hAnsi="Tahoma" w:cs="Tahoma"/>
          <w:b/>
          <w:bCs/>
          <w:lang w:val="en-US"/>
        </w:rPr>
        <w:t xml:space="preserve">                              </w:t>
      </w:r>
      <w:r w:rsidRPr="00584B0C">
        <w:rPr>
          <w:rFonts w:ascii="Tahoma" w:hAnsi="Tahoma" w:cs="Tahoma"/>
          <w:b/>
          <w:lang w:val="en-US"/>
        </w:rPr>
        <w:t xml:space="preserve">                               </w:t>
      </w:r>
      <w:r w:rsidR="00584B0C" w:rsidRPr="00584B0C">
        <w:rPr>
          <w:rFonts w:ascii="Tahoma" w:hAnsi="Tahoma" w:cs="Tahoma"/>
          <w:b/>
          <w:lang w:val="en-US"/>
        </w:rPr>
        <w:t xml:space="preserve">  </w:t>
      </w:r>
      <w:r w:rsidRPr="00584B0C">
        <w:rPr>
          <w:rFonts w:ascii="Tahoma" w:hAnsi="Tahoma" w:cs="Tahoma"/>
          <w:b/>
          <w:lang w:val="en-US"/>
        </w:rPr>
        <w:t xml:space="preserve">Kind Attn: </w:t>
      </w:r>
      <w:r w:rsidRPr="00584B0C">
        <w:rPr>
          <w:rFonts w:ascii="Tahoma" w:hAnsi="Tahoma" w:cs="Tahoma"/>
          <w:b/>
        </w:rPr>
        <w:t xml:space="preserve">Mr. </w:t>
      </w:r>
      <w:proofErr w:type="spellStart"/>
      <w:r w:rsidR="00584B0C" w:rsidRPr="00584B0C">
        <w:rPr>
          <w:rFonts w:ascii="Tahoma" w:hAnsi="Tahoma" w:cs="Tahoma"/>
          <w:b/>
        </w:rPr>
        <w:t>Satpal</w:t>
      </w:r>
      <w:proofErr w:type="spellEnd"/>
      <w:r w:rsidR="00584B0C" w:rsidRPr="00584B0C">
        <w:rPr>
          <w:rFonts w:ascii="Tahoma" w:hAnsi="Tahoma" w:cs="Tahoma"/>
          <w:b/>
        </w:rPr>
        <w:t xml:space="preserve"> Yadav</w:t>
      </w:r>
    </w:p>
    <w:p w:rsidR="00485257" w:rsidRPr="00584B0C" w:rsidRDefault="00485257" w:rsidP="00485257">
      <w:pPr>
        <w:spacing w:after="0"/>
        <w:jc w:val="right"/>
        <w:rPr>
          <w:rFonts w:ascii="Tahoma" w:hAnsi="Tahoma" w:cs="Tahoma"/>
          <w:u w:val="single"/>
          <w:lang w:val="en-US"/>
        </w:rPr>
      </w:pPr>
      <w:proofErr w:type="gramStart"/>
      <w:r w:rsidRPr="00584B0C">
        <w:rPr>
          <w:rFonts w:ascii="Tahoma" w:hAnsi="Tahoma" w:cs="Tahoma"/>
          <w:u w:val="single"/>
          <w:lang w:val="en-US"/>
        </w:rPr>
        <w:t>SO(</w:t>
      </w:r>
      <w:proofErr w:type="gramEnd"/>
      <w:r w:rsidR="00584B0C" w:rsidRPr="00584B0C">
        <w:rPr>
          <w:rFonts w:ascii="Tahoma" w:hAnsi="Tahoma" w:cs="Tahoma"/>
          <w:u w:val="single"/>
          <w:lang w:val="en-US"/>
        </w:rPr>
        <w:t>ONG 1&amp; V</w:t>
      </w:r>
      <w:r w:rsidRPr="00584B0C">
        <w:rPr>
          <w:rFonts w:ascii="Tahoma" w:hAnsi="Tahoma" w:cs="Tahoma"/>
          <w:u w:val="single"/>
          <w:lang w:val="en-US"/>
        </w:rPr>
        <w:t xml:space="preserve">) </w:t>
      </w:r>
    </w:p>
    <w:p w:rsidR="00485257" w:rsidRPr="00584B0C" w:rsidRDefault="00485257" w:rsidP="00343945">
      <w:pPr>
        <w:spacing w:after="0"/>
        <w:ind w:right="-482"/>
        <w:jc w:val="center"/>
        <w:rPr>
          <w:rFonts w:ascii="Tahoma" w:hAnsi="Tahoma" w:cs="Tahoma"/>
          <w:bCs/>
          <w:u w:val="single"/>
        </w:rPr>
      </w:pPr>
      <w:r w:rsidRPr="00584B0C">
        <w:rPr>
          <w:rFonts w:ascii="Tahoma" w:hAnsi="Tahoma" w:cs="Tahoma"/>
          <w:b/>
          <w:lang w:val="en-US"/>
        </w:rPr>
        <w:t xml:space="preserve">                                                                                        </w:t>
      </w:r>
      <w:r w:rsidRPr="00584B0C">
        <w:rPr>
          <w:rFonts w:ascii="Tahoma" w:hAnsi="Tahoma" w:cs="Tahoma"/>
          <w:b/>
          <w:bCs/>
          <w:u w:val="single"/>
          <w:lang w:val="en-US"/>
        </w:rPr>
        <w:t xml:space="preserve">                                                                          </w:t>
      </w:r>
      <w:r w:rsidRPr="00584B0C">
        <w:rPr>
          <w:rFonts w:ascii="Tahoma" w:hAnsi="Tahoma" w:cs="Tahoma"/>
          <w:b/>
          <w:lang w:val="en-US"/>
        </w:rPr>
        <w:t xml:space="preserve">                                                                                                 </w:t>
      </w:r>
    </w:p>
    <w:p w:rsidR="00485257" w:rsidRPr="00584B0C" w:rsidRDefault="00485257" w:rsidP="00343945">
      <w:pPr>
        <w:tabs>
          <w:tab w:val="left" w:pos="1440"/>
        </w:tabs>
        <w:spacing w:after="0" w:line="240" w:lineRule="auto"/>
        <w:ind w:right="-563"/>
        <w:jc w:val="both"/>
        <w:rPr>
          <w:rFonts w:ascii="Tahoma" w:hAnsi="Tahoma" w:cs="Tahoma"/>
          <w:lang w:val="en-US"/>
        </w:rPr>
      </w:pPr>
      <w:r w:rsidRPr="00584B0C">
        <w:rPr>
          <w:rFonts w:ascii="Tahoma" w:hAnsi="Tahoma" w:cs="Tahoma"/>
          <w:b/>
          <w:lang w:val="en-US"/>
        </w:rPr>
        <w:t>Sub</w:t>
      </w:r>
      <w:r w:rsidRPr="00584B0C">
        <w:rPr>
          <w:rFonts w:ascii="Tahoma" w:hAnsi="Tahoma" w:cs="Tahoma"/>
          <w:lang w:val="en-US"/>
        </w:rPr>
        <w:t xml:space="preserve">: Lok Sabha Provisionally Admitted Starred Question Dy. No. </w:t>
      </w:r>
      <w:r w:rsidRPr="00584B0C">
        <w:rPr>
          <w:rFonts w:ascii="Tahoma" w:hAnsi="Tahoma" w:cs="Tahoma"/>
          <w:b/>
          <w:bCs/>
        </w:rPr>
        <w:t xml:space="preserve">5730 </w:t>
      </w:r>
      <w:r w:rsidRPr="00584B0C">
        <w:rPr>
          <w:rFonts w:ascii="Tahoma" w:hAnsi="Tahoma" w:cs="Tahoma"/>
          <w:lang w:val="en-US"/>
        </w:rPr>
        <w:t xml:space="preserve">for 11.12.2025 </w:t>
      </w:r>
    </w:p>
    <w:p w:rsidR="00485257" w:rsidRPr="00584B0C" w:rsidRDefault="00485257" w:rsidP="00343945">
      <w:pPr>
        <w:pStyle w:val="Default"/>
        <w:jc w:val="both"/>
        <w:rPr>
          <w:rFonts w:ascii="Tahoma" w:hAnsi="Tahoma" w:cs="Tahoma"/>
          <w:sz w:val="22"/>
          <w:szCs w:val="22"/>
        </w:rPr>
      </w:pPr>
      <w:r w:rsidRPr="00584B0C">
        <w:rPr>
          <w:rFonts w:ascii="Tahoma" w:hAnsi="Tahoma" w:cs="Tahoma"/>
          <w:sz w:val="22"/>
          <w:szCs w:val="22"/>
        </w:rPr>
        <w:t xml:space="preserve">        Regarding </w:t>
      </w:r>
      <w:r w:rsidRPr="00584B0C">
        <w:rPr>
          <w:rFonts w:ascii="Tahoma" w:hAnsi="Tahoma" w:cs="Tahoma"/>
          <w:b/>
          <w:sz w:val="22"/>
          <w:szCs w:val="22"/>
        </w:rPr>
        <w:t>“</w:t>
      </w:r>
      <w:r w:rsidRPr="00584B0C">
        <w:rPr>
          <w:rFonts w:ascii="Tahoma" w:hAnsi="Tahoma" w:cs="Tahoma"/>
          <w:b/>
          <w:bCs/>
          <w:sz w:val="22"/>
          <w:szCs w:val="22"/>
        </w:rPr>
        <w:t>Modernizing Upstream Operations under HELP”</w:t>
      </w:r>
    </w:p>
    <w:p w:rsidR="00485257" w:rsidRPr="00584B0C" w:rsidRDefault="00485257" w:rsidP="00584B0C">
      <w:pPr>
        <w:tabs>
          <w:tab w:val="left" w:pos="1440"/>
        </w:tabs>
        <w:spacing w:after="0" w:line="360" w:lineRule="auto"/>
        <w:ind w:left="1701" w:right="-572" w:hanging="1701"/>
        <w:rPr>
          <w:rFonts w:ascii="Tahoma" w:hAnsi="Tahoma" w:cs="Tahoma"/>
          <w:lang w:val="en-US"/>
        </w:rPr>
      </w:pPr>
      <w:r w:rsidRPr="00584B0C">
        <w:rPr>
          <w:rFonts w:ascii="Tahoma" w:hAnsi="Tahoma" w:cs="Tahoma"/>
        </w:rPr>
        <w:t xml:space="preserve"> </w:t>
      </w:r>
      <w:r w:rsidRPr="00584B0C">
        <w:rPr>
          <w:rFonts w:ascii="Tahoma" w:hAnsi="Tahoma" w:cs="Tahoma"/>
          <w:b/>
          <w:lang w:val="en-US"/>
        </w:rPr>
        <w:t>Ref.</w:t>
      </w:r>
      <w:r w:rsidRPr="00584B0C">
        <w:rPr>
          <w:rFonts w:ascii="Tahoma" w:hAnsi="Tahoma" w:cs="Tahoma"/>
          <w:lang w:val="en-US"/>
        </w:rPr>
        <w:t xml:space="preserve">  Your email dated 01.12.2025</w:t>
      </w:r>
    </w:p>
    <w:p w:rsidR="00485257" w:rsidRPr="00584B0C" w:rsidRDefault="00485257" w:rsidP="00485257">
      <w:pPr>
        <w:tabs>
          <w:tab w:val="left" w:pos="709"/>
          <w:tab w:val="center" w:pos="4817"/>
        </w:tabs>
        <w:spacing w:after="0"/>
        <w:ind w:right="-306"/>
        <w:rPr>
          <w:rFonts w:ascii="Tahoma" w:hAnsi="Tahoma" w:cs="Tahoma"/>
          <w:lang w:val="en-US"/>
        </w:rPr>
      </w:pPr>
    </w:p>
    <w:p w:rsidR="00485257" w:rsidRPr="00584B0C" w:rsidRDefault="00485257" w:rsidP="00485257">
      <w:pPr>
        <w:spacing w:after="0"/>
        <w:ind w:right="-613"/>
        <w:rPr>
          <w:rFonts w:ascii="Tahoma" w:hAnsi="Tahoma" w:cs="Tahoma"/>
          <w:lang w:val="en-US"/>
        </w:rPr>
      </w:pPr>
      <w:r w:rsidRPr="00584B0C">
        <w:rPr>
          <w:rFonts w:ascii="Tahoma" w:hAnsi="Tahoma" w:cs="Tahoma"/>
          <w:lang w:val="en-US"/>
        </w:rPr>
        <w:t>Sir,</w:t>
      </w:r>
    </w:p>
    <w:p w:rsidR="00485257" w:rsidRPr="00584B0C" w:rsidRDefault="00485257" w:rsidP="00485257">
      <w:pPr>
        <w:spacing w:after="0"/>
        <w:rPr>
          <w:rFonts w:ascii="Tahoma" w:hAnsi="Tahoma" w:cs="Tahoma"/>
          <w:lang w:val="en-US"/>
        </w:rPr>
      </w:pPr>
      <w:r w:rsidRPr="00584B0C">
        <w:rPr>
          <w:rFonts w:ascii="Tahoma" w:hAnsi="Tahoma" w:cs="Tahoma"/>
          <w:lang w:val="en-US"/>
        </w:rPr>
        <w:t xml:space="preserve">       </w:t>
      </w:r>
      <w:r w:rsidRPr="00584B0C">
        <w:rPr>
          <w:rFonts w:ascii="Tahoma" w:hAnsi="Tahoma" w:cs="Tahoma"/>
          <w:lang w:val="en-US"/>
        </w:rPr>
        <w:tab/>
        <w:t>Reference above, our reply to the above Lok Sabha Question is as follows:</w:t>
      </w:r>
    </w:p>
    <w:p w:rsidR="00584B0C" w:rsidRPr="00584B0C" w:rsidRDefault="00584B0C" w:rsidP="00485257">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4391"/>
        <w:gridCol w:w="5359"/>
      </w:tblGrid>
      <w:tr w:rsidR="00485257" w:rsidRPr="00584B0C" w:rsidTr="00485257">
        <w:trPr>
          <w:trHeight w:val="1208"/>
        </w:trPr>
        <w:tc>
          <w:tcPr>
            <w:tcW w:w="4391" w:type="dxa"/>
            <w:tcBorders>
              <w:top w:val="single" w:sz="4" w:space="0" w:color="auto"/>
              <w:left w:val="single" w:sz="4" w:space="0" w:color="auto"/>
              <w:bottom w:val="single" w:sz="4" w:space="0" w:color="auto"/>
              <w:right w:val="single" w:sz="4" w:space="0" w:color="auto"/>
            </w:tcBorders>
          </w:tcPr>
          <w:p w:rsidR="00485257" w:rsidRPr="00584B0C" w:rsidRDefault="00485257">
            <w:pPr>
              <w:spacing w:after="0" w:line="240" w:lineRule="auto"/>
              <w:ind w:right="34"/>
              <w:jc w:val="both"/>
              <w:rPr>
                <w:rFonts w:ascii="Tahoma" w:hAnsi="Tahoma" w:cs="Tahoma"/>
                <w:b/>
                <w:bCs/>
                <w:i/>
                <w:iCs/>
              </w:rPr>
            </w:pPr>
            <w:r w:rsidRPr="00584B0C">
              <w:rPr>
                <w:rFonts w:ascii="Tahoma" w:hAnsi="Tahoma" w:cs="Tahoma"/>
                <w:b/>
                <w:bCs/>
                <w:i/>
                <w:iCs/>
              </w:rPr>
              <w:t xml:space="preserve">Will the Minister of Petroleum and Natural </w:t>
            </w:r>
            <w:proofErr w:type="gramStart"/>
            <w:r w:rsidRPr="00584B0C">
              <w:rPr>
                <w:rFonts w:ascii="Tahoma" w:hAnsi="Tahoma" w:cs="Tahoma"/>
                <w:b/>
                <w:bCs/>
                <w:i/>
                <w:iCs/>
              </w:rPr>
              <w:t>Gas :</w:t>
            </w:r>
            <w:proofErr w:type="gramEnd"/>
          </w:p>
          <w:p w:rsidR="00485257" w:rsidRPr="00584B0C" w:rsidRDefault="00485257">
            <w:pPr>
              <w:spacing w:after="0" w:line="240" w:lineRule="auto"/>
              <w:ind w:right="34"/>
              <w:jc w:val="both"/>
              <w:rPr>
                <w:rFonts w:ascii="Tahoma" w:hAnsi="Tahoma" w:cs="Tahoma"/>
                <w:i/>
                <w:iCs/>
              </w:rPr>
            </w:pPr>
          </w:p>
          <w:p w:rsidR="00485257" w:rsidRPr="00584B0C" w:rsidRDefault="00485257">
            <w:pPr>
              <w:spacing w:after="0" w:line="240" w:lineRule="auto"/>
              <w:ind w:right="34"/>
              <w:jc w:val="both"/>
              <w:rPr>
                <w:rFonts w:ascii="Tahoma" w:hAnsi="Tahoma" w:cs="Tahoma"/>
                <w:i/>
                <w:iCs/>
                <w:lang w:val="en-US"/>
              </w:rPr>
            </w:pPr>
            <w:r w:rsidRPr="00584B0C">
              <w:rPr>
                <w:rFonts w:ascii="Tahoma" w:hAnsi="Tahoma" w:cs="Tahoma"/>
                <w:i/>
                <w:iCs/>
              </w:rPr>
              <w:t>Q.(a) The Draft of Petroleum and Natural Gas Rules 2025 notified in July to modernize upstream operations under the Hydrocarbon Exploration and Licensing Policy HELP;</w:t>
            </w:r>
            <w:r w:rsidRPr="00584B0C">
              <w:rPr>
                <w:rFonts w:ascii="Tahoma" w:hAnsi="Tahoma" w:cs="Tahoma"/>
                <w:i/>
                <w:iCs/>
                <w:lang w:val="en-US"/>
              </w:rPr>
              <w:t xml:space="preserve"> </w:t>
            </w:r>
          </w:p>
        </w:tc>
        <w:tc>
          <w:tcPr>
            <w:tcW w:w="5359" w:type="dxa"/>
            <w:tcBorders>
              <w:top w:val="single" w:sz="4" w:space="0" w:color="auto"/>
              <w:left w:val="single" w:sz="4" w:space="0" w:color="auto"/>
              <w:bottom w:val="single" w:sz="4" w:space="0" w:color="auto"/>
              <w:right w:val="single" w:sz="4" w:space="0" w:color="auto"/>
            </w:tcBorders>
            <w:hideMark/>
          </w:tcPr>
          <w:p w:rsidR="00BC0017" w:rsidRPr="00584B0C" w:rsidRDefault="00485257" w:rsidP="00584B0C">
            <w:pPr>
              <w:spacing w:after="120" w:line="300" w:lineRule="auto"/>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00BC0017" w:rsidRPr="00584B0C">
              <w:rPr>
                <w:rFonts w:ascii="Tahoma" w:hAnsi="Tahoma" w:cs="Tahoma"/>
                <w:b/>
                <w:bCs/>
                <w:lang w:val="en-US"/>
              </w:rPr>
              <w:t>DGH/</w:t>
            </w:r>
            <w:proofErr w:type="spellStart"/>
            <w:r w:rsidR="00BC0017" w:rsidRPr="00584B0C">
              <w:rPr>
                <w:rFonts w:ascii="Tahoma" w:hAnsi="Tahoma" w:cs="Tahoma"/>
                <w:b/>
                <w:bCs/>
                <w:lang w:val="en-US"/>
              </w:rPr>
              <w:t>MoP&amp;NG</w:t>
            </w:r>
            <w:proofErr w:type="spellEnd"/>
            <w:r w:rsidR="00BC0017" w:rsidRPr="00584B0C">
              <w:rPr>
                <w:rFonts w:ascii="Tahoma" w:hAnsi="Tahoma" w:cs="Tahoma"/>
                <w:b/>
                <w:bCs/>
                <w:lang w:val="en-US"/>
              </w:rPr>
              <w:t xml:space="preserve"> may kindly reply suitably.</w:t>
            </w:r>
          </w:p>
          <w:p w:rsidR="00BC0017" w:rsidRPr="00584B0C" w:rsidRDefault="00485257" w:rsidP="00584B0C">
            <w:pPr>
              <w:spacing w:after="120" w:line="240" w:lineRule="auto"/>
              <w:jc w:val="both"/>
              <w:rPr>
                <w:rFonts w:ascii="Tahoma" w:hAnsi="Tahoma" w:cs="Tahoma"/>
              </w:rPr>
            </w:pPr>
            <w:r w:rsidRPr="00584B0C">
              <w:rPr>
                <w:rFonts w:ascii="Tahoma" w:eastAsia="Times New Roman" w:hAnsi="Tahoma" w:cs="Tahoma"/>
                <w:b/>
                <w:bCs/>
                <w:kern w:val="2"/>
                <w14:ligatures w14:val="standardContextual"/>
              </w:rPr>
              <w:t xml:space="preserve"> </w:t>
            </w:r>
            <w:r w:rsidRPr="00584B0C">
              <w:rPr>
                <w:rFonts w:ascii="Tahoma" w:eastAsia="Times New Roman" w:hAnsi="Tahoma" w:cs="Tahoma"/>
                <w:kern w:val="2"/>
                <w14:ligatures w14:val="standardContextual"/>
              </w:rPr>
              <w:t xml:space="preserve">As far as Oil India Limited (OIL) is concerned, </w:t>
            </w:r>
            <w:r w:rsidR="00584B0C" w:rsidRPr="00584B0C">
              <w:rPr>
                <w:rFonts w:ascii="Tahoma" w:eastAsia="Times New Roman" w:hAnsi="Tahoma" w:cs="Tahoma"/>
                <w:kern w:val="2"/>
                <w14:ligatures w14:val="standardContextual"/>
              </w:rPr>
              <w:t>t</w:t>
            </w:r>
            <w:r w:rsidR="00BC0017" w:rsidRPr="00584B0C">
              <w:rPr>
                <w:rFonts w:ascii="Tahoma" w:hAnsi="Tahoma" w:cs="Tahoma"/>
              </w:rPr>
              <w:t>he Draft Petroleum and Natural Gas Rules, 2025 are a proposed overhaul of India’s upstream regulatory framework to align existing rules with the Hydrocarbon Exploration and Licensing Policy (HELP) and modern E&amp;P practices. They are intended to replace and consolidate older concession and operational rules, streamline procedures for granting and managing exploration and mining leases, and give clearer legal backing to the HELP/Model Revenue Sharing Contract regime.</w:t>
            </w:r>
          </w:p>
          <w:p w:rsidR="00BC0017" w:rsidRPr="00584B0C" w:rsidRDefault="00BC0017" w:rsidP="00584B0C">
            <w:pPr>
              <w:spacing w:after="120" w:line="300" w:lineRule="auto"/>
              <w:jc w:val="both"/>
              <w:rPr>
                <w:rFonts w:ascii="Tahoma" w:hAnsi="Tahoma" w:cs="Tahoma"/>
              </w:rPr>
            </w:pPr>
            <w:r w:rsidRPr="00584B0C">
              <w:rPr>
                <w:rFonts w:ascii="Tahoma" w:hAnsi="Tahoma" w:cs="Tahoma"/>
                <w:b/>
                <w:bCs/>
              </w:rPr>
              <w:t>Key elements include:</w:t>
            </w:r>
            <w:r w:rsidRPr="00584B0C">
              <w:rPr>
                <w:rFonts w:ascii="Tahoma" w:hAnsi="Tahoma" w:cs="Tahoma"/>
              </w:rPr>
              <w:t xml:space="preserve"> an investor</w:t>
            </w:r>
            <w:r w:rsidRPr="00584B0C">
              <w:rPr>
                <w:rFonts w:ascii="Tahoma" w:hAnsi="Tahoma" w:cs="Tahoma"/>
              </w:rPr>
              <w:noBreakHyphen/>
              <w:t>oriented stabilisation framework to provide greater fiscal and regulatory predictability for long</w:t>
            </w:r>
            <w:r w:rsidRPr="00584B0C">
              <w:rPr>
                <w:rFonts w:ascii="Tahoma" w:hAnsi="Tahoma" w:cs="Tahoma"/>
              </w:rPr>
              <w:noBreakHyphen/>
              <w:t>cycle upstream projects; clearer provisions on lease grant, transfer, merger, extension, unitisation, and relinquishment; formalised norms for infrastructure sharing and third</w:t>
            </w:r>
            <w:r w:rsidRPr="00584B0C">
              <w:rPr>
                <w:rFonts w:ascii="Tahoma" w:hAnsi="Tahoma" w:cs="Tahoma"/>
              </w:rPr>
              <w:noBreakHyphen/>
              <w:t>party access to under</w:t>
            </w:r>
            <w:r w:rsidRPr="00584B0C">
              <w:rPr>
                <w:rFonts w:ascii="Tahoma" w:hAnsi="Tahoma" w:cs="Tahoma"/>
              </w:rPr>
              <w:noBreakHyphen/>
              <w:t>utilised pipelines and facilities; and stronger requirements for data ownership, submission and confidentiality. The draft rules also integrate environmental and energy</w:t>
            </w:r>
            <w:r w:rsidRPr="00584B0C">
              <w:rPr>
                <w:rFonts w:ascii="Tahoma" w:hAnsi="Tahoma" w:cs="Tahoma"/>
              </w:rPr>
              <w:noBreakHyphen/>
              <w:t>transition priorities by enabling renewable and low</w:t>
            </w:r>
            <w:r w:rsidRPr="00584B0C">
              <w:rPr>
                <w:rFonts w:ascii="Tahoma" w:hAnsi="Tahoma" w:cs="Tahoma"/>
              </w:rPr>
              <w:noBreakHyphen/>
              <w:t xml:space="preserve">carbon activities (such as solar, wind, hydrogen and carbon capture/use/storage) within petroleum lease areas subject to safety and </w:t>
            </w:r>
            <w:r w:rsidRPr="00584B0C">
              <w:rPr>
                <w:rFonts w:ascii="Tahoma" w:hAnsi="Tahoma" w:cs="Tahoma"/>
              </w:rPr>
              <w:lastRenderedPageBreak/>
              <w:t>non</w:t>
            </w:r>
            <w:r w:rsidRPr="00584B0C">
              <w:rPr>
                <w:rFonts w:ascii="Tahoma" w:hAnsi="Tahoma" w:cs="Tahoma"/>
              </w:rPr>
              <w:noBreakHyphen/>
              <w:t>interference, and by mandating robust site restoration and post</w:t>
            </w:r>
            <w:r w:rsidRPr="00584B0C">
              <w:rPr>
                <w:rFonts w:ascii="Tahoma" w:hAnsi="Tahoma" w:cs="Tahoma"/>
              </w:rPr>
              <w:noBreakHyphen/>
              <w:t>closure obligations.</w:t>
            </w:r>
          </w:p>
          <w:p w:rsidR="00BC0017" w:rsidRPr="00584B0C" w:rsidRDefault="00BC0017" w:rsidP="00584B0C">
            <w:pPr>
              <w:spacing w:after="120" w:line="240" w:lineRule="auto"/>
              <w:jc w:val="both"/>
              <w:rPr>
                <w:rFonts w:ascii="Tahoma" w:eastAsia="Times New Roman" w:hAnsi="Tahoma" w:cs="Tahoma"/>
                <w:kern w:val="2"/>
                <w14:ligatures w14:val="standardContextual"/>
              </w:rPr>
            </w:pPr>
          </w:p>
        </w:tc>
      </w:tr>
      <w:tr w:rsidR="00485257" w:rsidRPr="00584B0C" w:rsidTr="00485257">
        <w:trPr>
          <w:trHeight w:val="1230"/>
        </w:trPr>
        <w:tc>
          <w:tcPr>
            <w:tcW w:w="4391" w:type="dxa"/>
            <w:tcBorders>
              <w:top w:val="single" w:sz="4" w:space="0" w:color="auto"/>
              <w:left w:val="single" w:sz="4" w:space="0" w:color="auto"/>
              <w:bottom w:val="single" w:sz="4" w:space="0" w:color="auto"/>
              <w:right w:val="single" w:sz="4" w:space="0" w:color="auto"/>
            </w:tcBorders>
          </w:tcPr>
          <w:p w:rsidR="00485257" w:rsidRPr="00584B0C" w:rsidRDefault="00485257">
            <w:pPr>
              <w:spacing w:after="0" w:line="240" w:lineRule="auto"/>
              <w:ind w:right="34"/>
              <w:jc w:val="both"/>
              <w:rPr>
                <w:rFonts w:ascii="Tahoma" w:hAnsi="Tahoma" w:cs="Tahoma"/>
                <w:i/>
                <w:iCs/>
                <w:lang w:val="en-US"/>
              </w:rPr>
            </w:pPr>
            <w:r w:rsidRPr="00584B0C">
              <w:rPr>
                <w:rFonts w:ascii="Tahoma" w:hAnsi="Tahoma" w:cs="Tahoma"/>
                <w:i/>
                <w:iCs/>
              </w:rPr>
              <w:lastRenderedPageBreak/>
              <w:t>Q.(b) The measures to streamline investor approvals amid a 3.1 percent year-on-year decline in domestic crude oil production to 595 BBL/D/1K in July 2025;</w:t>
            </w:r>
          </w:p>
        </w:tc>
        <w:tc>
          <w:tcPr>
            <w:tcW w:w="5359" w:type="dxa"/>
            <w:tcBorders>
              <w:top w:val="single" w:sz="4" w:space="0" w:color="auto"/>
              <w:left w:val="single" w:sz="4" w:space="0" w:color="auto"/>
              <w:bottom w:val="single" w:sz="4" w:space="0" w:color="auto"/>
              <w:right w:val="single" w:sz="4" w:space="0" w:color="auto"/>
            </w:tcBorders>
            <w:hideMark/>
          </w:tcPr>
          <w:p w:rsidR="00BC0017" w:rsidRPr="00584B0C" w:rsidRDefault="00BC0017" w:rsidP="00584B0C">
            <w:pPr>
              <w:spacing w:after="120" w:line="300" w:lineRule="auto"/>
              <w:jc w:val="both"/>
              <w:rPr>
                <w:rFonts w:ascii="Tahoma" w:hAnsi="Tahoma" w:cs="Tahoma"/>
                <w:b/>
                <w:bCs/>
                <w:lang w:val="en-US"/>
              </w:rPr>
            </w:pPr>
            <w:r w:rsidRPr="00584B0C">
              <w:rPr>
                <w:rFonts w:ascii="Tahoma" w:hAnsi="Tahoma" w:cs="Tahoma"/>
                <w:b/>
                <w:lang w:val="en-US"/>
              </w:rPr>
              <w:t>Answer to Q(b):</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p>
          <w:p w:rsidR="00BC0017" w:rsidRPr="00584B0C" w:rsidRDefault="00BC0017" w:rsidP="00584B0C">
            <w:pPr>
              <w:spacing w:after="120" w:line="240" w:lineRule="auto"/>
              <w:jc w:val="both"/>
              <w:rPr>
                <w:rFonts w:ascii="Tahoma" w:hAnsi="Tahoma" w:cs="Tahoma"/>
              </w:rPr>
            </w:pPr>
            <w:r w:rsidRPr="00584B0C">
              <w:rPr>
                <w:rFonts w:ascii="Tahoma" w:eastAsia="Times New Roman" w:hAnsi="Tahoma" w:cs="Tahoma"/>
                <w:kern w:val="2"/>
                <w14:ligatures w14:val="standardContextual"/>
              </w:rPr>
              <w:t xml:space="preserve">As far as Oil India Limited (OIL) is concerned, </w:t>
            </w:r>
            <w:r w:rsidR="00584B0C" w:rsidRPr="00584B0C">
              <w:rPr>
                <w:rFonts w:ascii="Tahoma" w:eastAsia="Times New Roman" w:hAnsi="Tahoma" w:cs="Tahoma"/>
                <w:kern w:val="2"/>
                <w14:ligatures w14:val="standardContextual"/>
              </w:rPr>
              <w:t>t</w:t>
            </w:r>
            <w:r w:rsidRPr="00584B0C">
              <w:rPr>
                <w:rFonts w:ascii="Tahoma" w:hAnsi="Tahoma" w:cs="Tahoma"/>
              </w:rPr>
              <w:t xml:space="preserve">he Draft Petroleum and Natural Gas Rules, 2025 introduce several measures to streamline investor approvals and improve ease of doing business, which is critical in the backdrop of a 3.1 percent year‑on‑year decline in domestic crude oil production to about 595 thousand barrels per day in July 2025. The rules provide a clearer, codified framework for grant, extension, transfer, merger and relinquishment of petroleum leases, with defined timelines and procedures intended to reduce approval uncertainty and delays for exploration and development </w:t>
            </w:r>
            <w:proofErr w:type="gramStart"/>
            <w:r w:rsidRPr="00584B0C">
              <w:rPr>
                <w:rFonts w:ascii="Tahoma" w:hAnsi="Tahoma" w:cs="Tahoma"/>
              </w:rPr>
              <w:t>projects.​</w:t>
            </w:r>
            <w:proofErr w:type="gramEnd"/>
          </w:p>
          <w:p w:rsidR="00BC0017" w:rsidRPr="00584B0C" w:rsidRDefault="00BC0017" w:rsidP="00584B0C">
            <w:pPr>
              <w:spacing w:after="120" w:line="300" w:lineRule="auto"/>
              <w:jc w:val="both"/>
              <w:rPr>
                <w:rFonts w:ascii="Tahoma" w:hAnsi="Tahoma" w:cs="Tahoma"/>
              </w:rPr>
            </w:pPr>
            <w:r w:rsidRPr="00584B0C">
              <w:rPr>
                <w:rFonts w:ascii="Tahoma" w:hAnsi="Tahoma" w:cs="Tahoma"/>
              </w:rPr>
              <w:t>They also envisage an adjudicating authority for compliance and disputes, so that regulatory issues can be resolved administratively rather than through prolonged litigation. Complementary changes in the revised Model Revenue Sharing Contract and lease formats clarify unitisation, lease mergers and infrastructure sharing, which should shorten negotiation and approval cycles for developments straddling multiple blocks. Together with an investor‑friendly stabilisation clause and mandatory disclosure/third‑party access to under‑utilised infrastructure, this more predictable and transparent approvals regime is aimed at accelerating investment decisions and project execution, thereby helping to arrest production decline and support India’s energy security.</w:t>
            </w:r>
          </w:p>
          <w:p w:rsidR="00BC0017" w:rsidRPr="00584B0C" w:rsidRDefault="00BC0017" w:rsidP="00584B0C">
            <w:pPr>
              <w:spacing w:after="0" w:line="240" w:lineRule="auto"/>
              <w:jc w:val="both"/>
              <w:rPr>
                <w:rFonts w:ascii="Tahoma" w:hAnsi="Tahoma" w:cs="Tahoma"/>
                <w:lang w:val="en-US"/>
              </w:rPr>
            </w:pPr>
          </w:p>
        </w:tc>
      </w:tr>
      <w:tr w:rsidR="00485257" w:rsidRPr="00584B0C" w:rsidTr="00485257">
        <w:trPr>
          <w:trHeight w:val="1230"/>
        </w:trPr>
        <w:tc>
          <w:tcPr>
            <w:tcW w:w="4391" w:type="dxa"/>
            <w:tcBorders>
              <w:top w:val="single" w:sz="4" w:space="0" w:color="auto"/>
              <w:left w:val="single" w:sz="4" w:space="0" w:color="auto"/>
              <w:bottom w:val="single" w:sz="4" w:space="0" w:color="auto"/>
              <w:right w:val="single" w:sz="4" w:space="0" w:color="auto"/>
            </w:tcBorders>
          </w:tcPr>
          <w:p w:rsidR="00485257" w:rsidRPr="00584B0C" w:rsidRDefault="00485257">
            <w:pPr>
              <w:spacing w:after="0" w:line="240" w:lineRule="auto"/>
              <w:ind w:right="34"/>
              <w:jc w:val="both"/>
              <w:rPr>
                <w:rFonts w:ascii="Tahoma" w:hAnsi="Tahoma" w:cs="Tahoma"/>
                <w:i/>
                <w:iCs/>
                <w:lang w:val="en-US"/>
              </w:rPr>
            </w:pPr>
            <w:r w:rsidRPr="00584B0C">
              <w:rPr>
                <w:rFonts w:ascii="Tahoma" w:hAnsi="Tahoma" w:cs="Tahoma"/>
                <w:i/>
                <w:iCs/>
              </w:rPr>
              <w:t>Q.(c) The increase provided in the Union Budget 2025-26 is 11 percent to 19, 327 crore rupees for the Government;</w:t>
            </w:r>
          </w:p>
        </w:tc>
        <w:tc>
          <w:tcPr>
            <w:tcW w:w="5359" w:type="dxa"/>
            <w:tcBorders>
              <w:top w:val="single" w:sz="4" w:space="0" w:color="auto"/>
              <w:left w:val="single" w:sz="4" w:space="0" w:color="auto"/>
              <w:bottom w:val="single" w:sz="4" w:space="0" w:color="auto"/>
              <w:right w:val="single" w:sz="4" w:space="0" w:color="auto"/>
            </w:tcBorders>
            <w:hideMark/>
          </w:tcPr>
          <w:p w:rsidR="00535CE3" w:rsidRPr="00584B0C" w:rsidRDefault="00535CE3" w:rsidP="00584B0C">
            <w:pPr>
              <w:spacing w:after="120" w:line="300" w:lineRule="auto"/>
              <w:jc w:val="both"/>
              <w:rPr>
                <w:rFonts w:ascii="Tahoma" w:hAnsi="Tahoma" w:cs="Tahoma"/>
                <w:b/>
                <w:bCs/>
                <w:lang w:val="en-US"/>
              </w:rPr>
            </w:pPr>
            <w:r w:rsidRPr="00584B0C">
              <w:rPr>
                <w:rFonts w:ascii="Tahoma" w:hAnsi="Tahoma" w:cs="Tahoma"/>
                <w:b/>
                <w:lang w:val="en-US"/>
              </w:rPr>
              <w:t>Answer to Q(</w:t>
            </w:r>
            <w:r w:rsidR="00F20B37" w:rsidRPr="00584B0C">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p>
          <w:p w:rsidR="00535CE3" w:rsidRPr="00584B0C" w:rsidRDefault="00535CE3" w:rsidP="00584B0C">
            <w:pPr>
              <w:spacing w:after="120" w:line="240" w:lineRule="auto"/>
              <w:jc w:val="both"/>
              <w:rPr>
                <w:rFonts w:ascii="Tahoma" w:hAnsi="Tahoma" w:cs="Tahoma"/>
              </w:rPr>
            </w:pPr>
            <w:r w:rsidRPr="00584B0C">
              <w:rPr>
                <w:rFonts w:ascii="Tahoma" w:eastAsia="Times New Roman" w:hAnsi="Tahoma" w:cs="Tahoma"/>
                <w:kern w:val="2"/>
                <w14:ligatures w14:val="standardContextual"/>
              </w:rPr>
              <w:t xml:space="preserve">As far as Oil India Limited (OIL) is concerned, </w:t>
            </w:r>
            <w:r w:rsidR="00584B0C" w:rsidRPr="00584B0C">
              <w:rPr>
                <w:rFonts w:ascii="Tahoma" w:eastAsia="Times New Roman" w:hAnsi="Tahoma" w:cs="Tahoma"/>
                <w:kern w:val="2"/>
                <w14:ligatures w14:val="standardContextual"/>
              </w:rPr>
              <w:t>t</w:t>
            </w:r>
            <w:r w:rsidRPr="00584B0C">
              <w:rPr>
                <w:rFonts w:ascii="Tahoma" w:hAnsi="Tahoma" w:cs="Tahoma"/>
              </w:rPr>
              <w:t xml:space="preserve">he Union Budget 2025-26 provides an 11 percent increase in allocation to ₹19,327 crore for the Ministry of Petroleum and Natural Gas, primarily to bolster upstream exploration and production activities under initiatives like HELP and OALP, amid ongoing production challenges. This enhanced outlay supports expanded exploration activities in frontier basins, and incentives for private investment to accelerate bidding rounds and field development, aiming to raise </w:t>
            </w:r>
            <w:r w:rsidRPr="00584B0C">
              <w:rPr>
                <w:rFonts w:ascii="Tahoma" w:hAnsi="Tahoma" w:cs="Tahoma"/>
              </w:rPr>
              <w:lastRenderedPageBreak/>
              <w:t>domestic hydrocarbon output and reduce import dependence.</w:t>
            </w:r>
          </w:p>
          <w:p w:rsidR="00535CE3" w:rsidRPr="00584B0C" w:rsidRDefault="00535CE3" w:rsidP="00584B0C">
            <w:pPr>
              <w:spacing w:after="120" w:line="240" w:lineRule="auto"/>
              <w:jc w:val="both"/>
              <w:rPr>
                <w:rFonts w:ascii="Tahoma" w:hAnsi="Tahoma" w:cs="Tahoma"/>
                <w:b/>
                <w:lang w:val="en-US"/>
              </w:rPr>
            </w:pPr>
          </w:p>
        </w:tc>
      </w:tr>
      <w:tr w:rsidR="00485257" w:rsidRPr="00584B0C" w:rsidTr="00485257">
        <w:trPr>
          <w:trHeight w:val="1230"/>
        </w:trPr>
        <w:tc>
          <w:tcPr>
            <w:tcW w:w="4391" w:type="dxa"/>
            <w:tcBorders>
              <w:top w:val="single" w:sz="4" w:space="0" w:color="auto"/>
              <w:left w:val="single" w:sz="4" w:space="0" w:color="auto"/>
              <w:bottom w:val="single" w:sz="4" w:space="0" w:color="auto"/>
              <w:right w:val="single" w:sz="4" w:space="0" w:color="auto"/>
            </w:tcBorders>
          </w:tcPr>
          <w:p w:rsidR="00485257" w:rsidRPr="00584B0C" w:rsidRDefault="00485257" w:rsidP="00343945">
            <w:pPr>
              <w:jc w:val="both"/>
              <w:rPr>
                <w:rFonts w:ascii="Tahoma" w:hAnsi="Tahoma" w:cs="Tahoma"/>
                <w:i/>
                <w:iCs/>
              </w:rPr>
            </w:pPr>
            <w:r w:rsidRPr="00584B0C">
              <w:rPr>
                <w:rFonts w:ascii="Tahoma" w:hAnsi="Tahoma" w:cs="Tahoma"/>
                <w:i/>
                <w:iCs/>
              </w:rPr>
              <w:lastRenderedPageBreak/>
              <w:t>Q.(d)</w:t>
            </w:r>
            <w:r w:rsidRPr="00584B0C">
              <w:rPr>
                <w:rFonts w:ascii="Tahoma" w:hAnsi="Tahoma" w:cs="Tahoma"/>
              </w:rPr>
              <w:t xml:space="preserve"> </w:t>
            </w:r>
            <w:r w:rsidRPr="00584B0C">
              <w:rPr>
                <w:rFonts w:ascii="Tahoma" w:hAnsi="Tahoma" w:cs="Tahoma"/>
                <w:i/>
                <w:iCs/>
              </w:rPr>
              <w:t xml:space="preserve">The targeted incentives and the procedural reforms being introduced to expedite the 15th Round of the Open Acreage Licensing Programme (OALP) bidding; and </w:t>
            </w:r>
          </w:p>
        </w:tc>
        <w:tc>
          <w:tcPr>
            <w:tcW w:w="5359" w:type="dxa"/>
            <w:tcBorders>
              <w:top w:val="single" w:sz="4" w:space="0" w:color="auto"/>
              <w:left w:val="single" w:sz="4" w:space="0" w:color="auto"/>
              <w:bottom w:val="single" w:sz="4" w:space="0" w:color="auto"/>
              <w:right w:val="single" w:sz="4" w:space="0" w:color="auto"/>
            </w:tcBorders>
          </w:tcPr>
          <w:p w:rsidR="00F20B37" w:rsidRPr="00584B0C" w:rsidRDefault="00F20B37" w:rsidP="00584B0C">
            <w:pPr>
              <w:spacing w:after="120" w:line="300" w:lineRule="auto"/>
              <w:jc w:val="both"/>
              <w:rPr>
                <w:rFonts w:ascii="Tahoma" w:hAnsi="Tahoma" w:cs="Tahoma"/>
                <w:b/>
                <w:bCs/>
                <w:lang w:val="en-US"/>
              </w:rPr>
            </w:pPr>
            <w:r w:rsidRPr="00584B0C">
              <w:rPr>
                <w:rFonts w:ascii="Tahoma" w:hAnsi="Tahoma" w:cs="Tahoma"/>
                <w:b/>
                <w:lang w:val="en-US"/>
              </w:rPr>
              <w:t>Answer to Q(d):</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p>
          <w:p w:rsidR="00A12362" w:rsidRPr="00584B0C" w:rsidRDefault="00485257" w:rsidP="00584B0C">
            <w:pPr>
              <w:spacing w:after="120" w:line="240" w:lineRule="auto"/>
              <w:jc w:val="both"/>
              <w:rPr>
                <w:rFonts w:ascii="Tahoma" w:hAnsi="Tahoma" w:cs="Tahoma"/>
                <w:lang w:val="en-US"/>
              </w:rPr>
            </w:pPr>
            <w:r w:rsidRPr="00584B0C">
              <w:rPr>
                <w:rFonts w:ascii="Tahoma" w:eastAsia="Times New Roman" w:hAnsi="Tahoma" w:cs="Tahoma"/>
                <w:kern w:val="2"/>
                <w14:ligatures w14:val="standardContextual"/>
              </w:rPr>
              <w:t xml:space="preserve">As far as Oil India Limited (OIL) is concerned, </w:t>
            </w:r>
            <w:r w:rsidR="00584B0C" w:rsidRPr="00584B0C">
              <w:rPr>
                <w:rFonts w:ascii="Tahoma" w:eastAsia="Times New Roman" w:hAnsi="Tahoma" w:cs="Tahoma"/>
                <w:kern w:val="2"/>
                <w14:ligatures w14:val="standardContextual"/>
              </w:rPr>
              <w:t>t</w:t>
            </w:r>
            <w:r w:rsidR="00A12362" w:rsidRPr="00584B0C">
              <w:rPr>
                <w:rFonts w:ascii="Tahoma" w:hAnsi="Tahoma" w:cs="Tahoma"/>
                <w:lang w:val="en-US"/>
              </w:rPr>
              <w:t>he government has not yet publicly announced a “15th Round” of OALP, so there is no official list of targeted incentives or procedural reforms specific to that round in the public domain as of now. However, the direction of recent OALP rounds and upstream reforms gives a clear indication of the types of incentives and procedural streamlining measures being used to expedite bidding, which are likely to continue or deepen in any future 15</w:t>
            </w:r>
            <w:r w:rsidR="00A12362" w:rsidRPr="00584B0C">
              <w:rPr>
                <w:rFonts w:ascii="Tahoma" w:hAnsi="Tahoma" w:cs="Tahoma"/>
                <w:vertAlign w:val="superscript"/>
                <w:lang w:val="en-US"/>
              </w:rPr>
              <w:t>th</w:t>
            </w:r>
            <w:r w:rsidR="00A12362" w:rsidRPr="00584B0C">
              <w:rPr>
                <w:rFonts w:ascii="Tahoma" w:hAnsi="Tahoma" w:cs="Tahoma"/>
                <w:lang w:val="en-US"/>
              </w:rPr>
              <w:t xml:space="preserve"> round. ​</w:t>
            </w:r>
          </w:p>
          <w:p w:rsidR="00A12362" w:rsidRPr="00584B0C" w:rsidRDefault="00A12362" w:rsidP="00584B0C">
            <w:pPr>
              <w:spacing w:after="120" w:line="300" w:lineRule="auto"/>
              <w:jc w:val="both"/>
              <w:rPr>
                <w:rFonts w:ascii="Tahoma" w:hAnsi="Tahoma" w:cs="Tahoma"/>
                <w:b/>
                <w:bCs/>
                <w:lang w:val="en-US"/>
              </w:rPr>
            </w:pPr>
            <w:r w:rsidRPr="00584B0C">
              <w:rPr>
                <w:rFonts w:ascii="Tahoma" w:hAnsi="Tahoma" w:cs="Tahoma"/>
                <w:b/>
                <w:bCs/>
                <w:lang w:val="en-US"/>
              </w:rPr>
              <w:t>Current OALP incentive direction</w:t>
            </w:r>
          </w:p>
          <w:p w:rsidR="00A12362" w:rsidRPr="00584B0C" w:rsidRDefault="00A12362" w:rsidP="00584B0C">
            <w:pPr>
              <w:spacing w:after="120" w:line="300" w:lineRule="auto"/>
              <w:jc w:val="both"/>
              <w:rPr>
                <w:rFonts w:ascii="Tahoma" w:hAnsi="Tahoma" w:cs="Tahoma"/>
                <w:lang w:val="en-US"/>
              </w:rPr>
            </w:pPr>
            <w:r w:rsidRPr="00584B0C">
              <w:rPr>
                <w:rFonts w:ascii="Tahoma" w:hAnsi="Tahoma" w:cs="Tahoma"/>
                <w:lang w:val="en-US"/>
              </w:rPr>
              <w:t>Recent OALP rounds under the HELP regime have relied on a stable basket of fiscal and contractual incentives aimed at improving project economics and reducing regulatory friction. Key elements include: ​</w:t>
            </w:r>
          </w:p>
          <w:p w:rsidR="00A12362" w:rsidRPr="00584B0C" w:rsidRDefault="00A12362" w:rsidP="00584B0C">
            <w:pPr>
              <w:pStyle w:val="ListParagraph"/>
              <w:numPr>
                <w:ilvl w:val="0"/>
                <w:numId w:val="1"/>
              </w:numPr>
              <w:tabs>
                <w:tab w:val="clear" w:pos="720"/>
              </w:tabs>
              <w:spacing w:after="120" w:line="300" w:lineRule="auto"/>
              <w:ind w:left="900" w:hanging="450"/>
              <w:contextualSpacing w:val="0"/>
              <w:jc w:val="both"/>
              <w:rPr>
                <w:rFonts w:ascii="Tahoma" w:hAnsi="Tahoma" w:cs="Tahoma"/>
                <w:lang w:val="en-US"/>
              </w:rPr>
            </w:pPr>
            <w:r w:rsidRPr="00584B0C">
              <w:rPr>
                <w:rFonts w:ascii="Tahoma" w:hAnsi="Tahoma" w:cs="Tahoma"/>
                <w:lang w:val="en-US"/>
              </w:rPr>
              <w:t xml:space="preserve">Reduced royalty rates, no oil </w:t>
            </w:r>
            <w:proofErr w:type="spellStart"/>
            <w:r w:rsidRPr="00584B0C">
              <w:rPr>
                <w:rFonts w:ascii="Tahoma" w:hAnsi="Tahoma" w:cs="Tahoma"/>
                <w:lang w:val="en-US"/>
              </w:rPr>
              <w:t>cess</w:t>
            </w:r>
            <w:proofErr w:type="spellEnd"/>
            <w:r w:rsidRPr="00584B0C">
              <w:rPr>
                <w:rFonts w:ascii="Tahoma" w:hAnsi="Tahoma" w:cs="Tahoma"/>
                <w:lang w:val="en-US"/>
              </w:rPr>
              <w:t>, and a revenue</w:t>
            </w:r>
            <w:r w:rsidRPr="00584B0C">
              <w:rPr>
                <w:rFonts w:ascii="Tahoma" w:hAnsi="Tahoma" w:cs="Tahoma"/>
                <w:lang w:val="en-US"/>
              </w:rPr>
              <w:noBreakHyphen/>
              <w:t>sharing model instead of cost</w:t>
            </w:r>
            <w:r w:rsidRPr="00584B0C">
              <w:rPr>
                <w:rFonts w:ascii="Tahoma" w:hAnsi="Tahoma" w:cs="Tahoma"/>
                <w:lang w:val="en-US"/>
              </w:rPr>
              <w:noBreakHyphen/>
              <w:t xml:space="preserve">recovery </w:t>
            </w:r>
            <w:proofErr w:type="gramStart"/>
            <w:r w:rsidRPr="00584B0C">
              <w:rPr>
                <w:rFonts w:ascii="Tahoma" w:hAnsi="Tahoma" w:cs="Tahoma"/>
                <w:lang w:val="en-US"/>
              </w:rPr>
              <w:t>PSCs.​</w:t>
            </w:r>
            <w:proofErr w:type="gramEnd"/>
          </w:p>
          <w:p w:rsidR="00A12362" w:rsidRPr="00584B0C" w:rsidRDefault="00A12362" w:rsidP="00584B0C">
            <w:pPr>
              <w:pStyle w:val="ListParagraph"/>
              <w:numPr>
                <w:ilvl w:val="0"/>
                <w:numId w:val="1"/>
              </w:numPr>
              <w:tabs>
                <w:tab w:val="clear" w:pos="720"/>
              </w:tabs>
              <w:spacing w:after="120" w:line="300" w:lineRule="auto"/>
              <w:ind w:left="900" w:hanging="450"/>
              <w:contextualSpacing w:val="0"/>
              <w:jc w:val="both"/>
              <w:rPr>
                <w:rFonts w:ascii="Tahoma" w:hAnsi="Tahoma" w:cs="Tahoma"/>
                <w:lang w:val="en-US"/>
              </w:rPr>
            </w:pPr>
            <w:r w:rsidRPr="00584B0C">
              <w:rPr>
                <w:rFonts w:ascii="Tahoma" w:hAnsi="Tahoma" w:cs="Tahoma"/>
                <w:lang w:val="en-US"/>
              </w:rPr>
              <w:t xml:space="preserve">Uniform, single </w:t>
            </w:r>
            <w:proofErr w:type="spellStart"/>
            <w:r w:rsidRPr="00584B0C">
              <w:rPr>
                <w:rFonts w:ascii="Tahoma" w:hAnsi="Tahoma" w:cs="Tahoma"/>
                <w:lang w:val="en-US"/>
              </w:rPr>
              <w:t>licence</w:t>
            </w:r>
            <w:proofErr w:type="spellEnd"/>
            <w:r w:rsidRPr="00584B0C">
              <w:rPr>
                <w:rFonts w:ascii="Tahoma" w:hAnsi="Tahoma" w:cs="Tahoma"/>
                <w:lang w:val="en-US"/>
              </w:rPr>
              <w:t xml:space="preserve"> for all hydrocarbon types with full marketing and pricing freedom, including exploration rights over the entire retained contract area for the full </w:t>
            </w:r>
            <w:proofErr w:type="gramStart"/>
            <w:r w:rsidRPr="00584B0C">
              <w:rPr>
                <w:rFonts w:ascii="Tahoma" w:hAnsi="Tahoma" w:cs="Tahoma"/>
                <w:lang w:val="en-US"/>
              </w:rPr>
              <w:t>term.​</w:t>
            </w:r>
            <w:proofErr w:type="gramEnd"/>
          </w:p>
          <w:p w:rsidR="00A12362" w:rsidRPr="00584B0C" w:rsidRDefault="00A12362" w:rsidP="00584B0C">
            <w:pPr>
              <w:pStyle w:val="ListParagraph"/>
              <w:numPr>
                <w:ilvl w:val="0"/>
                <w:numId w:val="1"/>
              </w:numPr>
              <w:tabs>
                <w:tab w:val="clear" w:pos="720"/>
              </w:tabs>
              <w:spacing w:after="120" w:line="300" w:lineRule="auto"/>
              <w:ind w:left="900" w:hanging="450"/>
              <w:contextualSpacing w:val="0"/>
              <w:jc w:val="both"/>
              <w:rPr>
                <w:rFonts w:ascii="Tahoma" w:hAnsi="Tahoma" w:cs="Tahoma"/>
                <w:lang w:val="en-US"/>
              </w:rPr>
            </w:pPr>
            <w:r w:rsidRPr="00584B0C">
              <w:rPr>
                <w:rFonts w:ascii="Tahoma" w:hAnsi="Tahoma" w:cs="Tahoma"/>
                <w:lang w:val="en-US"/>
              </w:rPr>
              <w:t>Concessional royalty for early commercial production and no revenue</w:t>
            </w:r>
            <w:r w:rsidRPr="00584B0C">
              <w:rPr>
                <w:rFonts w:ascii="Tahoma" w:hAnsi="Tahoma" w:cs="Tahoma"/>
                <w:lang w:val="en-US"/>
              </w:rPr>
              <w:noBreakHyphen/>
              <w:t>share based bidding in Category II &amp; III basins except in limited windfall situations, which lowers front</w:t>
            </w:r>
            <w:r w:rsidRPr="00584B0C">
              <w:rPr>
                <w:rFonts w:ascii="Tahoma" w:hAnsi="Tahoma" w:cs="Tahoma"/>
                <w:lang w:val="en-US"/>
              </w:rPr>
              <w:noBreakHyphen/>
              <w:t xml:space="preserve">end risk and improves bid attractiveness in frontier </w:t>
            </w:r>
            <w:proofErr w:type="gramStart"/>
            <w:r w:rsidRPr="00584B0C">
              <w:rPr>
                <w:rFonts w:ascii="Tahoma" w:hAnsi="Tahoma" w:cs="Tahoma"/>
                <w:lang w:val="en-US"/>
              </w:rPr>
              <w:t>basins.​</w:t>
            </w:r>
            <w:proofErr w:type="gramEnd"/>
          </w:p>
          <w:p w:rsidR="00A12362" w:rsidRPr="00584B0C" w:rsidRDefault="00A12362" w:rsidP="00584B0C">
            <w:pPr>
              <w:spacing w:after="120" w:line="300" w:lineRule="auto"/>
              <w:jc w:val="both"/>
              <w:rPr>
                <w:rFonts w:ascii="Tahoma" w:hAnsi="Tahoma" w:cs="Tahoma"/>
              </w:rPr>
            </w:pPr>
            <w:r w:rsidRPr="00584B0C">
              <w:rPr>
                <w:rFonts w:ascii="Tahoma" w:hAnsi="Tahoma" w:cs="Tahoma"/>
                <w:lang w:val="en-US"/>
              </w:rPr>
              <w:t xml:space="preserve">Presently, </w:t>
            </w:r>
            <w:r w:rsidRPr="00584B0C">
              <w:rPr>
                <w:rFonts w:ascii="Tahoma" w:hAnsi="Tahoma" w:cs="Tahoma"/>
              </w:rPr>
              <w:t>Government has launched the OALP Bid Round-X on 11</w:t>
            </w:r>
            <w:r w:rsidRPr="00584B0C">
              <w:rPr>
                <w:rFonts w:ascii="Tahoma" w:hAnsi="Tahoma" w:cs="Tahoma"/>
                <w:vertAlign w:val="superscript"/>
              </w:rPr>
              <w:t>th</w:t>
            </w:r>
            <w:r w:rsidRPr="00584B0C">
              <w:rPr>
                <w:rFonts w:ascii="Tahoma" w:hAnsi="Tahoma" w:cs="Tahoma"/>
              </w:rPr>
              <w:t xml:space="preserve"> February 2025. This is the largest bid round so far in terms of acreage offered in a single OALP bid round under the HELP regime. In this bid round 25 blocks, with an area of approximately 1,91,986.21 sq. km. are on offer to the </w:t>
            </w:r>
            <w:r w:rsidRPr="00584B0C">
              <w:rPr>
                <w:rFonts w:ascii="Tahoma" w:hAnsi="Tahoma" w:cs="Tahoma"/>
              </w:rPr>
              <w:lastRenderedPageBreak/>
              <w:t xml:space="preserve">investor community. </w:t>
            </w:r>
            <w:r w:rsidRPr="00584B0C">
              <w:rPr>
                <w:rFonts w:ascii="Tahoma" w:hAnsi="Tahoma" w:cs="Tahoma"/>
                <w:lang w:val="en-US"/>
              </w:rPr>
              <w:t>The Notice Inviting Offer and Model Revenue Sharing contract is Awaited.</w:t>
            </w:r>
          </w:p>
        </w:tc>
      </w:tr>
      <w:tr w:rsidR="00343945" w:rsidRPr="00584B0C" w:rsidTr="00485257">
        <w:trPr>
          <w:trHeight w:val="1230"/>
        </w:trPr>
        <w:tc>
          <w:tcPr>
            <w:tcW w:w="4391" w:type="dxa"/>
            <w:tcBorders>
              <w:top w:val="single" w:sz="4" w:space="0" w:color="auto"/>
              <w:left w:val="single" w:sz="4" w:space="0" w:color="auto"/>
              <w:bottom w:val="single" w:sz="4" w:space="0" w:color="auto"/>
              <w:right w:val="single" w:sz="4" w:space="0" w:color="auto"/>
            </w:tcBorders>
          </w:tcPr>
          <w:p w:rsidR="00343945" w:rsidRPr="00584B0C" w:rsidRDefault="00343945" w:rsidP="00343945">
            <w:pPr>
              <w:jc w:val="both"/>
              <w:rPr>
                <w:rFonts w:ascii="Tahoma" w:hAnsi="Tahoma" w:cs="Tahoma"/>
                <w:i/>
                <w:iCs/>
              </w:rPr>
            </w:pPr>
            <w:r w:rsidRPr="00584B0C">
              <w:rPr>
                <w:rFonts w:ascii="Tahoma" w:hAnsi="Tahoma" w:cs="Tahoma"/>
                <w:i/>
                <w:iCs/>
              </w:rPr>
              <w:lastRenderedPageBreak/>
              <w:t>Q.(e) The manner in which these measures are expected to reverse production shortfalls and bolster India’s energy security?</w:t>
            </w:r>
          </w:p>
        </w:tc>
        <w:tc>
          <w:tcPr>
            <w:tcW w:w="5359" w:type="dxa"/>
            <w:tcBorders>
              <w:top w:val="single" w:sz="4" w:space="0" w:color="auto"/>
              <w:left w:val="single" w:sz="4" w:space="0" w:color="auto"/>
              <w:bottom w:val="single" w:sz="4" w:space="0" w:color="auto"/>
              <w:right w:val="single" w:sz="4" w:space="0" w:color="auto"/>
            </w:tcBorders>
          </w:tcPr>
          <w:p w:rsidR="005910E6" w:rsidRPr="00584B0C" w:rsidRDefault="005910E6" w:rsidP="00584B0C">
            <w:pPr>
              <w:spacing w:after="120" w:line="240" w:lineRule="auto"/>
              <w:jc w:val="both"/>
              <w:rPr>
                <w:rFonts w:ascii="Tahoma" w:eastAsia="Times New Roman" w:hAnsi="Tahoma" w:cs="Tahoma"/>
                <w:b/>
                <w:bCs/>
                <w:kern w:val="2"/>
                <w14:ligatures w14:val="standardContextual"/>
              </w:rPr>
            </w:pPr>
            <w:r w:rsidRPr="00584B0C">
              <w:rPr>
                <w:rFonts w:ascii="Tahoma" w:hAnsi="Tahoma" w:cs="Tahoma"/>
                <w:b/>
                <w:lang w:val="en-US"/>
              </w:rPr>
              <w:t>Answer to Q(e):</w:t>
            </w:r>
            <w:r w:rsidRPr="00584B0C">
              <w:rPr>
                <w:rFonts w:ascii="Tahoma" w:hAnsi="Tahoma" w:cs="Tahoma"/>
                <w:lang w:val="en-US"/>
              </w:rPr>
              <w:t xml:space="preserve"> </w:t>
            </w:r>
            <w:proofErr w:type="spellStart"/>
            <w:r w:rsidRPr="00584B0C">
              <w:rPr>
                <w:rFonts w:ascii="Tahoma" w:eastAsia="Times New Roman" w:hAnsi="Tahoma" w:cs="Tahoma"/>
                <w:b/>
                <w:bCs/>
                <w:kern w:val="2"/>
                <w14:ligatures w14:val="standardContextual"/>
              </w:rPr>
              <w:t>MoPNG</w:t>
            </w:r>
            <w:proofErr w:type="spellEnd"/>
            <w:r w:rsidRPr="00584B0C">
              <w:rPr>
                <w:rFonts w:ascii="Tahoma" w:eastAsia="Times New Roman" w:hAnsi="Tahoma" w:cs="Tahoma"/>
                <w:b/>
                <w:bCs/>
                <w:kern w:val="2"/>
                <w14:ligatures w14:val="standardContextual"/>
              </w:rPr>
              <w:t xml:space="preserve"> may reply suitably. </w:t>
            </w:r>
          </w:p>
          <w:p w:rsidR="00F20B37" w:rsidRPr="00584B0C" w:rsidRDefault="005910E6" w:rsidP="00584B0C">
            <w:pPr>
              <w:spacing w:after="120" w:line="240" w:lineRule="auto"/>
              <w:jc w:val="both"/>
              <w:rPr>
                <w:rFonts w:ascii="Tahoma" w:hAnsi="Tahoma" w:cs="Tahoma"/>
                <w:lang w:val="en-US"/>
              </w:rPr>
            </w:pPr>
            <w:r w:rsidRPr="00584B0C">
              <w:rPr>
                <w:rFonts w:ascii="Tahoma" w:eastAsia="Times New Roman" w:hAnsi="Tahoma" w:cs="Tahoma"/>
                <w:kern w:val="2"/>
                <w14:ligatures w14:val="standardContextual"/>
              </w:rPr>
              <w:t>As far as Oil India Limited (OIL) is concerned,</w:t>
            </w:r>
            <w:r w:rsidR="00584B0C">
              <w:rPr>
                <w:rFonts w:ascii="Tahoma" w:eastAsia="Times New Roman" w:hAnsi="Tahoma" w:cs="Tahoma"/>
                <w:kern w:val="2"/>
                <w14:ligatures w14:val="standardContextual"/>
              </w:rPr>
              <w:t xml:space="preserve"> </w:t>
            </w:r>
            <w:bookmarkStart w:id="0" w:name="_GoBack"/>
            <w:bookmarkEnd w:id="0"/>
            <w:r w:rsidR="00584B0C" w:rsidRPr="00584B0C">
              <w:rPr>
                <w:rFonts w:ascii="Tahoma" w:eastAsia="Times New Roman" w:hAnsi="Tahoma" w:cs="Tahoma"/>
                <w:kern w:val="2"/>
                <w14:ligatures w14:val="standardContextual"/>
              </w:rPr>
              <w:t>t</w:t>
            </w:r>
            <w:r w:rsidR="00F20B37" w:rsidRPr="00584B0C">
              <w:rPr>
                <w:rFonts w:ascii="Tahoma" w:hAnsi="Tahoma" w:cs="Tahoma"/>
              </w:rPr>
              <w:t>he Draft Petroleum and Natural Gas Rules, 2025 seek to modernise the upstream framework under HELP and are expected to aid increased domestic production and energy security by boosting investor confidence, improving infrastructure utilisation and strengthening environmental safeguards. These measures work mainly by easing doing business for E&amp;P operators, providing greater fiscal and regulatory stability through clearer lease, unitisation and dispute</w:t>
            </w:r>
            <w:r w:rsidR="00F20B37" w:rsidRPr="00584B0C">
              <w:rPr>
                <w:rFonts w:ascii="Tahoma" w:hAnsi="Tahoma" w:cs="Tahoma"/>
              </w:rPr>
              <w:noBreakHyphen/>
              <w:t>resolution provisions, and promoting better reservoir and infrastructure management, including access to under</w:t>
            </w:r>
            <w:r w:rsidR="00F20B37" w:rsidRPr="00584B0C">
              <w:rPr>
                <w:rFonts w:ascii="Tahoma" w:hAnsi="Tahoma" w:cs="Tahoma"/>
              </w:rPr>
              <w:noBreakHyphen/>
              <w:t>utilised facilities. They also permit integration of renewable and low</w:t>
            </w:r>
            <w:r w:rsidR="00F20B37" w:rsidRPr="00584B0C">
              <w:rPr>
                <w:rFonts w:ascii="Tahoma" w:hAnsi="Tahoma" w:cs="Tahoma"/>
              </w:rPr>
              <w:noBreakHyphen/>
              <w:t>carbon projects, including carbon capture and storage, within hydrocarbon acreages, which can lower operating costs, free more hydrocarbons for sale rather than captive consumption, and extend the economic life of producing fields. Collectively, these reforms are intended to make upstream investment more attractive, faster and more efficient, thereby supporting sustained exploration, improved recovery from existing fields and a progressive narrowing of the hydrocarbon import gap.</w:t>
            </w:r>
          </w:p>
          <w:p w:rsidR="00F20B37" w:rsidRPr="00584B0C" w:rsidRDefault="00F20B37" w:rsidP="00584B0C">
            <w:pPr>
              <w:spacing w:after="120" w:line="240" w:lineRule="auto"/>
              <w:jc w:val="both"/>
              <w:rPr>
                <w:rFonts w:ascii="Tahoma" w:hAnsi="Tahoma" w:cs="Tahoma"/>
                <w:b/>
                <w:lang w:val="en-US"/>
              </w:rPr>
            </w:pPr>
          </w:p>
        </w:tc>
      </w:tr>
    </w:tbl>
    <w:p w:rsidR="00485257" w:rsidRPr="00584B0C" w:rsidRDefault="00485257" w:rsidP="00485257">
      <w:pPr>
        <w:spacing w:after="0"/>
        <w:ind w:right="-482"/>
        <w:jc w:val="right"/>
        <w:rPr>
          <w:rFonts w:ascii="Tahoma" w:hAnsi="Tahoma" w:cs="Tahoma"/>
          <w:lang w:val="en-US"/>
        </w:rPr>
      </w:pPr>
    </w:p>
    <w:p w:rsidR="00485257" w:rsidRPr="00584B0C" w:rsidRDefault="00485257" w:rsidP="00485257">
      <w:pPr>
        <w:spacing w:after="0"/>
        <w:ind w:right="-482"/>
        <w:jc w:val="right"/>
        <w:rPr>
          <w:rFonts w:ascii="Tahoma" w:hAnsi="Tahoma" w:cs="Tahoma"/>
          <w:lang w:val="en-US"/>
        </w:rPr>
      </w:pPr>
      <w:r w:rsidRPr="00584B0C">
        <w:rPr>
          <w:rFonts w:ascii="Tahoma" w:hAnsi="Tahoma" w:cs="Tahoma"/>
          <w:lang w:val="en-US"/>
        </w:rPr>
        <w:t>Yours faithfully,</w:t>
      </w:r>
    </w:p>
    <w:p w:rsidR="00485257" w:rsidRPr="00584B0C" w:rsidRDefault="00485257" w:rsidP="00485257">
      <w:pPr>
        <w:spacing w:after="0" w:line="240" w:lineRule="auto"/>
        <w:ind w:right="-482"/>
        <w:jc w:val="right"/>
        <w:rPr>
          <w:rFonts w:ascii="Tahoma" w:hAnsi="Tahoma" w:cs="Tahoma"/>
          <w:u w:val="single"/>
          <w:lang w:val="en-US"/>
        </w:rPr>
      </w:pPr>
      <w:r w:rsidRPr="00584B0C">
        <w:rPr>
          <w:rFonts w:ascii="Tahoma" w:hAnsi="Tahoma" w:cs="Tahoma"/>
          <w:u w:val="single"/>
          <w:lang w:val="en-US"/>
        </w:rPr>
        <w:t>OIL INDIA LIMITED</w:t>
      </w:r>
    </w:p>
    <w:p w:rsidR="00485257" w:rsidRPr="00584B0C" w:rsidRDefault="00485257" w:rsidP="00485257">
      <w:pPr>
        <w:spacing w:after="0" w:line="240" w:lineRule="auto"/>
        <w:ind w:right="-482"/>
        <w:jc w:val="right"/>
        <w:rPr>
          <w:rFonts w:ascii="Tahoma" w:hAnsi="Tahoma" w:cs="Tahoma"/>
          <w:lang w:val="en-US"/>
        </w:rPr>
      </w:pPr>
    </w:p>
    <w:p w:rsidR="00485257" w:rsidRPr="00584B0C" w:rsidRDefault="00485257" w:rsidP="00485257">
      <w:pPr>
        <w:spacing w:after="0" w:line="240" w:lineRule="auto"/>
        <w:ind w:right="-482"/>
        <w:jc w:val="right"/>
        <w:rPr>
          <w:rFonts w:ascii="Tahoma" w:hAnsi="Tahoma" w:cs="Tahoma"/>
          <w:b/>
          <w:lang w:val="en-US"/>
        </w:rPr>
      </w:pPr>
    </w:p>
    <w:p w:rsidR="00485257" w:rsidRPr="00584B0C" w:rsidRDefault="00485257" w:rsidP="00485257">
      <w:pPr>
        <w:spacing w:after="0" w:line="240" w:lineRule="auto"/>
        <w:ind w:right="-482"/>
        <w:jc w:val="right"/>
        <w:rPr>
          <w:rFonts w:ascii="Tahoma" w:hAnsi="Tahoma" w:cs="Tahoma"/>
          <w:b/>
          <w:lang w:val="en-US"/>
        </w:rPr>
      </w:pPr>
      <w:r w:rsidRPr="00584B0C">
        <w:rPr>
          <w:rFonts w:ascii="Tahoma" w:hAnsi="Tahoma" w:cs="Tahoma"/>
          <w:b/>
          <w:lang w:val="en-US"/>
        </w:rPr>
        <w:t>(Kishore Kumar Das)</w:t>
      </w:r>
    </w:p>
    <w:p w:rsidR="00485257" w:rsidRPr="00584B0C" w:rsidRDefault="00485257" w:rsidP="00485257">
      <w:pPr>
        <w:spacing w:after="0" w:line="240" w:lineRule="auto"/>
        <w:ind w:right="-482"/>
        <w:jc w:val="right"/>
        <w:rPr>
          <w:rFonts w:ascii="Tahoma" w:hAnsi="Tahoma" w:cs="Tahoma"/>
          <w:lang w:val="en-US"/>
        </w:rPr>
      </w:pPr>
      <w:r w:rsidRPr="00584B0C">
        <w:rPr>
          <w:rFonts w:ascii="Tahoma" w:hAnsi="Tahoma" w:cs="Tahoma"/>
          <w:lang w:val="en-US"/>
        </w:rPr>
        <w:t>Chief General Manager (Planning)</w:t>
      </w:r>
    </w:p>
    <w:p w:rsidR="00485257" w:rsidRPr="00584B0C" w:rsidRDefault="00485257" w:rsidP="00485257">
      <w:pPr>
        <w:spacing w:after="0"/>
        <w:ind w:right="-482"/>
        <w:jc w:val="right"/>
        <w:rPr>
          <w:rFonts w:ascii="Tahoma" w:hAnsi="Tahoma" w:cs="Tahoma"/>
          <w:b/>
          <w:u w:val="single"/>
          <w:lang w:val="en-US"/>
        </w:rPr>
      </w:pPr>
      <w:r w:rsidRPr="00584B0C">
        <w:rPr>
          <w:rFonts w:ascii="Tahoma" w:hAnsi="Tahoma" w:cs="Tahoma"/>
          <w:b/>
          <w:u w:val="single"/>
          <w:lang w:val="en-US"/>
        </w:rPr>
        <w:t>For Chairman &amp; Managing Director</w:t>
      </w:r>
    </w:p>
    <w:p w:rsidR="00485257" w:rsidRPr="00584B0C" w:rsidRDefault="00485257" w:rsidP="00485257">
      <w:pPr>
        <w:rPr>
          <w:rFonts w:ascii="Tahoma" w:hAnsi="Tahoma" w:cs="Tahoma"/>
        </w:rPr>
      </w:pPr>
    </w:p>
    <w:p w:rsidR="00485257" w:rsidRPr="00584B0C" w:rsidRDefault="00485257" w:rsidP="00485257">
      <w:pPr>
        <w:pStyle w:val="Default"/>
        <w:rPr>
          <w:rFonts w:ascii="Tahoma" w:hAnsi="Tahoma" w:cs="Tahoma"/>
          <w:sz w:val="22"/>
          <w:szCs w:val="22"/>
        </w:rPr>
      </w:pPr>
    </w:p>
    <w:p w:rsidR="00232EB3" w:rsidRPr="00584B0C" w:rsidRDefault="00485257" w:rsidP="00485257">
      <w:pPr>
        <w:rPr>
          <w:rFonts w:ascii="Tahoma" w:hAnsi="Tahoma" w:cs="Tahoma"/>
        </w:rPr>
      </w:pPr>
      <w:r w:rsidRPr="00584B0C">
        <w:rPr>
          <w:rFonts w:ascii="Tahoma" w:hAnsi="Tahoma" w:cs="Tahoma"/>
        </w:rPr>
        <w:t xml:space="preserve"> </w:t>
      </w:r>
    </w:p>
    <w:sectPr w:rsidR="00232EB3" w:rsidRPr="00584B0C" w:rsidSect="00343945">
      <w:pgSz w:w="12240" w:h="15840"/>
      <w:pgMar w:top="144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E929E2"/>
    <w:multiLevelType w:val="multilevel"/>
    <w:tmpl w:val="C3866980"/>
    <w:lvl w:ilvl="0">
      <w:start w:val="1"/>
      <w:numFmt w:val="decimal"/>
      <w:lvlText w:val="%1."/>
      <w:lvlJc w:val="left"/>
      <w:pPr>
        <w:tabs>
          <w:tab w:val="num" w:pos="720"/>
        </w:tabs>
        <w:ind w:left="720" w:hanging="360"/>
      </w:pPr>
      <w:rPr>
        <w:rFonts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57"/>
    <w:rsid w:val="00232EB3"/>
    <w:rsid w:val="00343945"/>
    <w:rsid w:val="00485257"/>
    <w:rsid w:val="00535CE3"/>
    <w:rsid w:val="00584B0C"/>
    <w:rsid w:val="005910E6"/>
    <w:rsid w:val="00A12362"/>
    <w:rsid w:val="00BC0017"/>
    <w:rsid w:val="00CA2289"/>
    <w:rsid w:val="00D95162"/>
    <w:rsid w:val="00F20B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DB7E"/>
  <w15:chartTrackingRefBased/>
  <w15:docId w15:val="{6CA413B4-3B28-40AF-8D7B-32518FC2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5257"/>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5257"/>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8525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BC0017"/>
    <w:pPr>
      <w:spacing w:after="160" w:line="259" w:lineRule="auto"/>
      <w:ind w:left="720"/>
      <w:contextualSpacing/>
    </w:pPr>
    <w:rPr>
      <w:kern w:val="2"/>
      <w14:ligatures w14:val="standardContextual"/>
    </w:rPr>
  </w:style>
  <w:style w:type="paragraph" w:styleId="BalloonText">
    <w:name w:val="Balloon Text"/>
    <w:basedOn w:val="Normal"/>
    <w:link w:val="BalloonTextChar"/>
    <w:uiPriority w:val="99"/>
    <w:semiHidden/>
    <w:unhideWhenUsed/>
    <w:rsid w:val="00584B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B0C"/>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98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2025-12-11T12:11:00Z</cp:lastPrinted>
  <dcterms:created xsi:type="dcterms:W3CDTF">2025-12-11T12:22:00Z</dcterms:created>
  <dcterms:modified xsi:type="dcterms:W3CDTF">2025-12-11T12:22:00Z</dcterms:modified>
</cp:coreProperties>
</file>