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17F1A8" w14:textId="419EA5DA" w:rsidR="001E648F" w:rsidRDefault="001E648F" w:rsidP="00F270A6">
      <w:pPr>
        <w:spacing w:after="0"/>
        <w:ind w:right="-392"/>
        <w:rPr>
          <w:rFonts w:ascii="Albertus MT Lt" w:hAnsi="Albertus MT Lt" w:cs="Tahoma"/>
          <w:b/>
          <w:lang w:val="en-US"/>
        </w:rPr>
      </w:pPr>
    </w:p>
    <w:p w14:paraId="04CD3DA4" w14:textId="77777777" w:rsidR="008C1FAB" w:rsidRDefault="008C1FAB" w:rsidP="00F270A6">
      <w:pPr>
        <w:spacing w:after="0"/>
        <w:ind w:right="-392"/>
        <w:rPr>
          <w:rFonts w:ascii="Tahoma" w:hAnsi="Tahoma" w:cs="Tahoma"/>
          <w:b/>
          <w:lang w:val="en-US"/>
        </w:rPr>
      </w:pPr>
    </w:p>
    <w:p w14:paraId="50068719" w14:textId="77777777" w:rsidR="008C1FAB" w:rsidRDefault="008C1FAB" w:rsidP="00F270A6">
      <w:pPr>
        <w:spacing w:after="0"/>
        <w:ind w:right="-392"/>
        <w:rPr>
          <w:rFonts w:ascii="Tahoma" w:hAnsi="Tahoma" w:cs="Tahoma"/>
          <w:b/>
          <w:lang w:val="en-US"/>
        </w:rPr>
      </w:pPr>
    </w:p>
    <w:p w14:paraId="4A5DFAB2" w14:textId="3090C4CE" w:rsidR="008C1FAB" w:rsidRDefault="008C1FAB" w:rsidP="00F270A6">
      <w:pPr>
        <w:spacing w:after="0"/>
        <w:ind w:right="-392"/>
        <w:rPr>
          <w:rFonts w:ascii="Tahoma" w:hAnsi="Tahoma" w:cs="Tahoma"/>
          <w:b/>
          <w:lang w:val="en-US"/>
        </w:rPr>
      </w:pPr>
    </w:p>
    <w:p w14:paraId="3CDAF092" w14:textId="364BF3CC" w:rsidR="005B0288" w:rsidRDefault="005B0288" w:rsidP="00F270A6">
      <w:pPr>
        <w:spacing w:after="0"/>
        <w:ind w:right="-392"/>
        <w:rPr>
          <w:rFonts w:ascii="Tahoma" w:hAnsi="Tahoma" w:cs="Tahoma"/>
          <w:b/>
          <w:lang w:val="en-US"/>
        </w:rPr>
      </w:pPr>
    </w:p>
    <w:p w14:paraId="1AD49C06" w14:textId="77777777" w:rsidR="005B0288" w:rsidRDefault="005B0288" w:rsidP="00F270A6">
      <w:pPr>
        <w:spacing w:after="0"/>
        <w:ind w:right="-392"/>
        <w:rPr>
          <w:rFonts w:ascii="Tahoma" w:hAnsi="Tahoma" w:cs="Tahoma"/>
          <w:b/>
          <w:lang w:val="en-US"/>
        </w:rPr>
      </w:pPr>
      <w:bookmarkStart w:id="0" w:name="_GoBack"/>
      <w:bookmarkEnd w:id="0"/>
    </w:p>
    <w:p w14:paraId="1FE3B3BF" w14:textId="77777777" w:rsidR="008C1FAB" w:rsidRDefault="008C1FAB" w:rsidP="00F270A6">
      <w:pPr>
        <w:spacing w:after="0"/>
        <w:ind w:right="-392"/>
        <w:rPr>
          <w:rFonts w:ascii="Tahoma" w:hAnsi="Tahoma" w:cs="Tahoma"/>
          <w:b/>
          <w:lang w:val="en-US"/>
        </w:rPr>
      </w:pPr>
    </w:p>
    <w:p w14:paraId="0C934999" w14:textId="75AF8AD3" w:rsidR="00BC4C9F"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3A12FC">
        <w:rPr>
          <w:rFonts w:ascii="Tahoma" w:hAnsi="Tahoma" w:cs="Tahoma"/>
          <w:b/>
          <w:lang w:val="en-US"/>
        </w:rPr>
        <w:t>38</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8C1FAB">
        <w:rPr>
          <w:rFonts w:ascii="Tahoma" w:hAnsi="Tahoma" w:cs="Tahoma"/>
          <w:b/>
          <w:lang w:val="en-US"/>
        </w:rPr>
        <w:t>3</w:t>
      </w:r>
      <w:proofErr w:type="gramStart"/>
      <w:r w:rsidR="008C1FAB" w:rsidRPr="008C1FAB">
        <w:rPr>
          <w:rFonts w:ascii="Tahoma" w:hAnsi="Tahoma" w:cs="Tahoma"/>
          <w:b/>
          <w:vertAlign w:val="superscript"/>
          <w:lang w:val="en-US"/>
        </w:rPr>
        <w:t>rd</w:t>
      </w:r>
      <w:r w:rsidR="008C1FAB">
        <w:rPr>
          <w:rFonts w:ascii="Tahoma" w:hAnsi="Tahoma" w:cs="Tahoma"/>
          <w:b/>
          <w:lang w:val="en-US"/>
        </w:rPr>
        <w:t xml:space="preserve"> </w:t>
      </w:r>
      <w:r w:rsidR="00C87458">
        <w:rPr>
          <w:rFonts w:ascii="Tahoma" w:hAnsi="Tahoma" w:cs="Tahoma"/>
          <w:b/>
          <w:lang w:val="en-US"/>
        </w:rPr>
        <w:t xml:space="preserve"> </w:t>
      </w:r>
      <w:r w:rsidR="00C91BD3">
        <w:rPr>
          <w:rFonts w:ascii="Tahoma" w:hAnsi="Tahoma" w:cs="Tahoma"/>
          <w:b/>
          <w:lang w:val="en-US"/>
        </w:rPr>
        <w:t>December</w:t>
      </w:r>
      <w:proofErr w:type="gramEnd"/>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7AB7DA6F" w14:textId="77777777" w:rsidR="008C1FAB" w:rsidRPr="00040065" w:rsidRDefault="008C1FAB" w:rsidP="00F270A6">
      <w:pPr>
        <w:spacing w:after="0"/>
        <w:ind w:right="-392"/>
        <w:rPr>
          <w:rFonts w:ascii="Tahoma" w:hAnsi="Tahoma" w:cs="Tahoma"/>
          <w:b/>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2E2E268D" w14:textId="4F5143D7" w:rsidR="008C1FAB" w:rsidRDefault="00F61966" w:rsidP="008C1FAB">
      <w:pPr>
        <w:spacing w:after="0"/>
        <w:ind w:right="-482"/>
        <w:rPr>
          <w:rFonts w:ascii="Tahoma" w:hAnsi="Tahoma" w:cs="Tahoma"/>
          <w:b/>
        </w:rPr>
      </w:pPr>
      <w:r w:rsidRPr="00FF5760">
        <w:rPr>
          <w:rFonts w:ascii="Tahoma" w:hAnsi="Tahoma" w:cs="Tahoma"/>
          <w:b/>
          <w:bCs/>
          <w:u w:val="single"/>
          <w:lang w:val="en-US"/>
        </w:rPr>
        <w:t>New Delhi - 110001</w:t>
      </w:r>
      <w:r w:rsidRPr="008C1FAB">
        <w:rPr>
          <w:rFonts w:ascii="Tahoma" w:hAnsi="Tahoma" w:cs="Tahoma"/>
          <w:b/>
          <w:bCs/>
          <w:lang w:val="en-US"/>
        </w:rPr>
        <w:t xml:space="preserve">                           </w:t>
      </w:r>
      <w:r w:rsidR="008C1FAB">
        <w:rPr>
          <w:rFonts w:ascii="Tahoma" w:hAnsi="Tahoma" w:cs="Tahoma"/>
          <w:b/>
          <w:bCs/>
          <w:lang w:val="en-US"/>
        </w:rPr>
        <w:t xml:space="preserve">                                    </w:t>
      </w:r>
      <w:r w:rsidRPr="008C1FAB">
        <w:rPr>
          <w:rFonts w:ascii="Tahoma" w:hAnsi="Tahoma" w:cs="Tahoma"/>
          <w:b/>
          <w:bCs/>
          <w:lang w:val="en-US"/>
        </w:rPr>
        <w:t xml:space="preserve"> </w:t>
      </w:r>
      <w:r w:rsidR="008C1FAB" w:rsidRPr="00040065">
        <w:rPr>
          <w:rFonts w:ascii="Tahoma" w:hAnsi="Tahoma" w:cs="Tahoma"/>
          <w:b/>
          <w:lang w:val="en-US"/>
        </w:rPr>
        <w:t xml:space="preserve">Kind Attn: </w:t>
      </w:r>
      <w:r w:rsidR="003A12FC">
        <w:rPr>
          <w:rFonts w:ascii="Tahoma" w:hAnsi="Tahoma" w:cs="Tahoma"/>
          <w:b/>
          <w:lang w:val="en-US"/>
        </w:rPr>
        <w:t xml:space="preserve">Sh. </w:t>
      </w:r>
      <w:proofErr w:type="spellStart"/>
      <w:r w:rsidR="003A12FC">
        <w:rPr>
          <w:rFonts w:ascii="Tahoma" w:hAnsi="Tahoma" w:cs="Tahoma"/>
          <w:b/>
          <w:lang w:val="en-US"/>
        </w:rPr>
        <w:t>Sailesh</w:t>
      </w:r>
      <w:proofErr w:type="spellEnd"/>
      <w:r w:rsidR="003A12FC">
        <w:rPr>
          <w:rFonts w:ascii="Tahoma" w:hAnsi="Tahoma" w:cs="Tahoma"/>
          <w:b/>
          <w:lang w:val="en-US"/>
        </w:rPr>
        <w:t xml:space="preserve"> Kumar</w:t>
      </w:r>
    </w:p>
    <w:p w14:paraId="6AB7E77F" w14:textId="7A05E7BE" w:rsidR="00F61966" w:rsidRPr="00FF5760" w:rsidRDefault="008C1FAB" w:rsidP="00F61966">
      <w:pPr>
        <w:spacing w:after="0"/>
        <w:ind w:right="-482"/>
        <w:rPr>
          <w:rFonts w:ascii="Tahoma" w:hAnsi="Tahoma" w:cs="Tahoma"/>
          <w:b/>
          <w:bCs/>
          <w:u w:val="single"/>
          <w:lang w:val="en-US"/>
        </w:rPr>
      </w:pP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r>
      <w:r>
        <w:rPr>
          <w:rFonts w:ascii="Tahoma" w:hAnsi="Tahoma" w:cs="Tahoma"/>
          <w:b/>
        </w:rPr>
        <w:tab/>
        <w:t xml:space="preserve">    </w:t>
      </w:r>
      <w:r>
        <w:rPr>
          <w:rFonts w:ascii="Tahoma" w:hAnsi="Tahoma" w:cs="Tahoma"/>
          <w:b/>
        </w:rPr>
        <w:t xml:space="preserve">     </w:t>
      </w:r>
      <w:r>
        <w:rPr>
          <w:rFonts w:ascii="Tahoma" w:hAnsi="Tahoma" w:cs="Tahoma"/>
          <w:b/>
        </w:rPr>
        <w:t xml:space="preserve"> </w:t>
      </w:r>
      <w:r w:rsidRPr="007700CA">
        <w:rPr>
          <w:rFonts w:ascii="Tahoma" w:hAnsi="Tahoma" w:cs="Tahoma"/>
          <w:bCs/>
          <w:u w:val="single"/>
        </w:rPr>
        <w:t xml:space="preserve">Assistant Director </w:t>
      </w:r>
      <w:r w:rsidR="00F61966" w:rsidRPr="00FF5760">
        <w:rPr>
          <w:rFonts w:ascii="Tahoma" w:hAnsi="Tahoma" w:cs="Tahoma"/>
          <w:b/>
          <w:bCs/>
          <w:u w:val="single"/>
          <w:lang w:val="en-US"/>
        </w:rPr>
        <w:t xml:space="preserve">                                                                 </w:t>
      </w:r>
    </w:p>
    <w:p w14:paraId="50C65CDE" w14:textId="22A4C00A" w:rsidR="008C1FAB" w:rsidRDefault="002F2731" w:rsidP="008C1FAB">
      <w:pPr>
        <w:spacing w:after="0"/>
        <w:ind w:right="-482"/>
        <w:jc w:val="center"/>
        <w:rPr>
          <w:rFonts w:ascii="Tahoma" w:hAnsi="Tahoma" w:cs="Tahoma"/>
          <w:bCs/>
          <w:u w:val="single"/>
        </w:rPr>
      </w:pPr>
      <w:r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p>
    <w:p w14:paraId="24F1D845" w14:textId="45DD6EE8"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3A12FC">
        <w:rPr>
          <w:rFonts w:ascii="Tahoma" w:hAnsi="Tahoma" w:cs="Tahoma"/>
          <w:lang w:val="en-US"/>
        </w:rPr>
        <w:t xml:space="preserve"> Lok</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523CE2">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Dy. No.</w:t>
      </w:r>
      <w:r w:rsidR="007700CA">
        <w:rPr>
          <w:rFonts w:ascii="Tahoma" w:hAnsi="Tahoma" w:cs="Tahoma"/>
          <w:lang w:val="en-US"/>
        </w:rPr>
        <w:t xml:space="preserve"> </w:t>
      </w:r>
      <w:r w:rsidR="003A12FC">
        <w:rPr>
          <w:rFonts w:ascii="Tahoma" w:hAnsi="Tahoma" w:cs="Tahoma"/>
          <w:b/>
          <w:bCs/>
          <w:lang w:val="en-US"/>
        </w:rPr>
        <w:t>6907</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3A12FC">
        <w:rPr>
          <w:rFonts w:ascii="Tahoma" w:hAnsi="Tahoma" w:cs="Tahoma"/>
          <w:lang w:val="en-US"/>
        </w:rPr>
        <w:t>11</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2DCFFD76"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8C1FAB">
        <w:rPr>
          <w:rFonts w:ascii="Tahoma" w:hAnsi="Tahoma" w:cs="Tahoma"/>
          <w:lang w:val="en-US"/>
        </w:rPr>
        <w:t xml:space="preserve"> </w:t>
      </w:r>
      <w:r w:rsidR="003A12FC">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F4339A">
        <w:rPr>
          <w:rFonts w:ascii="Tahoma" w:hAnsi="Tahoma" w:cs="Tahoma"/>
          <w:b/>
          <w:bCs/>
        </w:rPr>
        <w:t>Rising Demand for Crude Oil and Petroleum Products</w:t>
      </w:r>
      <w:r w:rsidR="0032755B" w:rsidRPr="00040065">
        <w:rPr>
          <w:rFonts w:ascii="Tahoma" w:hAnsi="Tahoma" w:cs="Tahoma"/>
          <w:b/>
          <w:lang w:val="en-US"/>
        </w:rPr>
        <w:t>”</w:t>
      </w:r>
    </w:p>
    <w:p w14:paraId="3297E00F" w14:textId="046A43D2"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F4339A">
        <w:rPr>
          <w:rFonts w:ascii="Tahoma" w:hAnsi="Tahoma" w:cs="Tahoma"/>
          <w:lang w:val="en-US"/>
        </w:rPr>
        <w:t>03</w:t>
      </w:r>
      <w:r w:rsidRPr="00040065">
        <w:rPr>
          <w:rFonts w:ascii="Tahoma" w:hAnsi="Tahoma" w:cs="Tahoma"/>
          <w:lang w:val="en-US"/>
        </w:rPr>
        <w:t>.</w:t>
      </w:r>
      <w:r w:rsidR="00C87458">
        <w:rPr>
          <w:rFonts w:ascii="Tahoma" w:hAnsi="Tahoma" w:cs="Tahoma"/>
          <w:lang w:val="en-US"/>
        </w:rPr>
        <w:t>1</w:t>
      </w:r>
      <w:r w:rsidR="00F4339A">
        <w:rPr>
          <w:rFonts w:ascii="Tahoma" w:hAnsi="Tahoma" w:cs="Tahoma"/>
          <w:lang w:val="en-US"/>
        </w:rPr>
        <w:t>2</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219F922"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F4339A">
        <w:rPr>
          <w:rFonts w:ascii="Tahoma" w:hAnsi="Tahoma" w:cs="Tahoma"/>
          <w:lang w:val="en-US"/>
        </w:rPr>
        <w:t>Lok</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747" w:type="dxa"/>
        <w:tblLayout w:type="fixed"/>
        <w:tblLook w:val="04A0" w:firstRow="1" w:lastRow="0" w:firstColumn="1" w:lastColumn="0" w:noHBand="0" w:noVBand="1"/>
      </w:tblPr>
      <w:tblGrid>
        <w:gridCol w:w="4531"/>
        <w:gridCol w:w="5216"/>
      </w:tblGrid>
      <w:tr w:rsidR="003E2B73" w:rsidRPr="00040065" w14:paraId="55DD2EA1" w14:textId="77777777" w:rsidTr="008C1FAB">
        <w:trPr>
          <w:trHeight w:val="1208"/>
        </w:trPr>
        <w:tc>
          <w:tcPr>
            <w:tcW w:w="4531" w:type="dxa"/>
          </w:tcPr>
          <w:p w14:paraId="4062B524" w14:textId="55888C5F" w:rsidR="0066060F" w:rsidRPr="00040065" w:rsidRDefault="003E2B73" w:rsidP="008C1FAB">
            <w:pPr>
              <w:pStyle w:val="xxx1585368544xxmsonormal"/>
              <w:shd w:val="clear" w:color="auto" w:fill="FFFFFF"/>
              <w:spacing w:before="0" w:beforeAutospacing="0" w:after="0" w:afterAutospacing="0"/>
              <w:jc w:val="both"/>
              <w:rPr>
                <w:rFonts w:ascii="Tahoma" w:hAnsi="Tahoma" w:cs="Tahoma"/>
                <w:i/>
                <w:iCs/>
              </w:rPr>
            </w:pPr>
            <w:r w:rsidRPr="00040065">
              <w:rPr>
                <w:rFonts w:ascii="Tahoma" w:hAnsi="Tahoma" w:cs="Tahoma"/>
                <w:i/>
                <w:iCs/>
              </w:rPr>
              <w:t>Q.(a)</w:t>
            </w:r>
            <w:r w:rsidR="00FC2310" w:rsidRPr="00040065">
              <w:rPr>
                <w:rFonts w:ascii="Tahoma" w:hAnsi="Tahoma" w:cs="Tahoma"/>
                <w:i/>
                <w:iCs/>
              </w:rPr>
              <w:t xml:space="preserve"> </w:t>
            </w:r>
            <w:r w:rsidR="00EC5335">
              <w:rPr>
                <w:rStyle w:val="xxsize"/>
                <w:rFonts w:ascii="Tahoma" w:hAnsi="Tahoma" w:cs="Tahoma"/>
                <w:i/>
                <w:iCs/>
                <w:color w:val="000000"/>
                <w:sz w:val="22"/>
                <w:szCs w:val="22"/>
                <w:shd w:val="clear" w:color="auto" w:fill="FFFFFF"/>
                <w:lang w:val="en-IN"/>
              </w:rPr>
              <w:t>W</w:t>
            </w:r>
            <w:r w:rsidR="00733425" w:rsidRPr="00733425">
              <w:rPr>
                <w:rStyle w:val="xxsize"/>
                <w:rFonts w:ascii="Tahoma" w:hAnsi="Tahoma" w:cs="Tahoma"/>
                <w:i/>
                <w:iCs/>
                <w:color w:val="000000"/>
                <w:sz w:val="22"/>
                <w:szCs w:val="22"/>
                <w:shd w:val="clear" w:color="auto" w:fill="FFFFFF"/>
                <w:lang w:val="en-IN"/>
              </w:rPr>
              <w:t>hether the Government has assessed the rising demand for crude oil and petroleum products in the country and if so, the details thereof;</w:t>
            </w:r>
          </w:p>
        </w:tc>
        <w:tc>
          <w:tcPr>
            <w:tcW w:w="5216"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9DC8E7E" w14:textId="77777777" w:rsidR="00E60A9C" w:rsidRDefault="00E60A9C" w:rsidP="00E60A9C">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As far as Oil India Limited (OIL) is concerned, OIL is aware of the rising demand of crude oil and is striving of </w:t>
            </w:r>
            <w:proofErr w:type="spellStart"/>
            <w:r>
              <w:rPr>
                <w:rFonts w:ascii="Tahoma" w:eastAsia="Times New Roman" w:hAnsi="Tahoma" w:cs="Tahoma"/>
                <w:kern w:val="2"/>
                <w14:ligatures w14:val="standardContextual"/>
              </w:rPr>
              <w:t>GoI</w:t>
            </w:r>
            <w:proofErr w:type="spellEnd"/>
            <w:r>
              <w:rPr>
                <w:rFonts w:ascii="Tahoma" w:eastAsia="Times New Roman" w:hAnsi="Tahoma" w:cs="Tahoma"/>
                <w:kern w:val="2"/>
                <w14:ligatures w14:val="standardContextual"/>
              </w:rPr>
              <w:t xml:space="preserve"> directive of becoming Energy dependent. </w:t>
            </w:r>
            <w:proofErr w:type="gramStart"/>
            <w:r>
              <w:rPr>
                <w:rFonts w:ascii="Tahoma" w:eastAsia="Times New Roman" w:hAnsi="Tahoma" w:cs="Tahoma"/>
                <w:kern w:val="2"/>
                <w14:ligatures w14:val="standardContextual"/>
              </w:rPr>
              <w:t>Accordingly</w:t>
            </w:r>
            <w:proofErr w:type="gramEnd"/>
            <w:r>
              <w:rPr>
                <w:rFonts w:ascii="Tahoma" w:eastAsia="Times New Roman" w:hAnsi="Tahoma" w:cs="Tahoma"/>
                <w:kern w:val="2"/>
                <w14:ligatures w14:val="standardContextual"/>
              </w:rPr>
              <w:t xml:space="preserve"> the production of crude oil and natural gas is on the rise for the past few years as provided in the table below and has plans to increase the production of crude oil to 4 MMT and natural gas to 5 BCM.</w:t>
            </w:r>
          </w:p>
          <w:tbl>
            <w:tblPr>
              <w:tblStyle w:val="TableGrid"/>
              <w:tblW w:w="5188" w:type="dxa"/>
              <w:jc w:val="center"/>
              <w:tblLayout w:type="fixed"/>
              <w:tblLook w:val="04A0" w:firstRow="1" w:lastRow="0" w:firstColumn="1" w:lastColumn="0" w:noHBand="0" w:noVBand="1"/>
            </w:tblPr>
            <w:tblGrid>
              <w:gridCol w:w="1219"/>
              <w:gridCol w:w="747"/>
              <w:gridCol w:w="748"/>
              <w:gridCol w:w="747"/>
              <w:gridCol w:w="748"/>
              <w:gridCol w:w="979"/>
            </w:tblGrid>
            <w:tr w:rsidR="00E60A9C" w:rsidRPr="005462B8" w14:paraId="36CAD9FE" w14:textId="77777777" w:rsidTr="005F3F1C">
              <w:trPr>
                <w:trHeight w:val="423"/>
                <w:jc w:val="center"/>
              </w:trPr>
              <w:tc>
                <w:tcPr>
                  <w:tcW w:w="1219" w:type="dxa"/>
                  <w:tcBorders>
                    <w:top w:val="single" w:sz="4" w:space="0" w:color="auto"/>
                    <w:left w:val="single" w:sz="4" w:space="0" w:color="auto"/>
                    <w:bottom w:val="single" w:sz="4" w:space="0" w:color="auto"/>
                    <w:right w:val="single" w:sz="4" w:space="0" w:color="auto"/>
                  </w:tcBorders>
                  <w:hideMark/>
                </w:tcPr>
                <w:p w14:paraId="6D53300B"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Production</w:t>
                  </w:r>
                </w:p>
              </w:tc>
              <w:tc>
                <w:tcPr>
                  <w:tcW w:w="747" w:type="dxa"/>
                  <w:tcBorders>
                    <w:top w:val="single" w:sz="4" w:space="0" w:color="auto"/>
                    <w:left w:val="single" w:sz="4" w:space="0" w:color="auto"/>
                    <w:bottom w:val="single" w:sz="4" w:space="0" w:color="auto"/>
                    <w:right w:val="single" w:sz="4" w:space="0" w:color="auto"/>
                  </w:tcBorders>
                  <w:hideMark/>
                </w:tcPr>
                <w:p w14:paraId="2B66FFA6"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2020-21</w:t>
                  </w:r>
                </w:p>
              </w:tc>
              <w:tc>
                <w:tcPr>
                  <w:tcW w:w="748" w:type="dxa"/>
                  <w:tcBorders>
                    <w:top w:val="single" w:sz="4" w:space="0" w:color="auto"/>
                    <w:left w:val="single" w:sz="4" w:space="0" w:color="auto"/>
                    <w:bottom w:val="single" w:sz="4" w:space="0" w:color="auto"/>
                    <w:right w:val="single" w:sz="4" w:space="0" w:color="auto"/>
                  </w:tcBorders>
                  <w:hideMark/>
                </w:tcPr>
                <w:p w14:paraId="296A3B4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2021-22</w:t>
                  </w:r>
                </w:p>
              </w:tc>
              <w:tc>
                <w:tcPr>
                  <w:tcW w:w="747" w:type="dxa"/>
                  <w:tcBorders>
                    <w:top w:val="single" w:sz="4" w:space="0" w:color="auto"/>
                    <w:left w:val="single" w:sz="4" w:space="0" w:color="auto"/>
                    <w:bottom w:val="single" w:sz="4" w:space="0" w:color="auto"/>
                    <w:right w:val="single" w:sz="4" w:space="0" w:color="auto"/>
                  </w:tcBorders>
                  <w:hideMark/>
                </w:tcPr>
                <w:p w14:paraId="6B70E091"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2022-23</w:t>
                  </w:r>
                </w:p>
              </w:tc>
              <w:tc>
                <w:tcPr>
                  <w:tcW w:w="748" w:type="dxa"/>
                  <w:tcBorders>
                    <w:top w:val="single" w:sz="4" w:space="0" w:color="auto"/>
                    <w:left w:val="single" w:sz="4" w:space="0" w:color="auto"/>
                    <w:bottom w:val="single" w:sz="4" w:space="0" w:color="auto"/>
                    <w:right w:val="single" w:sz="4" w:space="0" w:color="auto"/>
                  </w:tcBorders>
                  <w:hideMark/>
                </w:tcPr>
                <w:p w14:paraId="64640958"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2023-24</w:t>
                  </w:r>
                </w:p>
              </w:tc>
              <w:tc>
                <w:tcPr>
                  <w:tcW w:w="979" w:type="dxa"/>
                  <w:tcBorders>
                    <w:top w:val="single" w:sz="4" w:space="0" w:color="auto"/>
                    <w:left w:val="single" w:sz="4" w:space="0" w:color="auto"/>
                    <w:bottom w:val="single" w:sz="4" w:space="0" w:color="auto"/>
                    <w:right w:val="single" w:sz="4" w:space="0" w:color="auto"/>
                  </w:tcBorders>
                  <w:hideMark/>
                </w:tcPr>
                <w:p w14:paraId="6CC759BF"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2024-25</w:t>
                  </w:r>
                </w:p>
              </w:tc>
            </w:tr>
            <w:tr w:rsidR="00E60A9C" w:rsidRPr="005462B8" w14:paraId="2ABA5529" w14:textId="77777777" w:rsidTr="005F3F1C">
              <w:trPr>
                <w:trHeight w:val="468"/>
                <w:jc w:val="center"/>
              </w:trPr>
              <w:tc>
                <w:tcPr>
                  <w:tcW w:w="1219" w:type="dxa"/>
                  <w:tcBorders>
                    <w:top w:val="single" w:sz="4" w:space="0" w:color="auto"/>
                    <w:left w:val="single" w:sz="4" w:space="0" w:color="auto"/>
                    <w:bottom w:val="single" w:sz="4" w:space="0" w:color="auto"/>
                    <w:right w:val="single" w:sz="4" w:space="0" w:color="auto"/>
                  </w:tcBorders>
                  <w:hideMark/>
                </w:tcPr>
                <w:p w14:paraId="1F19A471"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 xml:space="preserve">Crude oil </w:t>
                  </w:r>
                </w:p>
                <w:p w14:paraId="35C63B3F"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(MMT)</w:t>
                  </w:r>
                </w:p>
              </w:tc>
              <w:tc>
                <w:tcPr>
                  <w:tcW w:w="747" w:type="dxa"/>
                  <w:tcBorders>
                    <w:top w:val="single" w:sz="4" w:space="0" w:color="auto"/>
                    <w:left w:val="single" w:sz="4" w:space="0" w:color="auto"/>
                    <w:bottom w:val="single" w:sz="4" w:space="0" w:color="auto"/>
                    <w:right w:val="single" w:sz="4" w:space="0" w:color="auto"/>
                  </w:tcBorders>
                  <w:hideMark/>
                </w:tcPr>
                <w:p w14:paraId="10DBC292"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2.964</w:t>
                  </w:r>
                </w:p>
              </w:tc>
              <w:tc>
                <w:tcPr>
                  <w:tcW w:w="748" w:type="dxa"/>
                  <w:tcBorders>
                    <w:top w:val="single" w:sz="4" w:space="0" w:color="auto"/>
                    <w:left w:val="single" w:sz="4" w:space="0" w:color="auto"/>
                    <w:bottom w:val="single" w:sz="4" w:space="0" w:color="auto"/>
                    <w:right w:val="single" w:sz="4" w:space="0" w:color="auto"/>
                  </w:tcBorders>
                  <w:hideMark/>
                </w:tcPr>
                <w:p w14:paraId="59C416FB"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3.010</w:t>
                  </w:r>
                </w:p>
              </w:tc>
              <w:tc>
                <w:tcPr>
                  <w:tcW w:w="747" w:type="dxa"/>
                  <w:tcBorders>
                    <w:top w:val="single" w:sz="4" w:space="0" w:color="auto"/>
                    <w:left w:val="single" w:sz="4" w:space="0" w:color="auto"/>
                    <w:bottom w:val="single" w:sz="4" w:space="0" w:color="auto"/>
                    <w:right w:val="single" w:sz="4" w:space="0" w:color="auto"/>
                  </w:tcBorders>
                  <w:hideMark/>
                </w:tcPr>
                <w:p w14:paraId="52B28103"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3.176</w:t>
                  </w:r>
                </w:p>
              </w:tc>
              <w:tc>
                <w:tcPr>
                  <w:tcW w:w="748" w:type="dxa"/>
                  <w:tcBorders>
                    <w:top w:val="single" w:sz="4" w:space="0" w:color="auto"/>
                    <w:left w:val="single" w:sz="4" w:space="0" w:color="auto"/>
                    <w:bottom w:val="single" w:sz="4" w:space="0" w:color="auto"/>
                    <w:right w:val="single" w:sz="4" w:space="0" w:color="auto"/>
                  </w:tcBorders>
                  <w:hideMark/>
                </w:tcPr>
                <w:p w14:paraId="250C2429"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3.359</w:t>
                  </w:r>
                </w:p>
              </w:tc>
              <w:tc>
                <w:tcPr>
                  <w:tcW w:w="979" w:type="dxa"/>
                  <w:tcBorders>
                    <w:top w:val="single" w:sz="4" w:space="0" w:color="auto"/>
                    <w:left w:val="single" w:sz="4" w:space="0" w:color="auto"/>
                    <w:bottom w:val="single" w:sz="4" w:space="0" w:color="auto"/>
                    <w:right w:val="single" w:sz="4" w:space="0" w:color="auto"/>
                  </w:tcBorders>
                  <w:hideMark/>
                </w:tcPr>
                <w:p w14:paraId="5DD40B1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3.458</w:t>
                  </w:r>
                </w:p>
              </w:tc>
            </w:tr>
            <w:tr w:rsidR="00E60A9C" w:rsidRPr="005462B8" w14:paraId="574BA1FB" w14:textId="77777777" w:rsidTr="005F3F1C">
              <w:trPr>
                <w:trHeight w:val="616"/>
                <w:jc w:val="center"/>
              </w:trPr>
              <w:tc>
                <w:tcPr>
                  <w:tcW w:w="1219" w:type="dxa"/>
                  <w:tcBorders>
                    <w:top w:val="single" w:sz="4" w:space="0" w:color="auto"/>
                    <w:left w:val="single" w:sz="4" w:space="0" w:color="auto"/>
                    <w:bottom w:val="single" w:sz="4" w:space="0" w:color="auto"/>
                    <w:right w:val="single" w:sz="4" w:space="0" w:color="auto"/>
                  </w:tcBorders>
                  <w:hideMark/>
                </w:tcPr>
                <w:p w14:paraId="4961DDA3"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NG</w:t>
                  </w:r>
                </w:p>
                <w:p w14:paraId="4A80849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 xml:space="preserve">(BCM) </w:t>
                  </w:r>
                </w:p>
              </w:tc>
              <w:tc>
                <w:tcPr>
                  <w:tcW w:w="747" w:type="dxa"/>
                  <w:tcBorders>
                    <w:top w:val="single" w:sz="4" w:space="0" w:color="auto"/>
                    <w:left w:val="single" w:sz="4" w:space="0" w:color="auto"/>
                    <w:bottom w:val="single" w:sz="4" w:space="0" w:color="auto"/>
                    <w:right w:val="single" w:sz="4" w:space="0" w:color="auto"/>
                  </w:tcBorders>
                  <w:hideMark/>
                </w:tcPr>
                <w:p w14:paraId="3F6B6E8C"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2.642</w:t>
                  </w:r>
                </w:p>
              </w:tc>
              <w:tc>
                <w:tcPr>
                  <w:tcW w:w="748" w:type="dxa"/>
                  <w:tcBorders>
                    <w:top w:val="single" w:sz="4" w:space="0" w:color="auto"/>
                    <w:left w:val="single" w:sz="4" w:space="0" w:color="auto"/>
                    <w:bottom w:val="single" w:sz="4" w:space="0" w:color="auto"/>
                    <w:right w:val="single" w:sz="4" w:space="0" w:color="auto"/>
                  </w:tcBorders>
                  <w:hideMark/>
                </w:tcPr>
                <w:p w14:paraId="177CB499"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3.045</w:t>
                  </w:r>
                </w:p>
              </w:tc>
              <w:tc>
                <w:tcPr>
                  <w:tcW w:w="747" w:type="dxa"/>
                  <w:tcBorders>
                    <w:top w:val="single" w:sz="4" w:space="0" w:color="auto"/>
                    <w:left w:val="single" w:sz="4" w:space="0" w:color="auto"/>
                    <w:bottom w:val="single" w:sz="4" w:space="0" w:color="auto"/>
                    <w:right w:val="single" w:sz="4" w:space="0" w:color="auto"/>
                  </w:tcBorders>
                  <w:hideMark/>
                </w:tcPr>
                <w:p w14:paraId="26290CDA"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3.180</w:t>
                  </w:r>
                </w:p>
              </w:tc>
              <w:tc>
                <w:tcPr>
                  <w:tcW w:w="748" w:type="dxa"/>
                  <w:tcBorders>
                    <w:top w:val="single" w:sz="4" w:space="0" w:color="auto"/>
                    <w:left w:val="single" w:sz="4" w:space="0" w:color="auto"/>
                    <w:bottom w:val="single" w:sz="4" w:space="0" w:color="auto"/>
                    <w:right w:val="single" w:sz="4" w:space="0" w:color="auto"/>
                  </w:tcBorders>
                  <w:hideMark/>
                </w:tcPr>
                <w:p w14:paraId="0FDED4AD"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3.182</w:t>
                  </w:r>
                </w:p>
              </w:tc>
              <w:tc>
                <w:tcPr>
                  <w:tcW w:w="979" w:type="dxa"/>
                  <w:tcBorders>
                    <w:top w:val="single" w:sz="4" w:space="0" w:color="auto"/>
                    <w:left w:val="single" w:sz="4" w:space="0" w:color="auto"/>
                    <w:bottom w:val="single" w:sz="4" w:space="0" w:color="auto"/>
                    <w:right w:val="single" w:sz="4" w:space="0" w:color="auto"/>
                  </w:tcBorders>
                  <w:hideMark/>
                </w:tcPr>
                <w:p w14:paraId="72919D47" w14:textId="77777777" w:rsidR="00E60A9C" w:rsidRPr="005462B8" w:rsidRDefault="00E60A9C" w:rsidP="00E60A9C">
                  <w:pPr>
                    <w:spacing w:after="120"/>
                    <w:jc w:val="both"/>
                    <w:rPr>
                      <w:rFonts w:ascii="Tahoma" w:eastAsia="Times New Roman" w:hAnsi="Tahoma" w:cs="Tahoma"/>
                      <w:kern w:val="2"/>
                      <w:sz w:val="20"/>
                      <w:szCs w:val="20"/>
                      <w14:ligatures w14:val="standardContextual"/>
                    </w:rPr>
                  </w:pPr>
                  <w:r w:rsidRPr="005462B8">
                    <w:rPr>
                      <w:rFonts w:ascii="Tahoma" w:eastAsia="Times New Roman" w:hAnsi="Tahoma" w:cs="Tahoma"/>
                      <w:kern w:val="2"/>
                      <w:sz w:val="20"/>
                      <w:szCs w:val="20"/>
                      <w14:ligatures w14:val="standardContextual"/>
                    </w:rPr>
                    <w:t>3.252</w:t>
                  </w:r>
                </w:p>
              </w:tc>
            </w:tr>
          </w:tbl>
          <w:p w14:paraId="0B91F753" w14:textId="77777777" w:rsidR="00E60A9C" w:rsidRPr="005462B8" w:rsidRDefault="00E60A9C" w:rsidP="00E60A9C">
            <w:pPr>
              <w:spacing w:after="120"/>
              <w:jc w:val="both"/>
              <w:rPr>
                <w:rFonts w:ascii="Tahoma" w:eastAsia="Times New Roman" w:hAnsi="Tahoma" w:cs="Tahoma"/>
                <w:kern w:val="2"/>
                <w14:ligatures w14:val="standardContextual"/>
              </w:rPr>
            </w:pPr>
          </w:p>
          <w:p w14:paraId="79C9D628"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OIL has been aggressively taking up the exploration and production activities along with substantial investment in alternate energy sectors in line with the </w:t>
            </w:r>
            <w:proofErr w:type="spellStart"/>
            <w:r w:rsidRPr="00AB394C">
              <w:rPr>
                <w:rFonts w:ascii="Tahoma" w:eastAsia="Times New Roman" w:hAnsi="Tahoma" w:cs="Tahoma"/>
                <w:kern w:val="2"/>
                <w14:ligatures w14:val="standardContextual"/>
              </w:rPr>
              <w:t>GoI</w:t>
            </w:r>
            <w:proofErr w:type="spellEnd"/>
            <w:r w:rsidRPr="00AB394C">
              <w:rPr>
                <w:rFonts w:ascii="Tahoma" w:eastAsia="Times New Roman" w:hAnsi="Tahoma" w:cs="Tahoma"/>
                <w:kern w:val="2"/>
                <w14:ligatures w14:val="standardContextual"/>
              </w:rPr>
              <w:t xml:space="preserve"> initiatives to reduce India’s dependence on imports.</w:t>
            </w:r>
          </w:p>
          <w:p w14:paraId="4F29C6C6"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OIL has achieved a quantum jump in its acreages after the implementation of HELP and presently holds 92,888 sq. km acreages across various regimes divided into 62 blocks across the nation including offshore blocks.</w:t>
            </w:r>
          </w:p>
          <w:p w14:paraId="10BB78B8"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OIL is currently carrying out domestic E&amp;P activities in a total of 62 nos. of operated acreages. These </w:t>
            </w:r>
            <w:r w:rsidRPr="00AB394C">
              <w:rPr>
                <w:rFonts w:ascii="Tahoma" w:eastAsia="Times New Roman" w:hAnsi="Tahoma" w:cs="Tahoma"/>
                <w:kern w:val="2"/>
                <w14:ligatures w14:val="standardContextual"/>
              </w:rPr>
              <w:lastRenderedPageBreak/>
              <w:t>include 25 nomination Petroleum Mining Leases (21 in Assam, 2 in Arunachal Pradesh and 2 in 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31</w:t>
            </w:r>
            <w:r w:rsidRPr="00AB394C">
              <w:rPr>
                <w:rFonts w:ascii="Tahoma" w:eastAsia="Times New Roman" w:hAnsi="Tahoma" w:cs="Tahoma"/>
                <w:kern w:val="2"/>
                <w:vertAlign w:val="superscript"/>
                <w14:ligatures w14:val="standardContextual"/>
              </w:rPr>
              <w:t>st</w:t>
            </w:r>
            <w:r w:rsidRPr="00AB394C">
              <w:rPr>
                <w:rFonts w:ascii="Tahoma" w:eastAsia="Times New Roman" w:hAnsi="Tahoma" w:cs="Tahoma"/>
                <w:kern w:val="2"/>
                <w14:ligatures w14:val="standardContextual"/>
              </w:rPr>
              <w:t xml:space="preserve"> Oct 2025, OIL drilled 17 wells in OALP blocks including 2 offshore wells and established the presence of hydrocarbon in three blocks.</w:t>
            </w:r>
          </w:p>
          <w:p w14:paraId="0312D5B5"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To drive future growth and enhance production, OIL’s key </w:t>
            </w:r>
            <w:proofErr w:type="spellStart"/>
            <w:r w:rsidRPr="00AB394C">
              <w:rPr>
                <w:rFonts w:ascii="Tahoma" w:eastAsia="Times New Roman" w:hAnsi="Tahoma" w:cs="Tahoma"/>
                <w:kern w:val="2"/>
                <w14:ligatures w14:val="standardContextual"/>
              </w:rPr>
              <w:t>endeavors</w:t>
            </w:r>
            <w:proofErr w:type="spellEnd"/>
            <w:r w:rsidRPr="00AB394C">
              <w:rPr>
                <w:rFonts w:ascii="Tahoma" w:eastAsia="Times New Roman" w:hAnsi="Tahoma" w:cs="Tahoma"/>
                <w:kern w:val="2"/>
                <w14:ligatures w14:val="standardContextual"/>
              </w:rPr>
              <w:t xml:space="preserve"> can be broadly summarized as follows:</w:t>
            </w:r>
          </w:p>
          <w:p w14:paraId="049D3056"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Enhancing Production</w:t>
            </w:r>
            <w:r w:rsidRPr="00AB394C">
              <w:rPr>
                <w:rFonts w:ascii="Tahoma" w:eastAsia="Times New Roman" w:hAnsi="Tahoma" w:cs="Tahoma"/>
                <w:kern w:val="2"/>
                <w14:ligatures w14:val="standardContextual"/>
              </w:rPr>
              <w:t>: One of OIL’s major visions for the coming years is to increase production of crude oil from the current level of 3.45 MMT to over 4 MMT and natural gas from the current level of 3.25 BCM to 5 BCM.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1D5413D6"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Accelerated Exploration and Redevelopment</w:t>
            </w:r>
            <w:r w:rsidRPr="00AB394C">
              <w:rPr>
                <w:rFonts w:ascii="Tahoma" w:eastAsia="Times New Roman" w:hAnsi="Tahoma" w:cs="Tahoma"/>
                <w:kern w:val="2"/>
                <w14:ligatures w14:val="standardContextual"/>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3D89B2E1"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Focused Development Areas</w:t>
            </w:r>
            <w:r w:rsidRPr="00AB394C">
              <w:rPr>
                <w:rFonts w:ascii="Tahoma" w:eastAsia="Times New Roman" w:hAnsi="Tahoma" w:cs="Tahoma"/>
                <w:kern w:val="2"/>
                <w14:ligatures w14:val="standardContextual"/>
              </w:rPr>
              <w:t>: The company has identified several key areas for fast-track development, which are expected to substantially enhance production levels in the near future.</w:t>
            </w:r>
          </w:p>
          <w:p w14:paraId="66A02A87"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Advanced Recovery Techniques</w:t>
            </w:r>
            <w:r w:rsidRPr="00AB394C">
              <w:rPr>
                <w:rFonts w:ascii="Tahoma" w:eastAsia="Times New Roman" w:hAnsi="Tahoma" w:cs="Tahoma"/>
                <w:kern w:val="2"/>
                <w14:ligatures w14:val="standardContextual"/>
              </w:rPr>
              <w:t xml:space="preserve">: To maximize recovery from its mature fields in the Upper Assam Basin, OIL continues to implement water injection techniques and other IOR (Improved </w:t>
            </w:r>
            <w:r w:rsidRPr="00AB394C">
              <w:rPr>
                <w:rFonts w:ascii="Tahoma" w:eastAsia="Times New Roman" w:hAnsi="Tahoma" w:cs="Tahoma"/>
                <w:kern w:val="2"/>
                <w14:ligatures w14:val="standardContextual"/>
              </w:rPr>
              <w:lastRenderedPageBreak/>
              <w:t>Oil Recovery) and EOR (Enhanced Oil Recovery) technologies.</w:t>
            </w:r>
          </w:p>
          <w:p w14:paraId="298C7BD3"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Adopting Innovative Technologies</w:t>
            </w:r>
            <w:r w:rsidRPr="00AB394C">
              <w:rPr>
                <w:rFonts w:ascii="Tahoma" w:eastAsia="Times New Roman" w:hAnsi="Tahoma" w:cs="Tahoma"/>
                <w:kern w:val="2"/>
                <w14:ligatures w14:val="standardContextual"/>
              </w:rPr>
              <w:t>: OIL is actively deploying fit-for-purpose technologies to improve production efficiency and optimize operations.</w:t>
            </w:r>
          </w:p>
          <w:p w14:paraId="0D770E05"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Collaborative Efforts</w:t>
            </w:r>
            <w:r w:rsidRPr="00AB394C">
              <w:rPr>
                <w:rFonts w:ascii="Tahoma" w:eastAsia="Times New Roman" w:hAnsi="Tahoma" w:cs="Tahoma"/>
                <w:kern w:val="2"/>
                <w14:ligatures w14:val="standardContextual"/>
              </w:rPr>
              <w:t>: OIL is collaborating with national and international institutions and industry leaders to leverage expertise and resources for enhanced exploration and production activities.</w:t>
            </w:r>
          </w:p>
          <w:p w14:paraId="2B618A6B"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b/>
                <w:bCs/>
                <w:kern w:val="2"/>
                <w:u w:val="single"/>
                <w14:ligatures w14:val="standardContextual"/>
              </w:rPr>
              <w:t>EMPHASIS ON NATURAL GAS</w:t>
            </w:r>
            <w:r w:rsidRPr="00AB394C">
              <w:rPr>
                <w:rFonts w:ascii="Tahoma" w:eastAsia="Times New Roman" w:hAnsi="Tahoma" w:cs="Tahoma"/>
                <w:kern w:val="2"/>
                <w14:ligatures w14:val="standardContextual"/>
              </w:rPr>
              <w:t xml:space="preserve">: </w:t>
            </w:r>
          </w:p>
          <w:p w14:paraId="5807F1FA"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OIL recognizes the significance of natural gas as a cleaner energy source. As part of strategy, OIL is expanding natural gas operations to facilitate the transition towards a low-carbon economy. By exploring new gas fields and enhancing infrastructure, with an aim to tap into the growing demand for cleaner fuels. OIL has taken measures like creating surface facilities to remove bottlenecks to facilitate Production. </w:t>
            </w:r>
          </w:p>
          <w:p w14:paraId="43DAEC1F"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OIL has taken following steps in its efforts for contributing to mandated reduction of import dependency of hydrocarbon by increasing Natural Gas as under:</w:t>
            </w:r>
          </w:p>
          <w:p w14:paraId="40A1351B"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Fast-track development of identified fields.</w:t>
            </w:r>
          </w:p>
          <w:p w14:paraId="037F3078"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Early Monetization of discoveries. </w:t>
            </w:r>
          </w:p>
          <w:p w14:paraId="41730F09"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Infill drilling of wells within the existing areas.</w:t>
            </w:r>
          </w:p>
          <w:p w14:paraId="7614A2E2"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Quick monetization of sick wells through technology support.</w:t>
            </w:r>
          </w:p>
          <w:p w14:paraId="10B9B768"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Recovery from the missed opportunities, production from the untested zones in existing old wells.</w:t>
            </w:r>
          </w:p>
          <w:p w14:paraId="3FBDDBA3"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Upgradation of surface infrastructure facilities for gas production.</w:t>
            </w:r>
          </w:p>
          <w:p w14:paraId="719FC14C" w14:textId="77777777" w:rsidR="00E60A9C" w:rsidRPr="00AB394C" w:rsidRDefault="00E60A9C" w:rsidP="00E60A9C">
            <w:pPr>
              <w:numPr>
                <w:ilvl w:val="0"/>
                <w:numId w:val="44"/>
              </w:num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Taking up resource build-up exercise, viz. increase Workover rig resource, replacement of existing Drilling rigs with VFD Technology, induction of digital technology for operational excellence etc.</w:t>
            </w:r>
          </w:p>
          <w:p w14:paraId="18C76C95"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In addition to these initiatives, OIL is implementing a comprehensive strategy comprising short-, mid-, and long-term measures for enhancement of crude oil production as detailed below:</w:t>
            </w:r>
          </w:p>
          <w:p w14:paraId="359D603A"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Short-term Measures</w:t>
            </w:r>
            <w:r w:rsidRPr="00AB394C">
              <w:rPr>
                <w:rFonts w:ascii="Tahoma" w:eastAsia="Times New Roman" w:hAnsi="Tahoma" w:cs="Tahoma"/>
                <w:kern w:val="2"/>
                <w14:ligatures w14:val="standardContextual"/>
              </w:rPr>
              <w:t>: These include well intervention activities and the immediate induction of new technologies to address operational challenges.</w:t>
            </w:r>
          </w:p>
          <w:p w14:paraId="71817193"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lastRenderedPageBreak/>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Mid-term Measures</w:t>
            </w:r>
            <w:r w:rsidRPr="00AB394C">
              <w:rPr>
                <w:rFonts w:ascii="Tahoma" w:eastAsia="Times New Roman" w:hAnsi="Tahoma" w:cs="Tahoma"/>
                <w:kern w:val="2"/>
                <w14:ligatures w14:val="standardContextual"/>
              </w:rPr>
              <w:t>: Creation of surface facilities to remove bottlenecks and facilitate smoother production processes.</w:t>
            </w:r>
          </w:p>
          <w:p w14:paraId="0DEF12CF"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w:t>
            </w:r>
            <w:r w:rsidRPr="00AB394C">
              <w:rPr>
                <w:rFonts w:ascii="Tahoma" w:eastAsia="Times New Roman" w:hAnsi="Tahoma" w:cs="Tahoma"/>
                <w:kern w:val="2"/>
                <w14:ligatures w14:val="standardContextual"/>
              </w:rPr>
              <w:tab/>
            </w:r>
            <w:r w:rsidRPr="00AB394C">
              <w:rPr>
                <w:rFonts w:ascii="Tahoma" w:eastAsia="Times New Roman" w:hAnsi="Tahoma" w:cs="Tahoma"/>
                <w:b/>
                <w:bCs/>
                <w:kern w:val="2"/>
                <w14:ligatures w14:val="standardContextual"/>
              </w:rPr>
              <w:t>Long-term Measures</w:t>
            </w:r>
            <w:r w:rsidRPr="00AB394C">
              <w:rPr>
                <w:rFonts w:ascii="Tahoma" w:eastAsia="Times New Roman" w:hAnsi="Tahoma" w:cs="Tahoma"/>
                <w:kern w:val="2"/>
                <w14:ligatures w14:val="standardContextual"/>
              </w:rPr>
              <w:t>: Maximizing recovery from mature fields through advanced IOR/EOR techniques.</w:t>
            </w:r>
          </w:p>
          <w:p w14:paraId="27B15329" w14:textId="77777777" w:rsidR="00E60A9C" w:rsidRPr="00AB394C"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Some of the major project’s undergoing for enhancement of production activities are:</w:t>
            </w:r>
          </w:p>
          <w:p w14:paraId="58D01C11" w14:textId="77777777" w:rsidR="00E60A9C" w:rsidRPr="00AB394C" w:rsidRDefault="00E60A9C" w:rsidP="00E60A9C">
            <w:pPr>
              <w:numPr>
                <w:ilvl w:val="0"/>
                <w:numId w:val="45"/>
              </w:numPr>
              <w:spacing w:after="120"/>
              <w:jc w:val="both"/>
              <w:rPr>
                <w:rFonts w:ascii="Tahoma" w:eastAsia="Times New Roman" w:hAnsi="Tahoma" w:cs="Tahoma"/>
                <w:kern w:val="2"/>
                <w:lang w:val="en-US"/>
                <w14:ligatures w14:val="standardContextual"/>
              </w:rPr>
            </w:pPr>
            <w:r w:rsidRPr="00AB394C">
              <w:rPr>
                <w:rFonts w:ascii="Tahoma" w:eastAsia="Times New Roman" w:hAnsi="Tahoma" w:cs="Tahoma"/>
                <w:kern w:val="2"/>
                <w:lang w:val="en-US"/>
                <w14:ligatures w14:val="standardContextual"/>
              </w:rPr>
              <w:t xml:space="preserve">Development of Surface Facilities for Production and Evacuation of Crude Oil and Natural Gas from </w:t>
            </w:r>
            <w:proofErr w:type="spellStart"/>
            <w:r w:rsidRPr="00AB394C">
              <w:rPr>
                <w:rFonts w:ascii="Tahoma" w:eastAsia="Times New Roman" w:hAnsi="Tahoma" w:cs="Tahoma"/>
                <w:kern w:val="2"/>
                <w:lang w:val="en-US"/>
                <w14:ligatures w14:val="standardContextual"/>
              </w:rPr>
              <w:t>Nadua</w:t>
            </w:r>
            <w:proofErr w:type="spellEnd"/>
            <w:r w:rsidRPr="00AB394C">
              <w:rPr>
                <w:rFonts w:ascii="Tahoma" w:eastAsia="Times New Roman" w:hAnsi="Tahoma" w:cs="Tahoma"/>
                <w:kern w:val="2"/>
                <w:lang w:val="en-US"/>
                <w14:ligatures w14:val="standardContextual"/>
              </w:rPr>
              <w:t xml:space="preserve"> and East </w:t>
            </w:r>
            <w:proofErr w:type="spellStart"/>
            <w:r w:rsidRPr="00AB394C">
              <w:rPr>
                <w:rFonts w:ascii="Tahoma" w:eastAsia="Times New Roman" w:hAnsi="Tahoma" w:cs="Tahoma"/>
                <w:kern w:val="2"/>
                <w:lang w:val="en-US"/>
                <w14:ligatures w14:val="standardContextual"/>
              </w:rPr>
              <w:t>Khagorijan</w:t>
            </w:r>
            <w:proofErr w:type="spellEnd"/>
          </w:p>
          <w:p w14:paraId="1C2BC2CF" w14:textId="42D19FA7" w:rsidR="00CD6DC6" w:rsidRPr="00040065" w:rsidRDefault="00E60A9C" w:rsidP="00E60A9C">
            <w:pPr>
              <w:spacing w:after="120"/>
              <w:jc w:val="both"/>
              <w:rPr>
                <w:rFonts w:ascii="Tahoma" w:eastAsia="Times New Roman" w:hAnsi="Tahoma" w:cs="Tahoma"/>
                <w:kern w:val="2"/>
                <w14:ligatures w14:val="standardContextual"/>
              </w:rPr>
            </w:pPr>
            <w:r w:rsidRPr="00AB394C">
              <w:rPr>
                <w:rFonts w:ascii="Tahoma" w:eastAsia="Times New Roman" w:hAnsi="Tahoma" w:cs="Tahoma"/>
                <w:kern w:val="2"/>
                <w14:ligatures w14:val="standardContextual"/>
              </w:rPr>
              <w:t xml:space="preserve">Field Gas Gathering Station, </w:t>
            </w:r>
            <w:proofErr w:type="spellStart"/>
            <w:r w:rsidRPr="00AB394C">
              <w:rPr>
                <w:rFonts w:ascii="Tahoma" w:eastAsia="Times New Roman" w:hAnsi="Tahoma" w:cs="Tahoma"/>
                <w:kern w:val="2"/>
                <w14:ligatures w14:val="standardContextual"/>
              </w:rPr>
              <w:t>Baghjan</w:t>
            </w:r>
            <w:proofErr w:type="spellEnd"/>
          </w:p>
        </w:tc>
      </w:tr>
      <w:tr w:rsidR="003E2B73" w:rsidRPr="00040065" w14:paraId="65648DF5" w14:textId="77777777" w:rsidTr="008C1FAB">
        <w:trPr>
          <w:trHeight w:val="1230"/>
        </w:trPr>
        <w:tc>
          <w:tcPr>
            <w:tcW w:w="4531" w:type="dxa"/>
          </w:tcPr>
          <w:p w14:paraId="01947609" w14:textId="697B60F2" w:rsidR="0066060F" w:rsidRPr="00040065" w:rsidRDefault="003E2B73" w:rsidP="00844847">
            <w:pPr>
              <w:ind w:right="34"/>
              <w:jc w:val="both"/>
              <w:rPr>
                <w:rFonts w:ascii="Tahoma" w:eastAsia="Times New Roman" w:hAnsi="Tahoma" w:cs="Tahoma"/>
                <w:i/>
                <w:color w:val="000000"/>
              </w:rPr>
            </w:pPr>
            <w:r w:rsidRPr="00040065">
              <w:rPr>
                <w:rFonts w:ascii="Tahoma" w:hAnsi="Tahoma" w:cs="Tahoma"/>
                <w:i/>
                <w:iCs/>
              </w:rPr>
              <w:lastRenderedPageBreak/>
              <w:t>Q.(b</w:t>
            </w:r>
            <w:r w:rsidRPr="00B554A8">
              <w:rPr>
                <w:rFonts w:ascii="Tahoma" w:hAnsi="Tahoma" w:cs="Tahoma"/>
                <w:i/>
                <w:iCs/>
              </w:rPr>
              <w:t xml:space="preserve">) </w:t>
            </w:r>
            <w:r w:rsidR="00EC5335">
              <w:rPr>
                <w:rStyle w:val="xxsize"/>
                <w:rFonts w:ascii="Tahoma" w:hAnsi="Tahoma" w:cs="Tahoma"/>
                <w:i/>
                <w:iCs/>
                <w:color w:val="000000"/>
                <w:shd w:val="clear" w:color="auto" w:fill="FFFFFF"/>
              </w:rPr>
              <w:t>W</w:t>
            </w:r>
            <w:r w:rsidR="00B554A8" w:rsidRPr="00B554A8">
              <w:rPr>
                <w:rStyle w:val="xxsize"/>
                <w:rFonts w:ascii="Tahoma" w:hAnsi="Tahoma" w:cs="Tahoma"/>
                <w:i/>
                <w:iCs/>
                <w:color w:val="000000"/>
                <w:shd w:val="clear" w:color="auto" w:fill="FFFFFF"/>
              </w:rPr>
              <w:t>hether the Government proposes to strengthen country's maritime capabilities including port infrastructure, oil logistics and shipping capacity to ensure uninterrupted and secure energy supplies;</w:t>
            </w:r>
          </w:p>
        </w:tc>
        <w:tc>
          <w:tcPr>
            <w:tcW w:w="5216" w:type="dxa"/>
          </w:tcPr>
          <w:p w14:paraId="3F3AE552" w14:textId="2A0F52EE" w:rsidR="00DF02B5" w:rsidRPr="00040065" w:rsidRDefault="00DF02B5" w:rsidP="00DF02B5">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3780DB29" w14:textId="7E90C97B" w:rsidR="003E2B73" w:rsidRPr="00040065" w:rsidRDefault="003E2B73" w:rsidP="00E60A9C">
            <w:pPr>
              <w:spacing w:after="120"/>
              <w:jc w:val="both"/>
              <w:rPr>
                <w:rFonts w:ascii="Tahoma" w:hAnsi="Tahoma" w:cs="Tahoma"/>
                <w:lang w:val="en-US"/>
              </w:rPr>
            </w:pPr>
          </w:p>
        </w:tc>
      </w:tr>
      <w:tr w:rsidR="003E2B73" w:rsidRPr="00040065" w14:paraId="54E35464" w14:textId="77777777" w:rsidTr="008C1FAB">
        <w:trPr>
          <w:trHeight w:val="819"/>
        </w:trPr>
        <w:tc>
          <w:tcPr>
            <w:tcW w:w="4531" w:type="dxa"/>
          </w:tcPr>
          <w:p w14:paraId="7E0970F0" w14:textId="4F63B765" w:rsidR="00B554A8" w:rsidRDefault="003E2B73" w:rsidP="00B554A8">
            <w:pPr>
              <w:pStyle w:val="xxmsonormal"/>
              <w:shd w:val="clear" w:color="auto" w:fill="FFFFFF"/>
              <w:rPr>
                <w:lang w:val="en-IN"/>
              </w:rPr>
            </w:pPr>
            <w:r w:rsidRPr="00040065">
              <w:rPr>
                <w:rFonts w:ascii="Tahoma" w:hAnsi="Tahoma" w:cs="Tahoma"/>
                <w:i/>
                <w:iCs/>
              </w:rPr>
              <w:t xml:space="preserve">Q.(c) </w:t>
            </w:r>
            <w:r w:rsidR="00EC5335">
              <w:rPr>
                <w:rStyle w:val="xxsize"/>
                <w:rFonts w:ascii="Tahoma" w:hAnsi="Tahoma" w:cs="Tahoma"/>
                <w:i/>
                <w:iCs/>
                <w:color w:val="000000"/>
                <w:sz w:val="22"/>
                <w:szCs w:val="22"/>
                <w:shd w:val="clear" w:color="auto" w:fill="FFFFFF"/>
                <w:lang w:val="en-IN"/>
              </w:rPr>
              <w:t>I</w:t>
            </w:r>
            <w:r w:rsidR="00B554A8" w:rsidRPr="00B554A8">
              <w:rPr>
                <w:rStyle w:val="xxsize"/>
                <w:rFonts w:ascii="Tahoma" w:hAnsi="Tahoma" w:cs="Tahoma"/>
                <w:i/>
                <w:iCs/>
                <w:color w:val="000000"/>
                <w:sz w:val="22"/>
                <w:szCs w:val="22"/>
                <w:shd w:val="clear" w:color="auto" w:fill="FFFFFF"/>
                <w:lang w:val="en-IN"/>
              </w:rPr>
              <w:t>f so, the details thereof and steps taken in this regard;</w:t>
            </w:r>
            <w:r w:rsidR="00B554A8">
              <w:rPr>
                <w:rStyle w:val="xxsize"/>
                <w:color w:val="000000"/>
                <w:shd w:val="clear" w:color="auto" w:fill="FFFFFF"/>
                <w:lang w:val="en-IN"/>
              </w:rPr>
              <w:t xml:space="preserve"> </w:t>
            </w:r>
          </w:p>
          <w:p w14:paraId="710B4EA4" w14:textId="009C0F73" w:rsidR="0066060F" w:rsidRPr="00040065" w:rsidRDefault="0066060F" w:rsidP="008B492E">
            <w:pPr>
              <w:jc w:val="both"/>
              <w:rPr>
                <w:rFonts w:ascii="Tahoma" w:hAnsi="Tahoma" w:cs="Tahoma"/>
                <w:i/>
                <w:iCs/>
              </w:rPr>
            </w:pPr>
          </w:p>
        </w:tc>
        <w:tc>
          <w:tcPr>
            <w:tcW w:w="5216" w:type="dxa"/>
          </w:tcPr>
          <w:p w14:paraId="4E973A3D" w14:textId="06E1DDDD" w:rsidR="001F17B4" w:rsidRPr="00040065" w:rsidRDefault="001F17B4" w:rsidP="001F17B4">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9D4D45A" w14:textId="46A465E8" w:rsidR="00FA77B1" w:rsidRPr="00DF02B5" w:rsidRDefault="00FA77B1" w:rsidP="008C1FAB">
            <w:pPr>
              <w:spacing w:after="120"/>
              <w:jc w:val="both"/>
              <w:rPr>
                <w:rFonts w:ascii="Tahoma" w:hAnsi="Tahoma" w:cs="Tahoma"/>
                <w:lang w:val="en-US"/>
              </w:rPr>
            </w:pPr>
          </w:p>
        </w:tc>
      </w:tr>
      <w:tr w:rsidR="00F7545F" w:rsidRPr="00040065" w14:paraId="4C693D3B" w14:textId="77777777" w:rsidTr="008C1FAB">
        <w:trPr>
          <w:trHeight w:val="1256"/>
        </w:trPr>
        <w:tc>
          <w:tcPr>
            <w:tcW w:w="4531" w:type="dxa"/>
          </w:tcPr>
          <w:p w14:paraId="39FC65D3" w14:textId="32E99812" w:rsidR="00F7545F" w:rsidRPr="00F7545F" w:rsidRDefault="00F7545F" w:rsidP="00F7545F">
            <w:pPr>
              <w:jc w:val="both"/>
              <w:rPr>
                <w:rFonts w:ascii="Tahoma" w:hAnsi="Tahoma" w:cs="Tahoma"/>
                <w:i/>
                <w:iCs/>
              </w:rPr>
            </w:pPr>
            <w:r>
              <w:rPr>
                <w:rFonts w:ascii="Tahoma" w:hAnsi="Tahoma" w:cs="Tahoma"/>
                <w:i/>
                <w:iCs/>
              </w:rPr>
              <w:t xml:space="preserve">Q.(d) </w:t>
            </w:r>
            <w:r w:rsidR="00F4339A">
              <w:rPr>
                <w:rStyle w:val="xxsize"/>
                <w:rFonts w:ascii="Tahoma" w:hAnsi="Tahoma" w:cs="Tahoma"/>
                <w:i/>
                <w:iCs/>
                <w:color w:val="000000"/>
                <w:shd w:val="clear" w:color="auto" w:fill="FFFFFF"/>
              </w:rPr>
              <w:t xml:space="preserve">Whether the Government Proposes to increase investments in strategic petroleum reserves (SPRs) and if so, the details thereof; and </w:t>
            </w:r>
          </w:p>
        </w:tc>
        <w:tc>
          <w:tcPr>
            <w:tcW w:w="5216" w:type="dxa"/>
          </w:tcPr>
          <w:p w14:paraId="4150D89A" w14:textId="69D69E87" w:rsidR="00F7545F" w:rsidRPr="00040065" w:rsidRDefault="00F7545F" w:rsidP="00F7545F">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d</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22DB26B9" w14:textId="77777777" w:rsidR="00F7545F" w:rsidRPr="00040065" w:rsidRDefault="00F7545F" w:rsidP="00E60A9C">
            <w:pPr>
              <w:spacing w:after="120"/>
              <w:jc w:val="both"/>
              <w:rPr>
                <w:rFonts w:ascii="Tahoma" w:hAnsi="Tahoma" w:cs="Tahoma"/>
                <w:b/>
                <w:lang w:val="en-US"/>
              </w:rPr>
            </w:pPr>
          </w:p>
        </w:tc>
      </w:tr>
      <w:tr w:rsidR="00B554A8" w:rsidRPr="00040065" w14:paraId="55B915FC" w14:textId="77777777" w:rsidTr="008C1FAB">
        <w:trPr>
          <w:trHeight w:val="1598"/>
        </w:trPr>
        <w:tc>
          <w:tcPr>
            <w:tcW w:w="4531" w:type="dxa"/>
          </w:tcPr>
          <w:p w14:paraId="47A03D05" w14:textId="4533BE5D" w:rsidR="00C91BD3" w:rsidRPr="00C91BD3" w:rsidRDefault="00B554A8" w:rsidP="00844847">
            <w:pPr>
              <w:pStyle w:val="xxmsonormal"/>
              <w:shd w:val="clear" w:color="auto" w:fill="FFFFFF"/>
              <w:jc w:val="both"/>
              <w:rPr>
                <w:rFonts w:ascii="Tahoma" w:hAnsi="Tahoma" w:cs="Tahoma"/>
                <w:i/>
                <w:iCs/>
                <w:sz w:val="22"/>
                <w:szCs w:val="22"/>
                <w:lang w:val="en-IN"/>
              </w:rPr>
            </w:pPr>
            <w:r>
              <w:rPr>
                <w:rFonts w:ascii="Tahoma" w:hAnsi="Tahoma" w:cs="Tahoma"/>
                <w:i/>
                <w:iCs/>
              </w:rPr>
              <w:t>Q</w:t>
            </w:r>
            <w:r w:rsidR="00EC5335">
              <w:rPr>
                <w:rFonts w:ascii="Tahoma" w:hAnsi="Tahoma" w:cs="Tahoma"/>
                <w:i/>
                <w:iCs/>
              </w:rPr>
              <w:t>.</w:t>
            </w:r>
            <w:r>
              <w:rPr>
                <w:rFonts w:ascii="Tahoma" w:hAnsi="Tahoma" w:cs="Tahoma"/>
                <w:i/>
                <w:iCs/>
              </w:rPr>
              <w:t>(</w:t>
            </w:r>
            <w:r w:rsidR="00C91BD3">
              <w:rPr>
                <w:rFonts w:ascii="Tahoma" w:hAnsi="Tahoma" w:cs="Tahoma"/>
                <w:i/>
                <w:iCs/>
              </w:rPr>
              <w:t xml:space="preserve">e) </w:t>
            </w:r>
            <w:r w:rsidR="00F4339A">
              <w:rPr>
                <w:rStyle w:val="xxsize"/>
                <w:rFonts w:ascii="Tahoma" w:hAnsi="Tahoma" w:cs="Tahoma"/>
                <w:i/>
                <w:iCs/>
                <w:color w:val="000000"/>
                <w:sz w:val="22"/>
                <w:szCs w:val="22"/>
                <w:shd w:val="clear" w:color="auto" w:fill="FFFFFF"/>
                <w:lang w:val="en-IN"/>
              </w:rPr>
              <w:t>The Further steps or measures taken or proposed to be taken enhance India’s maritime muscle in order to support the country’s growing energy requirements and reduce dependence on foreign shipping?</w:t>
            </w:r>
          </w:p>
          <w:p w14:paraId="494FA022" w14:textId="51550B0B" w:rsidR="00B554A8" w:rsidRDefault="00B554A8" w:rsidP="00F7545F">
            <w:pPr>
              <w:jc w:val="both"/>
              <w:rPr>
                <w:rFonts w:ascii="Tahoma" w:hAnsi="Tahoma" w:cs="Tahoma"/>
                <w:i/>
                <w:iCs/>
              </w:rPr>
            </w:pPr>
          </w:p>
        </w:tc>
        <w:tc>
          <w:tcPr>
            <w:tcW w:w="5216" w:type="dxa"/>
          </w:tcPr>
          <w:p w14:paraId="023F6DDE" w14:textId="3AB8C05C" w:rsidR="00C91BD3" w:rsidRPr="00040065" w:rsidRDefault="00C91BD3" w:rsidP="00C91BD3">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EC5335">
              <w:rPr>
                <w:rFonts w:ascii="Tahoma" w:hAnsi="Tahoma" w:cs="Tahoma"/>
                <w:b/>
                <w:lang w:val="en-US"/>
              </w:rPr>
              <w:t>e</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EBF2347" w14:textId="77777777" w:rsidR="00B554A8" w:rsidRPr="00040065" w:rsidRDefault="00B554A8" w:rsidP="00E60A9C">
            <w:pPr>
              <w:spacing w:after="120"/>
              <w:jc w:val="both"/>
              <w:rPr>
                <w:rFonts w:ascii="Tahoma" w:hAnsi="Tahoma" w:cs="Tahoma"/>
                <w:b/>
                <w:lang w:val="en-US"/>
              </w:rPr>
            </w:pP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altName w:val="Calibri"/>
    <w:charset w:val="00"/>
    <w:family w:val="swiss"/>
    <w:pitch w:val="variable"/>
    <w:sig w:usb0="20000287" w:usb1="00000003" w:usb2="00000000" w:usb3="00000000" w:csb0="0000019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Albertus MT Lt">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2E843F2"/>
    <w:multiLevelType w:val="hybridMultilevel"/>
    <w:tmpl w:val="1A92CC54"/>
    <w:lvl w:ilvl="0" w:tplc="0409000B">
      <w:start w:val="1"/>
      <w:numFmt w:val="bullet"/>
      <w:lvlText w:val=""/>
      <w:lvlJc w:val="left"/>
      <w:pPr>
        <w:ind w:left="525" w:hanging="425"/>
      </w:pPr>
      <w:rPr>
        <w:rFonts w:ascii="Wingdings" w:hAnsi="Wingdings" w:hint="default"/>
        <w:b w:val="0"/>
        <w:bCs w:val="0"/>
        <w:i w:val="0"/>
        <w:iCs w:val="0"/>
        <w:spacing w:val="0"/>
        <w:w w:val="100"/>
        <w:sz w:val="24"/>
        <w:szCs w:val="24"/>
        <w:lang w:val="en-US" w:eastAsia="en-US" w:bidi="ar-SA"/>
      </w:rPr>
    </w:lvl>
    <w:lvl w:ilvl="1" w:tplc="FFFFFFFF">
      <w:numFmt w:val="bullet"/>
      <w:lvlText w:val="•"/>
      <w:lvlJc w:val="left"/>
      <w:pPr>
        <w:ind w:left="1394" w:hanging="425"/>
      </w:pPr>
      <w:rPr>
        <w:lang w:val="en-US" w:eastAsia="en-US" w:bidi="ar-SA"/>
      </w:rPr>
    </w:lvl>
    <w:lvl w:ilvl="2" w:tplc="FFFFFFFF">
      <w:numFmt w:val="bullet"/>
      <w:lvlText w:val="•"/>
      <w:lvlJc w:val="left"/>
      <w:pPr>
        <w:ind w:left="2268" w:hanging="425"/>
      </w:pPr>
      <w:rPr>
        <w:lang w:val="en-US" w:eastAsia="en-US" w:bidi="ar-SA"/>
      </w:rPr>
    </w:lvl>
    <w:lvl w:ilvl="3" w:tplc="FFFFFFFF">
      <w:numFmt w:val="bullet"/>
      <w:lvlText w:val="•"/>
      <w:lvlJc w:val="left"/>
      <w:pPr>
        <w:ind w:left="3142" w:hanging="425"/>
      </w:pPr>
      <w:rPr>
        <w:lang w:val="en-US" w:eastAsia="en-US" w:bidi="ar-SA"/>
      </w:rPr>
    </w:lvl>
    <w:lvl w:ilvl="4" w:tplc="FFFFFFFF">
      <w:numFmt w:val="bullet"/>
      <w:lvlText w:val="•"/>
      <w:lvlJc w:val="left"/>
      <w:pPr>
        <w:ind w:left="4016" w:hanging="425"/>
      </w:pPr>
      <w:rPr>
        <w:lang w:val="en-US" w:eastAsia="en-US" w:bidi="ar-SA"/>
      </w:rPr>
    </w:lvl>
    <w:lvl w:ilvl="5" w:tplc="FFFFFFFF">
      <w:numFmt w:val="bullet"/>
      <w:lvlText w:val="•"/>
      <w:lvlJc w:val="left"/>
      <w:pPr>
        <w:ind w:left="4890" w:hanging="425"/>
      </w:pPr>
      <w:rPr>
        <w:lang w:val="en-US" w:eastAsia="en-US" w:bidi="ar-SA"/>
      </w:rPr>
    </w:lvl>
    <w:lvl w:ilvl="6" w:tplc="FFFFFFFF">
      <w:numFmt w:val="bullet"/>
      <w:lvlText w:val="•"/>
      <w:lvlJc w:val="left"/>
      <w:pPr>
        <w:ind w:left="5764" w:hanging="425"/>
      </w:pPr>
      <w:rPr>
        <w:lang w:val="en-US" w:eastAsia="en-US" w:bidi="ar-SA"/>
      </w:rPr>
    </w:lvl>
    <w:lvl w:ilvl="7" w:tplc="FFFFFFFF">
      <w:numFmt w:val="bullet"/>
      <w:lvlText w:val="•"/>
      <w:lvlJc w:val="left"/>
      <w:pPr>
        <w:ind w:left="6638" w:hanging="425"/>
      </w:pPr>
      <w:rPr>
        <w:lang w:val="en-US" w:eastAsia="en-US" w:bidi="ar-SA"/>
      </w:rPr>
    </w:lvl>
    <w:lvl w:ilvl="8" w:tplc="FFFFFFFF">
      <w:numFmt w:val="bullet"/>
      <w:lvlText w:val="•"/>
      <w:lvlJc w:val="left"/>
      <w:pPr>
        <w:ind w:left="7512" w:hanging="425"/>
      </w:pPr>
      <w:rPr>
        <w:lang w:val="en-US" w:eastAsia="en-US" w:bidi="ar-SA"/>
      </w:rPr>
    </w:lvl>
  </w:abstractNum>
  <w:abstractNum w:abstractNumId="32"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8FC697E"/>
    <w:multiLevelType w:val="hybridMultilevel"/>
    <w:tmpl w:val="673286D6"/>
    <w:lvl w:ilvl="0" w:tplc="79508840">
      <w:start w:val="1"/>
      <w:numFmt w:val="lowerLetter"/>
      <w:lvlText w:val="%1."/>
      <w:lvlJc w:val="left"/>
      <w:pPr>
        <w:ind w:left="815" w:hanging="360"/>
      </w:pPr>
      <w:rPr>
        <w:rFonts w:ascii="Aptos Narrow" w:eastAsia="Times New Roman" w:hAnsi="Aptos Narrow" w:cs="Times New Roman" w:hint="default"/>
        <w:color w:val="000000"/>
      </w:rPr>
    </w:lvl>
    <w:lvl w:ilvl="1" w:tplc="40090019">
      <w:start w:val="1"/>
      <w:numFmt w:val="lowerLetter"/>
      <w:lvlText w:val="%2."/>
      <w:lvlJc w:val="left"/>
      <w:pPr>
        <w:ind w:left="1535" w:hanging="360"/>
      </w:pPr>
    </w:lvl>
    <w:lvl w:ilvl="2" w:tplc="4009001B">
      <w:start w:val="1"/>
      <w:numFmt w:val="lowerRoman"/>
      <w:lvlText w:val="%3."/>
      <w:lvlJc w:val="right"/>
      <w:pPr>
        <w:ind w:left="2255" w:hanging="180"/>
      </w:pPr>
    </w:lvl>
    <w:lvl w:ilvl="3" w:tplc="4009000F">
      <w:start w:val="1"/>
      <w:numFmt w:val="decimal"/>
      <w:lvlText w:val="%4."/>
      <w:lvlJc w:val="left"/>
      <w:pPr>
        <w:ind w:left="2975" w:hanging="360"/>
      </w:pPr>
    </w:lvl>
    <w:lvl w:ilvl="4" w:tplc="40090019">
      <w:start w:val="1"/>
      <w:numFmt w:val="lowerLetter"/>
      <w:lvlText w:val="%5."/>
      <w:lvlJc w:val="left"/>
      <w:pPr>
        <w:ind w:left="3695" w:hanging="360"/>
      </w:pPr>
    </w:lvl>
    <w:lvl w:ilvl="5" w:tplc="4009001B">
      <w:start w:val="1"/>
      <w:numFmt w:val="lowerRoman"/>
      <w:lvlText w:val="%6."/>
      <w:lvlJc w:val="right"/>
      <w:pPr>
        <w:ind w:left="4415" w:hanging="180"/>
      </w:pPr>
    </w:lvl>
    <w:lvl w:ilvl="6" w:tplc="4009000F">
      <w:start w:val="1"/>
      <w:numFmt w:val="decimal"/>
      <w:lvlText w:val="%7."/>
      <w:lvlJc w:val="left"/>
      <w:pPr>
        <w:ind w:left="5135" w:hanging="360"/>
      </w:pPr>
    </w:lvl>
    <w:lvl w:ilvl="7" w:tplc="40090019">
      <w:start w:val="1"/>
      <w:numFmt w:val="lowerLetter"/>
      <w:lvlText w:val="%8."/>
      <w:lvlJc w:val="left"/>
      <w:pPr>
        <w:ind w:left="5855" w:hanging="360"/>
      </w:pPr>
    </w:lvl>
    <w:lvl w:ilvl="8" w:tplc="4009001B">
      <w:start w:val="1"/>
      <w:numFmt w:val="lowerRoman"/>
      <w:lvlText w:val="%9."/>
      <w:lvlJc w:val="right"/>
      <w:pPr>
        <w:ind w:left="6575" w:hanging="180"/>
      </w:pPr>
    </w:lvl>
  </w:abstractNum>
  <w:abstractNum w:abstractNumId="3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3"/>
  </w:num>
  <w:num w:numId="11">
    <w:abstractNumId w:val="23"/>
  </w:num>
  <w:num w:numId="12">
    <w:abstractNumId w:val="21"/>
  </w:num>
  <w:num w:numId="13">
    <w:abstractNumId w:val="35"/>
  </w:num>
  <w:num w:numId="14">
    <w:abstractNumId w:val="27"/>
  </w:num>
  <w:num w:numId="15">
    <w:abstractNumId w:val="38"/>
  </w:num>
  <w:num w:numId="16">
    <w:abstractNumId w:val="19"/>
  </w:num>
  <w:num w:numId="17">
    <w:abstractNumId w:val="20"/>
  </w:num>
  <w:num w:numId="18">
    <w:abstractNumId w:val="15"/>
  </w:num>
  <w:num w:numId="19">
    <w:abstractNumId w:val="30"/>
  </w:num>
  <w:num w:numId="20">
    <w:abstractNumId w:val="33"/>
  </w:num>
  <w:num w:numId="21">
    <w:abstractNumId w:val="6"/>
  </w:num>
  <w:num w:numId="22">
    <w:abstractNumId w:val="42"/>
  </w:num>
  <w:num w:numId="23">
    <w:abstractNumId w:val="28"/>
  </w:num>
  <w:num w:numId="24">
    <w:abstractNumId w:val="22"/>
  </w:num>
  <w:num w:numId="25">
    <w:abstractNumId w:val="12"/>
  </w:num>
  <w:num w:numId="26">
    <w:abstractNumId w:val="9"/>
  </w:num>
  <w:num w:numId="27">
    <w:abstractNumId w:val="4"/>
  </w:num>
  <w:num w:numId="28">
    <w:abstractNumId w:val="36"/>
  </w:num>
  <w:num w:numId="29">
    <w:abstractNumId w:val="39"/>
  </w:num>
  <w:num w:numId="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2"/>
  </w:num>
  <w:num w:numId="35">
    <w:abstractNumId w:val="41"/>
  </w:num>
  <w:num w:numId="36">
    <w:abstractNumId w:val="16"/>
  </w:num>
  <w:num w:numId="37">
    <w:abstractNumId w:val="2"/>
  </w:num>
  <w:num w:numId="38">
    <w:abstractNumId w:val="1"/>
  </w:num>
  <w:num w:numId="39">
    <w:abstractNumId w:val="7"/>
  </w:num>
  <w:num w:numId="40">
    <w:abstractNumId w:val="24"/>
  </w:num>
  <w:num w:numId="41">
    <w:abstractNumId w:val="34"/>
  </w:num>
  <w:num w:numId="42">
    <w:abstractNumId w:val="40"/>
  </w:num>
  <w:num w:numId="43">
    <w:abstractNumId w:val="14"/>
  </w:num>
  <w:num w:numId="44">
    <w:abstractNumId w:val="31"/>
  </w:num>
  <w:num w:numId="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6CAF"/>
    <w:rsid w:val="00110B0D"/>
    <w:rsid w:val="0011251C"/>
    <w:rsid w:val="001151F2"/>
    <w:rsid w:val="001246C7"/>
    <w:rsid w:val="00127A71"/>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E648F"/>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36D7"/>
    <w:rsid w:val="002C07CD"/>
    <w:rsid w:val="002C2F3A"/>
    <w:rsid w:val="002D5897"/>
    <w:rsid w:val="002E2DA8"/>
    <w:rsid w:val="002E5790"/>
    <w:rsid w:val="002E61F1"/>
    <w:rsid w:val="002E7EBA"/>
    <w:rsid w:val="002F2731"/>
    <w:rsid w:val="002F5F62"/>
    <w:rsid w:val="0030475B"/>
    <w:rsid w:val="00312D2B"/>
    <w:rsid w:val="003179D3"/>
    <w:rsid w:val="0032755B"/>
    <w:rsid w:val="00335C1C"/>
    <w:rsid w:val="00337F1D"/>
    <w:rsid w:val="00341AF7"/>
    <w:rsid w:val="00345A27"/>
    <w:rsid w:val="00350D11"/>
    <w:rsid w:val="003544AE"/>
    <w:rsid w:val="003601F4"/>
    <w:rsid w:val="00375F76"/>
    <w:rsid w:val="0038585B"/>
    <w:rsid w:val="003859BE"/>
    <w:rsid w:val="00393FB4"/>
    <w:rsid w:val="003A12FC"/>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37B92"/>
    <w:rsid w:val="0044759C"/>
    <w:rsid w:val="00452FD5"/>
    <w:rsid w:val="00453188"/>
    <w:rsid w:val="00463A0C"/>
    <w:rsid w:val="004A3F30"/>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3CE2"/>
    <w:rsid w:val="00524BCB"/>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B0288"/>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5FA0"/>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33425"/>
    <w:rsid w:val="007420CA"/>
    <w:rsid w:val="00745480"/>
    <w:rsid w:val="007566E9"/>
    <w:rsid w:val="007601BC"/>
    <w:rsid w:val="0076576F"/>
    <w:rsid w:val="007700CA"/>
    <w:rsid w:val="00787588"/>
    <w:rsid w:val="007918D9"/>
    <w:rsid w:val="007A2889"/>
    <w:rsid w:val="007B1B7A"/>
    <w:rsid w:val="007B5BAF"/>
    <w:rsid w:val="007C2857"/>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44847"/>
    <w:rsid w:val="008506B3"/>
    <w:rsid w:val="00851623"/>
    <w:rsid w:val="0085652B"/>
    <w:rsid w:val="0085731D"/>
    <w:rsid w:val="0085767A"/>
    <w:rsid w:val="00857BB5"/>
    <w:rsid w:val="00884A02"/>
    <w:rsid w:val="008875A6"/>
    <w:rsid w:val="0089111D"/>
    <w:rsid w:val="0089558B"/>
    <w:rsid w:val="008B23B3"/>
    <w:rsid w:val="008B492E"/>
    <w:rsid w:val="008C1FAB"/>
    <w:rsid w:val="008D1ADC"/>
    <w:rsid w:val="008D470F"/>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6610"/>
    <w:rsid w:val="00A3735E"/>
    <w:rsid w:val="00A40A9F"/>
    <w:rsid w:val="00A41779"/>
    <w:rsid w:val="00A41B22"/>
    <w:rsid w:val="00A44788"/>
    <w:rsid w:val="00A44F46"/>
    <w:rsid w:val="00A5073A"/>
    <w:rsid w:val="00A62CDE"/>
    <w:rsid w:val="00A67BEF"/>
    <w:rsid w:val="00A83A36"/>
    <w:rsid w:val="00A8485C"/>
    <w:rsid w:val="00A91DB3"/>
    <w:rsid w:val="00A92834"/>
    <w:rsid w:val="00AE10C1"/>
    <w:rsid w:val="00AE3F37"/>
    <w:rsid w:val="00B234E6"/>
    <w:rsid w:val="00B32638"/>
    <w:rsid w:val="00B3384E"/>
    <w:rsid w:val="00B355C9"/>
    <w:rsid w:val="00B475C0"/>
    <w:rsid w:val="00B50E79"/>
    <w:rsid w:val="00B519EF"/>
    <w:rsid w:val="00B554A8"/>
    <w:rsid w:val="00B653C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15630"/>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87458"/>
    <w:rsid w:val="00C91076"/>
    <w:rsid w:val="00C91BD3"/>
    <w:rsid w:val="00C968B7"/>
    <w:rsid w:val="00C97D4E"/>
    <w:rsid w:val="00CA3E7A"/>
    <w:rsid w:val="00CB2C12"/>
    <w:rsid w:val="00CB7949"/>
    <w:rsid w:val="00CC5EF4"/>
    <w:rsid w:val="00CD6DC6"/>
    <w:rsid w:val="00CE5DA4"/>
    <w:rsid w:val="00CF1922"/>
    <w:rsid w:val="00D03791"/>
    <w:rsid w:val="00D04540"/>
    <w:rsid w:val="00D079D3"/>
    <w:rsid w:val="00D11D57"/>
    <w:rsid w:val="00D15723"/>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02B5"/>
    <w:rsid w:val="00DF1C17"/>
    <w:rsid w:val="00DF270C"/>
    <w:rsid w:val="00E02CD6"/>
    <w:rsid w:val="00E06B03"/>
    <w:rsid w:val="00E14F53"/>
    <w:rsid w:val="00E339E5"/>
    <w:rsid w:val="00E36BCC"/>
    <w:rsid w:val="00E37BCB"/>
    <w:rsid w:val="00E44632"/>
    <w:rsid w:val="00E454EE"/>
    <w:rsid w:val="00E45807"/>
    <w:rsid w:val="00E60A9C"/>
    <w:rsid w:val="00E74050"/>
    <w:rsid w:val="00E869E0"/>
    <w:rsid w:val="00E96B7E"/>
    <w:rsid w:val="00EB0203"/>
    <w:rsid w:val="00EB5F4C"/>
    <w:rsid w:val="00EB6DB5"/>
    <w:rsid w:val="00EC533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339A"/>
    <w:rsid w:val="00F47FDD"/>
    <w:rsid w:val="00F61966"/>
    <w:rsid w:val="00F636E8"/>
    <w:rsid w:val="00F6408C"/>
    <w:rsid w:val="00F7545F"/>
    <w:rsid w:val="00F87024"/>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 w:type="paragraph" w:customStyle="1" w:styleId="xxx1585368544xxmsonormal">
    <w:name w:val="x_x_x1585368544xxmsonormal"/>
    <w:basedOn w:val="Normal"/>
    <w:rsid w:val="00733425"/>
    <w:pPr>
      <w:spacing w:before="100" w:beforeAutospacing="1" w:after="100" w:afterAutospacing="1" w:line="240" w:lineRule="auto"/>
    </w:pPr>
    <w:rPr>
      <w:rFonts w:ascii="Aptos" w:hAnsi="Aptos" w:cs="Calibri"/>
      <w:sz w:val="24"/>
      <w:szCs w:val="24"/>
      <w:lang w:val="en-US" w:bidi="hi-IN"/>
    </w:rPr>
  </w:style>
  <w:style w:type="character" w:customStyle="1" w:styleId="xxsize">
    <w:name w:val="x_x_size"/>
    <w:basedOn w:val="DefaultParagraphFont"/>
    <w:rsid w:val="00733425"/>
  </w:style>
  <w:style w:type="paragraph" w:customStyle="1" w:styleId="xxmsonormal">
    <w:name w:val="x_x_msonormal"/>
    <w:basedOn w:val="Normal"/>
    <w:rsid w:val="00B554A8"/>
    <w:pPr>
      <w:spacing w:after="0" w:line="240" w:lineRule="auto"/>
    </w:pPr>
    <w:rPr>
      <w:rFonts w:ascii="Aptos" w:hAnsi="Aptos" w:cs="Calibri"/>
      <w:sz w:val="24"/>
      <w:szCs w:val="24"/>
      <w:lang w:val="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4498342">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33955340">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67507598">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4.xml><?xml version="1.0" encoding="utf-8"?>
<ds:datastoreItem xmlns:ds="http://schemas.openxmlformats.org/officeDocument/2006/customXml" ds:itemID="{32C57BB4-2C2F-45DE-A422-E0C51B917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1120</Words>
  <Characters>6385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2025-12-03T12:46:00Z</cp:lastPrinted>
  <dcterms:created xsi:type="dcterms:W3CDTF">2025-12-03T10:50:00Z</dcterms:created>
  <dcterms:modified xsi:type="dcterms:W3CDTF">2025-12-03T12:47:00Z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