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6EB75F" w14:textId="59E669E8" w:rsidR="00F0733E" w:rsidRDefault="00F0733E" w:rsidP="00F0733E">
      <w:pPr>
        <w:spacing w:after="0"/>
        <w:ind w:right="-392"/>
        <w:rPr>
          <w:rFonts w:ascii="Tahoma" w:hAnsi="Tahoma" w:cs="Tahoma"/>
          <w:b/>
          <w:lang w:val="en-US"/>
        </w:rPr>
      </w:pPr>
      <w:bookmarkStart w:id="0" w:name="_GoBack"/>
      <w:bookmarkEnd w:id="0"/>
      <w:r>
        <w:rPr>
          <w:rFonts w:ascii="Tahoma" w:hAnsi="Tahoma" w:cs="Tahoma"/>
          <w:b/>
          <w:lang w:val="en-US"/>
        </w:rPr>
        <w:t>OIL/PLNG/54/2/3/2025/</w:t>
      </w:r>
      <w:r w:rsidR="00E1058A">
        <w:rPr>
          <w:rFonts w:ascii="Tahoma" w:hAnsi="Tahoma" w:cs="Tahoma"/>
          <w:b/>
          <w:lang w:val="en-US"/>
        </w:rPr>
        <w:t>379</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E44616">
        <w:rPr>
          <w:rFonts w:ascii="Tahoma" w:hAnsi="Tahoma" w:cs="Tahoma"/>
          <w:b/>
          <w:lang w:val="en-US"/>
        </w:rPr>
        <w:t>4</w:t>
      </w:r>
      <w:r w:rsidR="00E44616">
        <w:rPr>
          <w:rFonts w:ascii="Tahoma" w:hAnsi="Tahoma" w:cs="Tahoma"/>
          <w:b/>
          <w:vertAlign w:val="superscript"/>
          <w:lang w:val="en-US"/>
        </w:rPr>
        <w:t>th</w:t>
      </w:r>
      <w:r>
        <w:rPr>
          <w:rFonts w:ascii="Tahoma" w:hAnsi="Tahoma" w:cs="Tahoma"/>
          <w:b/>
          <w:lang w:val="en-US"/>
        </w:rPr>
        <w:t xml:space="preserve"> December, 2025</w:t>
      </w:r>
    </w:p>
    <w:p w14:paraId="0B7D86F0" w14:textId="77777777" w:rsidR="00F0733E" w:rsidRDefault="00F0733E" w:rsidP="00F0733E">
      <w:pPr>
        <w:spacing w:after="0"/>
        <w:ind w:right="-28"/>
        <w:rPr>
          <w:rFonts w:ascii="Tahoma" w:hAnsi="Tahoma" w:cs="Tahoma"/>
          <w:lang w:val="en-US"/>
        </w:rPr>
      </w:pPr>
    </w:p>
    <w:p w14:paraId="69AE6D57" w14:textId="77777777" w:rsidR="00F0733E" w:rsidRDefault="00F0733E" w:rsidP="00F0733E">
      <w:pPr>
        <w:spacing w:after="0"/>
        <w:rPr>
          <w:rFonts w:ascii="Tahoma" w:hAnsi="Tahoma" w:cs="Tahoma"/>
          <w:lang w:val="en-US"/>
        </w:rPr>
      </w:pPr>
      <w:r>
        <w:rPr>
          <w:rFonts w:ascii="Tahoma" w:hAnsi="Tahoma" w:cs="Tahoma"/>
          <w:lang w:val="en-US"/>
        </w:rPr>
        <w:t>Ministry of Petroleum and Natural Gas</w:t>
      </w:r>
    </w:p>
    <w:p w14:paraId="63A59FBC" w14:textId="77777777" w:rsidR="00F0733E" w:rsidRDefault="00F0733E" w:rsidP="00F0733E">
      <w:pPr>
        <w:spacing w:after="0"/>
        <w:ind w:right="-482"/>
        <w:rPr>
          <w:rFonts w:ascii="Tahoma" w:hAnsi="Tahoma" w:cs="Tahoma"/>
          <w:lang w:val="en-US"/>
        </w:rPr>
      </w:pPr>
      <w:r>
        <w:rPr>
          <w:rFonts w:ascii="Tahoma" w:hAnsi="Tahoma" w:cs="Tahoma"/>
          <w:lang w:val="en-US"/>
        </w:rPr>
        <w:t>Kartavya Bhawan-03, Janpath</w:t>
      </w:r>
    </w:p>
    <w:p w14:paraId="63EDD62C" w14:textId="77777777" w:rsidR="00F0733E" w:rsidRDefault="00F0733E" w:rsidP="00F0733E">
      <w:pPr>
        <w:spacing w:after="0"/>
        <w:rPr>
          <w:rFonts w:ascii="Tahoma" w:hAnsi="Tahoma" w:cs="Tahoma"/>
          <w:b/>
          <w:lang w:val="en-US"/>
        </w:rPr>
      </w:pPr>
      <w:r>
        <w:rPr>
          <w:rFonts w:ascii="Tahoma" w:hAnsi="Tahoma" w:cs="Tahoma"/>
          <w:b/>
          <w:bCs/>
          <w:u w:val="single"/>
          <w:lang w:val="en-US"/>
        </w:rPr>
        <w:t>New Delhi - 110001</w:t>
      </w:r>
      <w:r>
        <w:rPr>
          <w:rFonts w:ascii="Tahoma" w:hAnsi="Tahoma" w:cs="Tahoma"/>
          <w:b/>
          <w:bCs/>
          <w:lang w:val="en-US"/>
        </w:rPr>
        <w:t xml:space="preserve">                              </w:t>
      </w:r>
      <w:r>
        <w:rPr>
          <w:rFonts w:ascii="Tahoma" w:hAnsi="Tahoma" w:cs="Tahoma"/>
          <w:b/>
          <w:lang w:val="en-US"/>
        </w:rPr>
        <w:t xml:space="preserve">                                      </w:t>
      </w:r>
    </w:p>
    <w:p w14:paraId="363E3EE3" w14:textId="6BCEA15B" w:rsidR="00F0733E" w:rsidRDefault="00F0733E" w:rsidP="00F0733E">
      <w:pPr>
        <w:spacing w:after="0"/>
        <w:jc w:val="right"/>
        <w:rPr>
          <w:rFonts w:ascii="Tahoma" w:hAnsi="Tahoma" w:cs="Tahoma"/>
          <w:u w:val="single"/>
          <w:lang w:val="en-US"/>
        </w:rPr>
      </w:pPr>
      <w:r>
        <w:rPr>
          <w:rFonts w:ascii="Tahoma" w:hAnsi="Tahoma" w:cs="Tahoma"/>
          <w:b/>
          <w:lang w:val="en-US"/>
        </w:rPr>
        <w:t xml:space="preserve"> </w:t>
      </w:r>
      <w:r>
        <w:rPr>
          <w:rFonts w:ascii="Tahoma" w:hAnsi="Tahoma" w:cs="Tahoma"/>
          <w:b/>
          <w:lang w:val="en-US"/>
        </w:rPr>
        <w:tab/>
        <w:t xml:space="preserve"> </w:t>
      </w:r>
      <w:r>
        <w:rPr>
          <w:rFonts w:ascii="Tahoma" w:hAnsi="Tahoma" w:cs="Tahoma"/>
          <w:b/>
          <w:lang w:val="en-US"/>
        </w:rPr>
        <w:tab/>
      </w:r>
      <w:r>
        <w:rPr>
          <w:rFonts w:ascii="Tahoma" w:hAnsi="Tahoma" w:cs="Tahoma"/>
          <w:b/>
          <w:lang w:val="en-US"/>
        </w:rPr>
        <w:tab/>
      </w:r>
      <w:r w:rsidR="00655890">
        <w:rPr>
          <w:rFonts w:ascii="Tahoma" w:hAnsi="Tahoma" w:cs="Tahoma"/>
          <w:b/>
          <w:lang w:val="en-US"/>
        </w:rPr>
        <w:t xml:space="preserve">     </w:t>
      </w:r>
      <w:r>
        <w:rPr>
          <w:rFonts w:ascii="Tahoma" w:hAnsi="Tahoma" w:cs="Tahoma"/>
          <w:b/>
          <w:lang w:val="en-US"/>
        </w:rPr>
        <w:t xml:space="preserve">Kind Attn: </w:t>
      </w:r>
      <w:r>
        <w:rPr>
          <w:rFonts w:ascii="Tahoma" w:hAnsi="Tahoma" w:cs="Tahoma"/>
          <w:b/>
        </w:rPr>
        <w:t xml:space="preserve">Sh. </w:t>
      </w:r>
      <w:r w:rsidR="0052212D">
        <w:rPr>
          <w:rFonts w:ascii="Tahoma" w:hAnsi="Tahoma" w:cs="Tahoma"/>
          <w:b/>
        </w:rPr>
        <w:t>Satpal Yadav</w:t>
      </w:r>
    </w:p>
    <w:p w14:paraId="1028A376" w14:textId="067BC703" w:rsidR="00207FB5" w:rsidRPr="00207FB5" w:rsidRDefault="00F0733E" w:rsidP="00207FB5">
      <w:pPr>
        <w:spacing w:after="0"/>
        <w:ind w:right="-482"/>
        <w:jc w:val="right"/>
        <w:rPr>
          <w:rFonts w:ascii="Tahoma" w:hAnsi="Tahoma" w:cs="Tahoma"/>
          <w:bCs/>
          <w:u w:val="single"/>
        </w:rPr>
      </w:pPr>
      <w:r>
        <w:rPr>
          <w:rFonts w:ascii="Tahoma" w:hAnsi="Tahoma" w:cs="Tahoma"/>
          <w:b/>
          <w:lang w:val="en-US"/>
        </w:rPr>
        <w:t xml:space="preserve">                                                                    </w:t>
      </w:r>
      <w:r w:rsidR="00207FB5" w:rsidRPr="00207FB5">
        <w:rPr>
          <w:rFonts w:ascii="Tahoma" w:hAnsi="Tahoma" w:cs="Tahoma"/>
          <w:bCs/>
          <w:u w:val="single"/>
        </w:rPr>
        <w:t>Assistant Section Officer</w:t>
      </w:r>
      <w:r w:rsidR="00207FB5">
        <w:rPr>
          <w:rFonts w:ascii="Tahoma" w:hAnsi="Tahoma" w:cs="Tahoma"/>
          <w:bCs/>
          <w:u w:val="single"/>
        </w:rPr>
        <w:t xml:space="preserve"> (ONG I &amp;ONG V)</w:t>
      </w:r>
    </w:p>
    <w:p w14:paraId="38AD0491" w14:textId="77777777" w:rsidR="00F0733E" w:rsidRDefault="00F0733E" w:rsidP="00207FB5">
      <w:pPr>
        <w:spacing w:after="0"/>
        <w:ind w:right="-482"/>
        <w:rPr>
          <w:rFonts w:ascii="Tahoma" w:hAnsi="Tahoma" w:cs="Tahoma"/>
          <w:bCs/>
          <w:u w:val="single"/>
        </w:rPr>
      </w:pPr>
      <w:r>
        <w:rPr>
          <w:rFonts w:ascii="Tahoma" w:hAnsi="Tahoma" w:cs="Tahoma"/>
          <w:b/>
          <w:lang w:val="en-US"/>
        </w:rPr>
        <w:t xml:space="preserve">                                                                                        </w:t>
      </w:r>
      <w:r>
        <w:rPr>
          <w:rFonts w:ascii="Tahoma" w:hAnsi="Tahoma" w:cs="Tahoma"/>
          <w:b/>
          <w:bCs/>
          <w:u w:val="single"/>
          <w:lang w:val="en-US"/>
        </w:rPr>
        <w:t xml:space="preserve">                                                                  </w:t>
      </w:r>
      <w:r>
        <w:rPr>
          <w:rFonts w:ascii="Tahoma" w:hAnsi="Tahoma" w:cs="Tahoma"/>
          <w:b/>
          <w:lang w:val="en-US"/>
        </w:rPr>
        <w:t xml:space="preserve">                                                                                                 </w:t>
      </w:r>
    </w:p>
    <w:p w14:paraId="6094FB7A" w14:textId="4A449CDA" w:rsidR="00F0733E" w:rsidRDefault="00F0733E" w:rsidP="00F0733E">
      <w:pPr>
        <w:tabs>
          <w:tab w:val="left" w:pos="1440"/>
        </w:tabs>
        <w:spacing w:after="0" w:line="240" w:lineRule="auto"/>
        <w:ind w:right="-563"/>
        <w:rPr>
          <w:rFonts w:ascii="Tahoma" w:hAnsi="Tahoma" w:cs="Tahoma"/>
          <w:lang w:val="en-US"/>
        </w:rPr>
      </w:pPr>
      <w:r>
        <w:rPr>
          <w:rFonts w:ascii="Tahoma" w:hAnsi="Tahoma" w:cs="Tahoma"/>
          <w:b/>
          <w:lang w:val="en-US"/>
        </w:rPr>
        <w:t>Sub</w:t>
      </w:r>
      <w:r>
        <w:rPr>
          <w:rFonts w:ascii="Tahoma" w:hAnsi="Tahoma" w:cs="Tahoma"/>
          <w:lang w:val="en-US"/>
        </w:rPr>
        <w:t xml:space="preserve">: Rajya Sabha Provisionally Admitted Starred /Unstarred Question Dy. No. </w:t>
      </w:r>
      <w:r>
        <w:rPr>
          <w:rFonts w:ascii="Tahoma" w:hAnsi="Tahoma" w:cs="Tahoma"/>
          <w:b/>
          <w:bCs/>
        </w:rPr>
        <w:t>S34</w:t>
      </w:r>
      <w:r w:rsidR="0052212D">
        <w:rPr>
          <w:rFonts w:ascii="Tahoma" w:hAnsi="Tahoma" w:cs="Tahoma"/>
          <w:b/>
          <w:bCs/>
        </w:rPr>
        <w:t>81</w:t>
      </w:r>
      <w:r>
        <w:rPr>
          <w:rFonts w:ascii="Tahoma" w:hAnsi="Tahoma" w:cs="Tahoma"/>
          <w:b/>
          <w:bCs/>
        </w:rPr>
        <w:t xml:space="preserve"> </w:t>
      </w:r>
      <w:r>
        <w:rPr>
          <w:rFonts w:ascii="Tahoma" w:hAnsi="Tahoma" w:cs="Tahoma"/>
          <w:lang w:val="en-US"/>
        </w:rPr>
        <w:t xml:space="preserve">for 08.12.2025 </w:t>
      </w:r>
    </w:p>
    <w:p w14:paraId="4E805821" w14:textId="1BD619CD" w:rsidR="00F0733E" w:rsidRDefault="00F0733E" w:rsidP="00F0733E">
      <w:pPr>
        <w:tabs>
          <w:tab w:val="left" w:pos="1440"/>
        </w:tabs>
        <w:spacing w:after="0" w:line="240" w:lineRule="auto"/>
        <w:ind w:left="1701" w:right="-572" w:hanging="1701"/>
        <w:rPr>
          <w:rFonts w:ascii="Tahoma" w:hAnsi="Tahoma" w:cs="Tahoma"/>
          <w:b/>
        </w:rPr>
      </w:pPr>
      <w:r>
        <w:rPr>
          <w:rFonts w:ascii="Tahoma" w:hAnsi="Tahoma" w:cs="Tahoma"/>
          <w:lang w:val="en-US"/>
        </w:rPr>
        <w:t xml:space="preserve">        Regarding </w:t>
      </w:r>
      <w:r>
        <w:rPr>
          <w:rFonts w:ascii="Tahoma" w:hAnsi="Tahoma" w:cs="Tahoma"/>
          <w:b/>
          <w:lang w:val="en-US"/>
        </w:rPr>
        <w:t>“</w:t>
      </w:r>
      <w:r w:rsidR="009E73A4" w:rsidRPr="009E73A4">
        <w:rPr>
          <w:rFonts w:ascii="Tahoma" w:hAnsi="Tahoma" w:cs="Tahoma"/>
          <w:b/>
          <w:bCs/>
        </w:rPr>
        <w:t>Proposed in the Petroleum and Natural Gas Rules, 2025</w:t>
      </w:r>
      <w:r>
        <w:rPr>
          <w:rFonts w:ascii="Tahoma" w:hAnsi="Tahoma" w:cs="Tahoma"/>
          <w:b/>
          <w:bCs/>
        </w:rPr>
        <w:t>”</w:t>
      </w:r>
    </w:p>
    <w:p w14:paraId="2CC1B78A" w14:textId="77777777" w:rsidR="00F0733E" w:rsidRDefault="00F0733E" w:rsidP="00F0733E">
      <w:pPr>
        <w:tabs>
          <w:tab w:val="left" w:pos="709"/>
          <w:tab w:val="center" w:pos="4817"/>
        </w:tabs>
        <w:spacing w:after="0"/>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27.11.2025</w:t>
      </w:r>
    </w:p>
    <w:p w14:paraId="1EAB02E6" w14:textId="77777777" w:rsidR="00F0733E" w:rsidRDefault="00F0733E" w:rsidP="00F0733E">
      <w:pPr>
        <w:tabs>
          <w:tab w:val="left" w:pos="709"/>
          <w:tab w:val="center" w:pos="4817"/>
        </w:tabs>
        <w:spacing w:after="0"/>
        <w:ind w:right="-306"/>
        <w:rPr>
          <w:rFonts w:ascii="Tahoma" w:hAnsi="Tahoma" w:cs="Tahoma"/>
          <w:lang w:val="en-US"/>
        </w:rPr>
      </w:pPr>
    </w:p>
    <w:p w14:paraId="219AFC43" w14:textId="77777777" w:rsidR="00F0733E" w:rsidRDefault="00F0733E" w:rsidP="00F0733E">
      <w:pPr>
        <w:spacing w:after="0"/>
        <w:ind w:right="-613"/>
        <w:rPr>
          <w:rFonts w:ascii="Tahoma" w:hAnsi="Tahoma" w:cs="Tahoma"/>
          <w:lang w:val="en-US"/>
        </w:rPr>
      </w:pPr>
      <w:r>
        <w:rPr>
          <w:rFonts w:ascii="Tahoma" w:hAnsi="Tahoma" w:cs="Tahoma"/>
          <w:lang w:val="en-US"/>
        </w:rPr>
        <w:t>Sir,</w:t>
      </w:r>
    </w:p>
    <w:p w14:paraId="51CC4D7C" w14:textId="77777777" w:rsidR="00F0733E" w:rsidRDefault="00F0733E" w:rsidP="00F0733E">
      <w:pPr>
        <w:spacing w:after="0"/>
        <w:rPr>
          <w:rFonts w:ascii="Tahoma" w:hAnsi="Tahoma" w:cs="Tahoma"/>
          <w:lang w:val="en-US"/>
        </w:rPr>
      </w:pPr>
      <w:r>
        <w:rPr>
          <w:rFonts w:ascii="Tahoma" w:hAnsi="Tahoma" w:cs="Tahoma"/>
          <w:lang w:val="en-US"/>
        </w:rPr>
        <w:t xml:space="preserve">       </w:t>
      </w:r>
      <w:r>
        <w:rPr>
          <w:rFonts w:ascii="Tahoma" w:hAnsi="Tahoma" w:cs="Tahoma"/>
          <w:lang w:val="en-US"/>
        </w:rPr>
        <w:tab/>
        <w:t>Reference above, our reply to the above Lok Sabha Question is as follows:</w:t>
      </w:r>
    </w:p>
    <w:tbl>
      <w:tblPr>
        <w:tblStyle w:val="TableGrid"/>
        <w:tblW w:w="9750" w:type="dxa"/>
        <w:tblInd w:w="0" w:type="dxa"/>
        <w:tblLayout w:type="fixed"/>
        <w:tblLook w:val="04A0" w:firstRow="1" w:lastRow="0" w:firstColumn="1" w:lastColumn="0" w:noHBand="0" w:noVBand="1"/>
      </w:tblPr>
      <w:tblGrid>
        <w:gridCol w:w="4391"/>
        <w:gridCol w:w="5359"/>
      </w:tblGrid>
      <w:tr w:rsidR="00F0733E" w14:paraId="365295E9" w14:textId="77777777" w:rsidTr="00F0733E">
        <w:trPr>
          <w:trHeight w:val="1208"/>
        </w:trPr>
        <w:tc>
          <w:tcPr>
            <w:tcW w:w="4391" w:type="dxa"/>
            <w:tcBorders>
              <w:top w:val="single" w:sz="4" w:space="0" w:color="auto"/>
              <w:left w:val="single" w:sz="4" w:space="0" w:color="auto"/>
              <w:bottom w:val="single" w:sz="4" w:space="0" w:color="auto"/>
              <w:right w:val="single" w:sz="4" w:space="0" w:color="auto"/>
            </w:tcBorders>
            <w:hideMark/>
          </w:tcPr>
          <w:p w14:paraId="25C58243" w14:textId="5FC98B6B" w:rsidR="00F0733E" w:rsidRPr="006C3B2A" w:rsidRDefault="00F0733E" w:rsidP="00F0733E">
            <w:pPr>
              <w:jc w:val="both"/>
              <w:rPr>
                <w:rFonts w:ascii="Tahoma" w:hAnsi="Tahoma" w:cs="Tahoma"/>
                <w:i/>
                <w:iCs/>
              </w:rPr>
            </w:pPr>
            <w:r>
              <w:rPr>
                <w:rFonts w:ascii="Tahoma" w:hAnsi="Tahoma" w:cs="Tahoma"/>
                <w:i/>
                <w:iCs/>
              </w:rPr>
              <w:t xml:space="preserve">Q.(a) </w:t>
            </w:r>
            <w:r w:rsidR="006C3B2A" w:rsidRPr="006C3B2A">
              <w:rPr>
                <w:rFonts w:ascii="Tahoma" w:hAnsi="Tahoma" w:cs="Tahoma"/>
                <w:i/>
                <w:iCs/>
              </w:rPr>
              <w:t>the objective and significance of the proposed “stability clause” in the Draft Petroleum and Natural Gas Rules, 2025, and the kind of protection it would provide to investors</w:t>
            </w:r>
          </w:p>
          <w:p w14:paraId="2523139E" w14:textId="77777777" w:rsidR="00F0733E" w:rsidRDefault="00F0733E">
            <w:pPr>
              <w:shd w:val="clear" w:color="auto" w:fill="FFFFFF"/>
              <w:jc w:val="both"/>
              <w:rPr>
                <w:rFonts w:ascii="Verdana" w:eastAsia="Times New Roman" w:hAnsi="Verdana"/>
                <w:color w:val="000000"/>
                <w:sz w:val="20"/>
                <w:szCs w:val="20"/>
                <w:lang w:val="en-US" w:bidi="hi-IN"/>
              </w:rPr>
            </w:pPr>
          </w:p>
        </w:tc>
        <w:tc>
          <w:tcPr>
            <w:tcW w:w="5359" w:type="dxa"/>
            <w:tcBorders>
              <w:top w:val="single" w:sz="4" w:space="0" w:color="auto"/>
              <w:left w:val="single" w:sz="4" w:space="0" w:color="auto"/>
              <w:bottom w:val="single" w:sz="4" w:space="0" w:color="auto"/>
              <w:right w:val="single" w:sz="4" w:space="0" w:color="auto"/>
            </w:tcBorders>
            <w:hideMark/>
          </w:tcPr>
          <w:p w14:paraId="1D2B27FB" w14:textId="77777777" w:rsidR="00F0733E" w:rsidRDefault="00F0733E">
            <w:pPr>
              <w:spacing w:after="120" w:line="240" w:lineRule="auto"/>
              <w:jc w:val="both"/>
              <w:rPr>
                <w:rFonts w:ascii="Tahoma" w:eastAsia="Times New Roman" w:hAnsi="Tahoma" w:cs="Tahoma"/>
                <w:b/>
                <w:bCs/>
                <w:kern w:val="2"/>
                <w14:ligatures w14:val="standardContextual"/>
              </w:rPr>
            </w:pPr>
            <w:r>
              <w:rPr>
                <w:rFonts w:ascii="Tahoma" w:hAnsi="Tahoma" w:cs="Tahoma"/>
                <w:b/>
                <w:lang w:val="en-US"/>
              </w:rPr>
              <w:t>Answer to Q(a):</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1D8C96B8" w14:textId="77777777" w:rsidR="001762B8" w:rsidRPr="001762B8" w:rsidRDefault="001762B8" w:rsidP="001762B8">
            <w:pPr>
              <w:spacing w:after="120" w:line="240" w:lineRule="auto"/>
              <w:jc w:val="both"/>
              <w:rPr>
                <w:rFonts w:ascii="Tahoma" w:eastAsia="Times New Roman" w:hAnsi="Tahoma" w:cs="Tahoma"/>
                <w:kern w:val="2"/>
                <w14:ligatures w14:val="standardContextual"/>
              </w:rPr>
            </w:pPr>
            <w:r w:rsidRPr="001762B8">
              <w:rPr>
                <w:rFonts w:ascii="Tahoma" w:eastAsia="Times New Roman" w:hAnsi="Tahoma" w:cs="Tahoma"/>
                <w:kern w:val="2"/>
                <w14:ligatures w14:val="standardContextual"/>
              </w:rPr>
              <w:t>The stability clause in the Draft Petroleum and Natural Gas Rules, 2025 is basically meant to protect oil and gas companies from losing money if the government changes laws after they’ve signed a petroleum lease. A “change in law” includes anything like increased taxes, new fees, new laws, or even a new court interpretation that makes the company pay more than what was expected at the time of signing.</w:t>
            </w:r>
          </w:p>
          <w:p w14:paraId="77851374" w14:textId="77777777" w:rsidR="00CC2293" w:rsidRDefault="001762B8">
            <w:pPr>
              <w:spacing w:after="120" w:line="240" w:lineRule="auto"/>
              <w:jc w:val="both"/>
              <w:rPr>
                <w:rFonts w:ascii="Tahoma" w:eastAsia="Times New Roman" w:hAnsi="Tahoma" w:cs="Tahoma"/>
                <w:kern w:val="2"/>
                <w14:ligatures w14:val="standardContextual"/>
              </w:rPr>
            </w:pPr>
            <w:r w:rsidRPr="001762B8">
              <w:rPr>
                <w:rFonts w:ascii="Tahoma" w:eastAsia="Times New Roman" w:hAnsi="Tahoma" w:cs="Tahoma"/>
                <w:kern w:val="2"/>
                <w14:ligatures w14:val="standardContextual"/>
              </w:rPr>
              <w:t xml:space="preserve">If such changes reduce the company’s earnings, the clause allows them to give a 90-day notice and then deduct the extra cost from the payments they owe to the Central or State Government, as long as they provide documents proving the impact. The government can still challenge the deduction through the contract’s dispute process. </w:t>
            </w:r>
          </w:p>
          <w:p w14:paraId="1938E269" w14:textId="223C1F2F" w:rsidR="001762B8" w:rsidRPr="00C95B79" w:rsidRDefault="001762B8">
            <w:pPr>
              <w:spacing w:after="120" w:line="240" w:lineRule="auto"/>
              <w:jc w:val="both"/>
              <w:rPr>
                <w:rFonts w:ascii="Tahoma" w:eastAsia="Times New Roman" w:hAnsi="Tahoma" w:cs="Tahoma"/>
                <w:b/>
                <w:bCs/>
                <w:kern w:val="2"/>
                <w14:ligatures w14:val="standardContextual"/>
              </w:rPr>
            </w:pPr>
            <w:r w:rsidRPr="001762B8">
              <w:rPr>
                <w:rFonts w:ascii="Tahoma" w:eastAsia="Times New Roman" w:hAnsi="Tahoma" w:cs="Tahoma"/>
                <w:kern w:val="2"/>
                <w14:ligatures w14:val="standardContextual"/>
              </w:rPr>
              <w:t>Overall, this clause makes investing in India’s oil and gas sector less risky and more attractive by ensuring companies don’t get hurt financially due to sudden legal or fiscal changes.</w:t>
            </w:r>
          </w:p>
        </w:tc>
      </w:tr>
      <w:tr w:rsidR="00F0733E" w14:paraId="23B84FD7" w14:textId="77777777" w:rsidTr="00F0733E">
        <w:trPr>
          <w:trHeight w:val="1230"/>
        </w:trPr>
        <w:tc>
          <w:tcPr>
            <w:tcW w:w="4391" w:type="dxa"/>
            <w:tcBorders>
              <w:top w:val="single" w:sz="4" w:space="0" w:color="auto"/>
              <w:left w:val="single" w:sz="4" w:space="0" w:color="auto"/>
              <w:bottom w:val="single" w:sz="4" w:space="0" w:color="auto"/>
              <w:right w:val="single" w:sz="4" w:space="0" w:color="auto"/>
            </w:tcBorders>
          </w:tcPr>
          <w:p w14:paraId="6D6576AE" w14:textId="655DD46E" w:rsidR="006C3B2A" w:rsidRPr="006C3B2A" w:rsidRDefault="00F0733E" w:rsidP="006C3B2A">
            <w:pPr>
              <w:spacing w:after="0" w:line="240" w:lineRule="auto"/>
              <w:ind w:right="34"/>
              <w:jc w:val="both"/>
              <w:rPr>
                <w:rFonts w:ascii="Tahoma" w:hAnsi="Tahoma" w:cs="Tahoma"/>
                <w:i/>
                <w:iCs/>
              </w:rPr>
            </w:pPr>
            <w:r>
              <w:rPr>
                <w:rFonts w:ascii="Tahoma" w:hAnsi="Tahoma" w:cs="Tahoma"/>
                <w:i/>
                <w:iCs/>
              </w:rPr>
              <w:t xml:space="preserve">Q.(b) </w:t>
            </w:r>
            <w:r w:rsidR="006C3B2A">
              <w:rPr>
                <w:rFonts w:ascii="Tahoma" w:hAnsi="Tahoma" w:cs="Tahoma"/>
                <w:i/>
                <w:iCs/>
              </w:rPr>
              <w:t>T</w:t>
            </w:r>
            <w:r w:rsidR="006C3B2A" w:rsidRPr="006C3B2A">
              <w:rPr>
                <w:rFonts w:ascii="Tahoma" w:hAnsi="Tahoma" w:cs="Tahoma"/>
                <w:i/>
                <w:iCs/>
              </w:rPr>
              <w:t>he reason for introducing a provision for pipeline sharing in the new regulations, and the manner in which this would benefit the natural gas distribution network and domestic gas consumers; and</w:t>
            </w:r>
          </w:p>
          <w:p w14:paraId="59F9D3C8" w14:textId="6886DE3B" w:rsidR="00F0733E" w:rsidRDefault="00F0733E">
            <w:pPr>
              <w:spacing w:after="0" w:line="240" w:lineRule="auto"/>
              <w:ind w:right="34"/>
              <w:jc w:val="both"/>
              <w:rPr>
                <w:rFonts w:ascii="Tahoma" w:eastAsia="Times New Roman" w:hAnsi="Tahoma" w:cs="Tahoma"/>
                <w:i/>
                <w:color w:val="000000"/>
              </w:rPr>
            </w:pPr>
          </w:p>
        </w:tc>
        <w:tc>
          <w:tcPr>
            <w:tcW w:w="5359" w:type="dxa"/>
            <w:tcBorders>
              <w:top w:val="single" w:sz="4" w:space="0" w:color="auto"/>
              <w:left w:val="single" w:sz="4" w:space="0" w:color="auto"/>
              <w:bottom w:val="single" w:sz="4" w:space="0" w:color="auto"/>
              <w:right w:val="single" w:sz="4" w:space="0" w:color="auto"/>
            </w:tcBorders>
            <w:hideMark/>
          </w:tcPr>
          <w:p w14:paraId="28D3FFF1" w14:textId="77777777" w:rsidR="00F0733E" w:rsidRDefault="00F0733E" w:rsidP="00C95B79">
            <w:pPr>
              <w:spacing w:after="120" w:line="240" w:lineRule="auto"/>
              <w:jc w:val="both"/>
              <w:rPr>
                <w:rFonts w:ascii="Tahoma" w:eastAsia="Times New Roman" w:hAnsi="Tahoma" w:cs="Tahoma"/>
                <w:b/>
                <w:bCs/>
                <w:kern w:val="2"/>
                <w14:ligatures w14:val="standardContextual"/>
              </w:rPr>
            </w:pPr>
            <w:r>
              <w:rPr>
                <w:rFonts w:ascii="Tahoma" w:hAnsi="Tahoma" w:cs="Tahoma"/>
                <w:b/>
                <w:lang w:val="en-US"/>
              </w:rPr>
              <w:t>Answer to Q(b):</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0B87E462" w14:textId="7B7F9267" w:rsidR="00896B1A" w:rsidRPr="00896B1A" w:rsidRDefault="00896B1A" w:rsidP="00896B1A">
            <w:pPr>
              <w:spacing w:after="120" w:line="240" w:lineRule="auto"/>
              <w:jc w:val="both"/>
              <w:rPr>
                <w:rFonts w:ascii="Tahoma" w:eastAsia="Times New Roman" w:hAnsi="Tahoma" w:cs="Tahoma"/>
                <w:kern w:val="2"/>
                <w14:ligatures w14:val="standardContextual"/>
              </w:rPr>
            </w:pPr>
            <w:r w:rsidRPr="00896B1A">
              <w:rPr>
                <w:rFonts w:ascii="Tahoma" w:eastAsia="Times New Roman" w:hAnsi="Tahoma" w:cs="Tahoma"/>
                <w:kern w:val="2"/>
                <w14:ligatures w14:val="standardContextual"/>
              </w:rPr>
              <w:t>As far as OIL is concerned, it is a positive provision as it will enable third-party access to any underutilized pipeline and facility capacity on fair terms under government oversigh</w:t>
            </w:r>
            <w:r w:rsidR="00CC06AA">
              <w:rPr>
                <w:rFonts w:ascii="Tahoma" w:eastAsia="Times New Roman" w:hAnsi="Tahoma" w:cs="Tahoma"/>
                <w:kern w:val="2"/>
                <w14:ligatures w14:val="standardContextual"/>
              </w:rPr>
              <w:t>t.</w:t>
            </w:r>
          </w:p>
          <w:p w14:paraId="1699C21B" w14:textId="5568730C" w:rsidR="003C0253" w:rsidRPr="00C95B79" w:rsidRDefault="003C0253" w:rsidP="00C95B79">
            <w:pPr>
              <w:spacing w:after="120" w:line="240" w:lineRule="auto"/>
              <w:jc w:val="both"/>
              <w:rPr>
                <w:rFonts w:ascii="Tahoma" w:eastAsia="Times New Roman" w:hAnsi="Tahoma" w:cs="Tahoma"/>
                <w:b/>
                <w:bCs/>
                <w:kern w:val="2"/>
                <w14:ligatures w14:val="standardContextual"/>
              </w:rPr>
            </w:pPr>
            <w:r w:rsidRPr="003C0253">
              <w:rPr>
                <w:rFonts w:ascii="Tahoma" w:eastAsia="Times New Roman" w:hAnsi="Tahoma" w:cs="Tahoma"/>
                <w:kern w:val="2"/>
                <w14:ligatures w14:val="standardContextual"/>
              </w:rPr>
              <w:t>The provision for pipeline sharing is being introduced to make better use of existing natural gas infrastructure and avoid duplicating pipelines, which is costly and time-consuming. By allowing multiple entities to access the same network</w:t>
            </w:r>
            <w:r w:rsidR="00B96080">
              <w:rPr>
                <w:rFonts w:ascii="Tahoma" w:eastAsia="Times New Roman" w:hAnsi="Tahoma" w:cs="Tahoma"/>
                <w:kern w:val="2"/>
                <w14:ligatures w14:val="standardContextual"/>
              </w:rPr>
              <w:t xml:space="preserve"> will </w:t>
            </w:r>
            <w:r w:rsidR="004A249B">
              <w:rPr>
                <w:rFonts w:ascii="Tahoma" w:eastAsia="Times New Roman" w:hAnsi="Tahoma" w:cs="Tahoma"/>
                <w:kern w:val="2"/>
                <w14:ligatures w14:val="standardContextual"/>
              </w:rPr>
              <w:t xml:space="preserve">ensure early </w:t>
            </w:r>
            <w:r w:rsidR="004A249B">
              <w:rPr>
                <w:rFonts w:ascii="Tahoma" w:eastAsia="Times New Roman" w:hAnsi="Tahoma" w:cs="Tahoma"/>
                <w:kern w:val="2"/>
                <w14:ligatures w14:val="standardContextual"/>
              </w:rPr>
              <w:lastRenderedPageBreak/>
              <w:t xml:space="preserve">monetization of new gas finds </w:t>
            </w:r>
            <w:r w:rsidR="00DA2D58">
              <w:rPr>
                <w:rFonts w:ascii="Tahoma" w:eastAsia="Times New Roman" w:hAnsi="Tahoma" w:cs="Tahoma"/>
                <w:kern w:val="2"/>
                <w14:ligatures w14:val="standardContextual"/>
              </w:rPr>
              <w:t xml:space="preserve">and evacuation of natural gas where </w:t>
            </w:r>
            <w:r w:rsidR="0057450B">
              <w:rPr>
                <w:rFonts w:ascii="Tahoma" w:eastAsia="Times New Roman" w:hAnsi="Tahoma" w:cs="Tahoma"/>
                <w:kern w:val="2"/>
                <w14:ligatures w14:val="standardContextual"/>
              </w:rPr>
              <w:t xml:space="preserve">gas evacuation infrastructure is not available. Additionally, </w:t>
            </w:r>
            <w:r w:rsidRPr="003C0253">
              <w:rPr>
                <w:rFonts w:ascii="Tahoma" w:eastAsia="Times New Roman" w:hAnsi="Tahoma" w:cs="Tahoma"/>
                <w:kern w:val="2"/>
                <w14:ligatures w14:val="standardContextual"/>
              </w:rPr>
              <w:t xml:space="preserve">gas </w:t>
            </w:r>
            <w:r w:rsidR="0057450B">
              <w:rPr>
                <w:rFonts w:ascii="Tahoma" w:eastAsia="Times New Roman" w:hAnsi="Tahoma" w:cs="Tahoma"/>
                <w:kern w:val="2"/>
                <w14:ligatures w14:val="standardContextual"/>
              </w:rPr>
              <w:t>will be able to</w:t>
            </w:r>
            <w:r w:rsidRPr="003C0253">
              <w:rPr>
                <w:rFonts w:ascii="Tahoma" w:eastAsia="Times New Roman" w:hAnsi="Tahoma" w:cs="Tahoma"/>
                <w:kern w:val="2"/>
                <w14:ligatures w14:val="standardContextual"/>
              </w:rPr>
              <w:t xml:space="preserve"> move more efficiently across regions, improving connectivity and speeding up market development. This </w:t>
            </w:r>
            <w:r w:rsidR="00A924C0">
              <w:rPr>
                <w:rFonts w:ascii="Tahoma" w:eastAsia="Times New Roman" w:hAnsi="Tahoma" w:cs="Tahoma"/>
                <w:kern w:val="2"/>
                <w14:ligatures w14:val="standardContextual"/>
              </w:rPr>
              <w:t xml:space="preserve">will </w:t>
            </w:r>
            <w:r w:rsidRPr="003C0253">
              <w:rPr>
                <w:rFonts w:ascii="Tahoma" w:eastAsia="Times New Roman" w:hAnsi="Tahoma" w:cs="Tahoma"/>
                <w:kern w:val="2"/>
                <w14:ligatures w14:val="standardContextual"/>
              </w:rPr>
              <w:t>strengthen the overall</w:t>
            </w:r>
            <w:r w:rsidRPr="003C0253">
              <w:rPr>
                <w:rFonts w:ascii="Tahoma" w:eastAsia="Times New Roman" w:hAnsi="Tahoma" w:cs="Tahoma"/>
                <w:b/>
                <w:bCs/>
                <w:kern w:val="2"/>
                <w14:ligatures w14:val="standardContextual"/>
              </w:rPr>
              <w:t xml:space="preserve"> </w:t>
            </w:r>
            <w:r w:rsidRPr="003C0253">
              <w:rPr>
                <w:rFonts w:ascii="Tahoma" w:eastAsia="Times New Roman" w:hAnsi="Tahoma" w:cs="Tahoma"/>
                <w:kern w:val="2"/>
                <w14:ligatures w14:val="standardContextual"/>
              </w:rPr>
              <w:t xml:space="preserve">distribution system, enhances competition among suppliers, and reduces transportation costs. Ultimately, consumers </w:t>
            </w:r>
            <w:r w:rsidR="00A924C0">
              <w:rPr>
                <w:rFonts w:ascii="Tahoma" w:eastAsia="Times New Roman" w:hAnsi="Tahoma" w:cs="Tahoma"/>
                <w:kern w:val="2"/>
                <w14:ligatures w14:val="standardContextual"/>
              </w:rPr>
              <w:t xml:space="preserve">will </w:t>
            </w:r>
            <w:r w:rsidRPr="003C0253">
              <w:rPr>
                <w:rFonts w:ascii="Tahoma" w:eastAsia="Times New Roman" w:hAnsi="Tahoma" w:cs="Tahoma"/>
                <w:kern w:val="2"/>
                <w14:ligatures w14:val="standardContextual"/>
              </w:rPr>
              <w:t>benefit through more reliable supply, broader availability of gas, and the potential for lower delivered prices as the network becomes more efficient and integrated.</w:t>
            </w:r>
          </w:p>
        </w:tc>
      </w:tr>
      <w:tr w:rsidR="00F0733E" w14:paraId="63DCED36" w14:textId="77777777" w:rsidTr="00F0733E">
        <w:trPr>
          <w:trHeight w:val="1230"/>
        </w:trPr>
        <w:tc>
          <w:tcPr>
            <w:tcW w:w="4391" w:type="dxa"/>
            <w:tcBorders>
              <w:top w:val="single" w:sz="4" w:space="0" w:color="auto"/>
              <w:left w:val="single" w:sz="4" w:space="0" w:color="auto"/>
              <w:bottom w:val="single" w:sz="4" w:space="0" w:color="auto"/>
              <w:right w:val="single" w:sz="4" w:space="0" w:color="auto"/>
            </w:tcBorders>
          </w:tcPr>
          <w:p w14:paraId="3705ED48" w14:textId="3DD6B452" w:rsidR="00F0733E" w:rsidRDefault="00F0733E" w:rsidP="009D27D6">
            <w:pPr>
              <w:spacing w:before="240" w:after="0" w:line="240" w:lineRule="auto"/>
              <w:ind w:right="34"/>
              <w:jc w:val="both"/>
              <w:rPr>
                <w:rFonts w:ascii="Tahoma" w:hAnsi="Tahoma" w:cs="Tahoma"/>
                <w:i/>
                <w:iCs/>
              </w:rPr>
            </w:pPr>
            <w:r>
              <w:rPr>
                <w:rFonts w:ascii="Tahoma" w:hAnsi="Tahoma" w:cs="Tahoma"/>
                <w:i/>
                <w:iCs/>
              </w:rPr>
              <w:lastRenderedPageBreak/>
              <w:t xml:space="preserve">Q.(c) </w:t>
            </w:r>
            <w:r w:rsidR="00D00A41">
              <w:rPr>
                <w:rFonts w:ascii="Tahoma" w:hAnsi="Tahoma" w:cs="Tahoma"/>
                <w:i/>
                <w:iCs/>
              </w:rPr>
              <w:t>T</w:t>
            </w:r>
            <w:r w:rsidR="00D00A41" w:rsidRPr="00D00A41">
              <w:rPr>
                <w:rFonts w:ascii="Tahoma" w:hAnsi="Tahoma" w:cs="Tahoma"/>
                <w:i/>
                <w:iCs/>
              </w:rPr>
              <w:t>he manner in which the “petroleum products exchange” and “unified pipeline tariff (One Nation, One Tariff)” proposed in the PNGRB’s 2025-26 Action Plan are planned to enhance transparency and competition in the energy market and the public?</w:t>
            </w:r>
          </w:p>
        </w:tc>
        <w:tc>
          <w:tcPr>
            <w:tcW w:w="5359" w:type="dxa"/>
            <w:tcBorders>
              <w:top w:val="single" w:sz="4" w:space="0" w:color="auto"/>
              <w:left w:val="single" w:sz="4" w:space="0" w:color="auto"/>
              <w:bottom w:val="single" w:sz="4" w:space="0" w:color="auto"/>
              <w:right w:val="single" w:sz="4" w:space="0" w:color="auto"/>
            </w:tcBorders>
            <w:hideMark/>
          </w:tcPr>
          <w:p w14:paraId="445C5518" w14:textId="77777777" w:rsidR="00F0733E" w:rsidRDefault="00F0733E" w:rsidP="00C95B79">
            <w:pPr>
              <w:spacing w:before="240" w:after="120" w:line="240" w:lineRule="auto"/>
              <w:jc w:val="both"/>
              <w:rPr>
                <w:rFonts w:ascii="Tahoma" w:eastAsia="Times New Roman" w:hAnsi="Tahoma" w:cs="Tahoma"/>
                <w:b/>
                <w:bCs/>
                <w:kern w:val="2"/>
                <w14:ligatures w14:val="standardContextual"/>
              </w:rPr>
            </w:pPr>
            <w:r>
              <w:rPr>
                <w:rFonts w:ascii="Tahoma" w:hAnsi="Tahoma" w:cs="Tahoma"/>
                <w:b/>
                <w:lang w:val="en-US"/>
              </w:rPr>
              <w:t>Answer to Q(c):</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083B3E97" w14:textId="5F500A92" w:rsidR="005A1724" w:rsidRPr="00C95B79" w:rsidRDefault="008B0B29" w:rsidP="008B0B29">
            <w:pPr>
              <w:spacing w:before="240" w:after="120" w:line="240" w:lineRule="auto"/>
              <w:jc w:val="both"/>
              <w:rPr>
                <w:rFonts w:ascii="Tahoma" w:eastAsia="Times New Roman" w:hAnsi="Tahoma" w:cs="Tahoma"/>
                <w:b/>
                <w:bCs/>
                <w:kern w:val="2"/>
                <w14:ligatures w14:val="standardContextual"/>
              </w:rPr>
            </w:pPr>
            <w:r w:rsidRPr="005A1724">
              <w:rPr>
                <w:rFonts w:ascii="Tahoma" w:eastAsia="Times New Roman" w:hAnsi="Tahoma" w:cs="Tahoma"/>
                <w:kern w:val="2"/>
                <w14:ligatures w14:val="standardContextual"/>
              </w:rPr>
              <w:t>As far as Oil India is concerned</w:t>
            </w:r>
            <w:r>
              <w:rPr>
                <w:rFonts w:ascii="Tahoma" w:eastAsia="Times New Roman" w:hAnsi="Tahoma" w:cs="Tahoma"/>
                <w:b/>
                <w:bCs/>
                <w:kern w:val="2"/>
                <w14:ligatures w14:val="standardContextual"/>
              </w:rPr>
              <w:t xml:space="preserve">, </w:t>
            </w:r>
            <w:r w:rsidRPr="008B0B29">
              <w:rPr>
                <w:rFonts w:ascii="Tahoma" w:eastAsia="Times New Roman" w:hAnsi="Tahoma" w:cs="Tahoma"/>
                <w:kern w:val="2"/>
                <w14:ligatures w14:val="standardContextual"/>
              </w:rPr>
              <w:t>the proposed petroleum products exchange and unified pipeline tariff aim to make India’s energy market fairer, more transparent, and easier to access. A petroleum exchange would allow fuel prices to be discovered openly through market-based trading, reducing information gaps and limiting arbitrary pricing. Meanwhile, a “One Nation, One Tariff” system would simplify pipeline charges across regions, removing cost distortions and encouraging wider use of the gas grid. Together, these reforms are expected to boost competition, improve consumer trust, and support more efficient, predictable energy markets.</w:t>
            </w:r>
          </w:p>
        </w:tc>
      </w:tr>
    </w:tbl>
    <w:p w14:paraId="3738AB83" w14:textId="77777777" w:rsidR="00F0733E" w:rsidRDefault="00F0733E" w:rsidP="00F0733E">
      <w:pPr>
        <w:spacing w:after="0"/>
        <w:ind w:right="-482"/>
        <w:jc w:val="right"/>
        <w:rPr>
          <w:rFonts w:ascii="Tahoma" w:hAnsi="Tahoma" w:cs="Tahoma"/>
          <w:lang w:val="en-US"/>
        </w:rPr>
      </w:pPr>
    </w:p>
    <w:p w14:paraId="1418A2D3" w14:textId="77777777" w:rsidR="00F0733E" w:rsidRDefault="00F0733E" w:rsidP="00F0733E">
      <w:pPr>
        <w:spacing w:after="0"/>
        <w:ind w:right="-482"/>
        <w:jc w:val="right"/>
        <w:rPr>
          <w:rFonts w:ascii="Tahoma" w:hAnsi="Tahoma" w:cs="Tahoma"/>
          <w:lang w:val="en-US"/>
        </w:rPr>
      </w:pPr>
      <w:r>
        <w:rPr>
          <w:rFonts w:ascii="Tahoma" w:hAnsi="Tahoma" w:cs="Tahoma"/>
          <w:lang w:val="en-US"/>
        </w:rPr>
        <w:t>Yours faithfully,</w:t>
      </w:r>
    </w:p>
    <w:p w14:paraId="102B3127" w14:textId="77777777" w:rsidR="00F0733E" w:rsidRDefault="00F0733E" w:rsidP="00F0733E">
      <w:pPr>
        <w:spacing w:after="0" w:line="240" w:lineRule="auto"/>
        <w:ind w:right="-482"/>
        <w:jc w:val="right"/>
        <w:rPr>
          <w:rFonts w:ascii="Tahoma" w:hAnsi="Tahoma" w:cs="Tahoma"/>
          <w:u w:val="single"/>
          <w:lang w:val="en-US"/>
        </w:rPr>
      </w:pPr>
      <w:r>
        <w:rPr>
          <w:rFonts w:ascii="Tahoma" w:hAnsi="Tahoma" w:cs="Tahoma"/>
          <w:u w:val="single"/>
          <w:lang w:val="en-US"/>
        </w:rPr>
        <w:t>OIL INDIA LIMITED</w:t>
      </w:r>
    </w:p>
    <w:p w14:paraId="640956FE" w14:textId="77777777" w:rsidR="00F0733E" w:rsidRDefault="00F0733E" w:rsidP="00F0733E">
      <w:pPr>
        <w:spacing w:after="0" w:line="240" w:lineRule="auto"/>
        <w:ind w:right="-482"/>
        <w:jc w:val="right"/>
        <w:rPr>
          <w:rFonts w:ascii="Tahoma" w:hAnsi="Tahoma" w:cs="Tahoma"/>
          <w:lang w:val="en-US"/>
        </w:rPr>
      </w:pPr>
    </w:p>
    <w:p w14:paraId="555B4675" w14:textId="77777777" w:rsidR="0030628B" w:rsidRDefault="0030628B" w:rsidP="00F0733E">
      <w:pPr>
        <w:spacing w:after="0" w:line="240" w:lineRule="auto"/>
        <w:ind w:right="-482"/>
        <w:jc w:val="right"/>
        <w:rPr>
          <w:rFonts w:ascii="Tahoma" w:hAnsi="Tahoma" w:cs="Tahoma"/>
          <w:lang w:val="en-US"/>
        </w:rPr>
      </w:pPr>
    </w:p>
    <w:p w14:paraId="29AADDD5" w14:textId="77777777" w:rsidR="00F0733E" w:rsidRDefault="00F0733E" w:rsidP="00F0733E">
      <w:pPr>
        <w:spacing w:after="0" w:line="240" w:lineRule="auto"/>
        <w:ind w:right="-482"/>
        <w:jc w:val="right"/>
        <w:rPr>
          <w:rFonts w:ascii="Tahoma" w:hAnsi="Tahoma" w:cs="Tahoma"/>
          <w:sz w:val="18"/>
          <w:szCs w:val="18"/>
          <w:lang w:val="en-US"/>
        </w:rPr>
      </w:pPr>
    </w:p>
    <w:p w14:paraId="1B0CFA5D" w14:textId="77777777" w:rsidR="00F0733E" w:rsidRDefault="00F0733E" w:rsidP="00F0733E">
      <w:pPr>
        <w:spacing w:after="0" w:line="240" w:lineRule="auto"/>
        <w:ind w:right="-482"/>
        <w:jc w:val="right"/>
        <w:rPr>
          <w:rFonts w:ascii="Tahoma" w:hAnsi="Tahoma" w:cs="Tahoma"/>
          <w:b/>
          <w:lang w:val="en-US"/>
        </w:rPr>
      </w:pPr>
      <w:r>
        <w:rPr>
          <w:rFonts w:ascii="Tahoma" w:hAnsi="Tahoma" w:cs="Tahoma"/>
          <w:b/>
          <w:lang w:val="en-US"/>
        </w:rPr>
        <w:t>(Kishore Kumar Das)</w:t>
      </w:r>
    </w:p>
    <w:p w14:paraId="5BED8E49" w14:textId="77777777" w:rsidR="00F0733E" w:rsidRDefault="00F0733E" w:rsidP="00F0733E">
      <w:pPr>
        <w:spacing w:after="0" w:line="240" w:lineRule="auto"/>
        <w:ind w:right="-482"/>
        <w:jc w:val="right"/>
        <w:rPr>
          <w:rFonts w:ascii="Tahoma" w:hAnsi="Tahoma" w:cs="Tahoma"/>
          <w:lang w:val="en-US"/>
        </w:rPr>
      </w:pPr>
      <w:r>
        <w:rPr>
          <w:rFonts w:ascii="Tahoma" w:hAnsi="Tahoma" w:cs="Tahoma"/>
          <w:lang w:val="en-US"/>
        </w:rPr>
        <w:t>Chief General Manager (Planning)</w:t>
      </w:r>
    </w:p>
    <w:p w14:paraId="437871D1" w14:textId="77777777" w:rsidR="00F0733E" w:rsidRDefault="00F0733E" w:rsidP="00F0733E">
      <w:pPr>
        <w:spacing w:after="0"/>
        <w:ind w:right="-482"/>
        <w:jc w:val="right"/>
        <w:rPr>
          <w:rFonts w:ascii="Tahoma" w:hAnsi="Tahoma" w:cs="Tahoma"/>
          <w:b/>
          <w:u w:val="single"/>
          <w:lang w:val="en-US"/>
        </w:rPr>
      </w:pPr>
      <w:r>
        <w:rPr>
          <w:rFonts w:ascii="Tahoma" w:hAnsi="Tahoma" w:cs="Tahoma"/>
          <w:b/>
          <w:u w:val="single"/>
          <w:lang w:val="en-US"/>
        </w:rPr>
        <w:t>For Chairman &amp; Managing Director</w:t>
      </w:r>
    </w:p>
    <w:p w14:paraId="7EB33CF5" w14:textId="77777777" w:rsidR="00F0733E" w:rsidRDefault="00F0733E" w:rsidP="00F0733E"/>
    <w:p w14:paraId="3D3681A2" w14:textId="77777777" w:rsidR="00DE7841" w:rsidRDefault="00DE7841"/>
    <w:sectPr w:rsidR="00DE78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33E"/>
    <w:rsid w:val="00083138"/>
    <w:rsid w:val="001762B8"/>
    <w:rsid w:val="00206CAB"/>
    <w:rsid w:val="00207FB5"/>
    <w:rsid w:val="002A29EB"/>
    <w:rsid w:val="0030628B"/>
    <w:rsid w:val="00362DB9"/>
    <w:rsid w:val="003C0253"/>
    <w:rsid w:val="004A249B"/>
    <w:rsid w:val="0052212D"/>
    <w:rsid w:val="0057450B"/>
    <w:rsid w:val="005A1724"/>
    <w:rsid w:val="005E7334"/>
    <w:rsid w:val="00655890"/>
    <w:rsid w:val="006C3B2A"/>
    <w:rsid w:val="006E0EBA"/>
    <w:rsid w:val="00750A58"/>
    <w:rsid w:val="00896B1A"/>
    <w:rsid w:val="008B0B29"/>
    <w:rsid w:val="008F7D61"/>
    <w:rsid w:val="009D27D6"/>
    <w:rsid w:val="009E73A4"/>
    <w:rsid w:val="00A102CE"/>
    <w:rsid w:val="00A14F3B"/>
    <w:rsid w:val="00A629CD"/>
    <w:rsid w:val="00A9213C"/>
    <w:rsid w:val="00A924C0"/>
    <w:rsid w:val="00B05DA5"/>
    <w:rsid w:val="00B96080"/>
    <w:rsid w:val="00C47442"/>
    <w:rsid w:val="00C95B79"/>
    <w:rsid w:val="00CC06AA"/>
    <w:rsid w:val="00CC2293"/>
    <w:rsid w:val="00D00A41"/>
    <w:rsid w:val="00D81E50"/>
    <w:rsid w:val="00DA2D58"/>
    <w:rsid w:val="00DE7841"/>
    <w:rsid w:val="00E1058A"/>
    <w:rsid w:val="00E44616"/>
    <w:rsid w:val="00F0733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C755D"/>
  <w15:chartTrackingRefBased/>
  <w15:docId w15:val="{DDD57F11-4761-425F-A4F3-01E748B10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0733E"/>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
    <w:name w:val="font"/>
    <w:basedOn w:val="DefaultParagraphFont"/>
    <w:rsid w:val="00F0733E"/>
  </w:style>
  <w:style w:type="table" w:styleId="TableGrid">
    <w:name w:val="Table Grid"/>
    <w:basedOn w:val="TableNormal"/>
    <w:uiPriority w:val="39"/>
    <w:rsid w:val="00F0733E"/>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112988">
      <w:bodyDiv w:val="1"/>
      <w:marLeft w:val="0"/>
      <w:marRight w:val="0"/>
      <w:marTop w:val="0"/>
      <w:marBottom w:val="0"/>
      <w:divBdr>
        <w:top w:val="none" w:sz="0" w:space="0" w:color="auto"/>
        <w:left w:val="none" w:sz="0" w:space="0" w:color="auto"/>
        <w:bottom w:val="none" w:sz="0" w:space="0" w:color="auto"/>
        <w:right w:val="none" w:sz="0" w:space="0" w:color="auto"/>
      </w:divBdr>
    </w:div>
    <w:div w:id="234821491">
      <w:bodyDiv w:val="1"/>
      <w:marLeft w:val="0"/>
      <w:marRight w:val="0"/>
      <w:marTop w:val="0"/>
      <w:marBottom w:val="0"/>
      <w:divBdr>
        <w:top w:val="none" w:sz="0" w:space="0" w:color="auto"/>
        <w:left w:val="none" w:sz="0" w:space="0" w:color="auto"/>
        <w:bottom w:val="none" w:sz="0" w:space="0" w:color="auto"/>
        <w:right w:val="none" w:sz="0" w:space="0" w:color="auto"/>
      </w:divBdr>
    </w:div>
    <w:div w:id="273171704">
      <w:bodyDiv w:val="1"/>
      <w:marLeft w:val="0"/>
      <w:marRight w:val="0"/>
      <w:marTop w:val="0"/>
      <w:marBottom w:val="0"/>
      <w:divBdr>
        <w:top w:val="none" w:sz="0" w:space="0" w:color="auto"/>
        <w:left w:val="none" w:sz="0" w:space="0" w:color="auto"/>
        <w:bottom w:val="none" w:sz="0" w:space="0" w:color="auto"/>
        <w:right w:val="none" w:sz="0" w:space="0" w:color="auto"/>
      </w:divBdr>
      <w:divsChild>
        <w:div w:id="1358697662">
          <w:marLeft w:val="0"/>
          <w:marRight w:val="0"/>
          <w:marTop w:val="0"/>
          <w:marBottom w:val="0"/>
          <w:divBdr>
            <w:top w:val="none" w:sz="0" w:space="0" w:color="auto"/>
            <w:left w:val="none" w:sz="0" w:space="0" w:color="auto"/>
            <w:bottom w:val="none" w:sz="0" w:space="0" w:color="auto"/>
            <w:right w:val="none" w:sz="0" w:space="0" w:color="auto"/>
          </w:divBdr>
          <w:divsChild>
            <w:div w:id="19244894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52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63585">
          <w:marLeft w:val="0"/>
          <w:marRight w:val="0"/>
          <w:marTop w:val="0"/>
          <w:marBottom w:val="0"/>
          <w:divBdr>
            <w:top w:val="none" w:sz="0" w:space="0" w:color="auto"/>
            <w:left w:val="none" w:sz="0" w:space="0" w:color="auto"/>
            <w:bottom w:val="none" w:sz="0" w:space="0" w:color="auto"/>
            <w:right w:val="none" w:sz="0" w:space="0" w:color="auto"/>
          </w:divBdr>
        </w:div>
      </w:divsChild>
    </w:div>
    <w:div w:id="451944215">
      <w:bodyDiv w:val="1"/>
      <w:marLeft w:val="0"/>
      <w:marRight w:val="0"/>
      <w:marTop w:val="0"/>
      <w:marBottom w:val="0"/>
      <w:divBdr>
        <w:top w:val="none" w:sz="0" w:space="0" w:color="auto"/>
        <w:left w:val="none" w:sz="0" w:space="0" w:color="auto"/>
        <w:bottom w:val="none" w:sz="0" w:space="0" w:color="auto"/>
        <w:right w:val="none" w:sz="0" w:space="0" w:color="auto"/>
      </w:divBdr>
    </w:div>
    <w:div w:id="490369369">
      <w:bodyDiv w:val="1"/>
      <w:marLeft w:val="0"/>
      <w:marRight w:val="0"/>
      <w:marTop w:val="0"/>
      <w:marBottom w:val="0"/>
      <w:divBdr>
        <w:top w:val="none" w:sz="0" w:space="0" w:color="auto"/>
        <w:left w:val="none" w:sz="0" w:space="0" w:color="auto"/>
        <w:bottom w:val="none" w:sz="0" w:space="0" w:color="auto"/>
        <w:right w:val="none" w:sz="0" w:space="0" w:color="auto"/>
      </w:divBdr>
    </w:div>
    <w:div w:id="768546594">
      <w:bodyDiv w:val="1"/>
      <w:marLeft w:val="0"/>
      <w:marRight w:val="0"/>
      <w:marTop w:val="0"/>
      <w:marBottom w:val="0"/>
      <w:divBdr>
        <w:top w:val="none" w:sz="0" w:space="0" w:color="auto"/>
        <w:left w:val="none" w:sz="0" w:space="0" w:color="auto"/>
        <w:bottom w:val="none" w:sz="0" w:space="0" w:color="auto"/>
        <w:right w:val="none" w:sz="0" w:space="0" w:color="auto"/>
      </w:divBdr>
    </w:div>
    <w:div w:id="1014460928">
      <w:bodyDiv w:val="1"/>
      <w:marLeft w:val="0"/>
      <w:marRight w:val="0"/>
      <w:marTop w:val="0"/>
      <w:marBottom w:val="0"/>
      <w:divBdr>
        <w:top w:val="none" w:sz="0" w:space="0" w:color="auto"/>
        <w:left w:val="none" w:sz="0" w:space="0" w:color="auto"/>
        <w:bottom w:val="none" w:sz="0" w:space="0" w:color="auto"/>
        <w:right w:val="none" w:sz="0" w:space="0" w:color="auto"/>
      </w:divBdr>
    </w:div>
    <w:div w:id="1266352354">
      <w:bodyDiv w:val="1"/>
      <w:marLeft w:val="0"/>
      <w:marRight w:val="0"/>
      <w:marTop w:val="0"/>
      <w:marBottom w:val="0"/>
      <w:divBdr>
        <w:top w:val="none" w:sz="0" w:space="0" w:color="auto"/>
        <w:left w:val="none" w:sz="0" w:space="0" w:color="auto"/>
        <w:bottom w:val="none" w:sz="0" w:space="0" w:color="auto"/>
        <w:right w:val="none" w:sz="0" w:space="0" w:color="auto"/>
      </w:divBdr>
    </w:div>
    <w:div w:id="1298413083">
      <w:bodyDiv w:val="1"/>
      <w:marLeft w:val="0"/>
      <w:marRight w:val="0"/>
      <w:marTop w:val="0"/>
      <w:marBottom w:val="0"/>
      <w:divBdr>
        <w:top w:val="none" w:sz="0" w:space="0" w:color="auto"/>
        <w:left w:val="none" w:sz="0" w:space="0" w:color="auto"/>
        <w:bottom w:val="none" w:sz="0" w:space="0" w:color="auto"/>
        <w:right w:val="none" w:sz="0" w:space="0" w:color="auto"/>
      </w:divBdr>
    </w:div>
    <w:div w:id="1340306551">
      <w:bodyDiv w:val="1"/>
      <w:marLeft w:val="0"/>
      <w:marRight w:val="0"/>
      <w:marTop w:val="0"/>
      <w:marBottom w:val="0"/>
      <w:divBdr>
        <w:top w:val="none" w:sz="0" w:space="0" w:color="auto"/>
        <w:left w:val="none" w:sz="0" w:space="0" w:color="auto"/>
        <w:bottom w:val="none" w:sz="0" w:space="0" w:color="auto"/>
        <w:right w:val="none" w:sz="0" w:space="0" w:color="auto"/>
      </w:divBdr>
    </w:div>
    <w:div w:id="1382052449">
      <w:bodyDiv w:val="1"/>
      <w:marLeft w:val="0"/>
      <w:marRight w:val="0"/>
      <w:marTop w:val="0"/>
      <w:marBottom w:val="0"/>
      <w:divBdr>
        <w:top w:val="none" w:sz="0" w:space="0" w:color="auto"/>
        <w:left w:val="none" w:sz="0" w:space="0" w:color="auto"/>
        <w:bottom w:val="none" w:sz="0" w:space="0" w:color="auto"/>
        <w:right w:val="none" w:sz="0" w:space="0" w:color="auto"/>
      </w:divBdr>
    </w:div>
    <w:div w:id="1596015634">
      <w:bodyDiv w:val="1"/>
      <w:marLeft w:val="0"/>
      <w:marRight w:val="0"/>
      <w:marTop w:val="0"/>
      <w:marBottom w:val="0"/>
      <w:divBdr>
        <w:top w:val="none" w:sz="0" w:space="0" w:color="auto"/>
        <w:left w:val="none" w:sz="0" w:space="0" w:color="auto"/>
        <w:bottom w:val="none" w:sz="0" w:space="0" w:color="auto"/>
        <w:right w:val="none" w:sz="0" w:space="0" w:color="auto"/>
      </w:divBdr>
    </w:div>
    <w:div w:id="1638681788">
      <w:bodyDiv w:val="1"/>
      <w:marLeft w:val="0"/>
      <w:marRight w:val="0"/>
      <w:marTop w:val="0"/>
      <w:marBottom w:val="0"/>
      <w:divBdr>
        <w:top w:val="none" w:sz="0" w:space="0" w:color="auto"/>
        <w:left w:val="none" w:sz="0" w:space="0" w:color="auto"/>
        <w:bottom w:val="none" w:sz="0" w:space="0" w:color="auto"/>
        <w:right w:val="none" w:sz="0" w:space="0" w:color="auto"/>
      </w:divBdr>
      <w:divsChild>
        <w:div w:id="430513561">
          <w:marLeft w:val="0"/>
          <w:marRight w:val="0"/>
          <w:marTop w:val="0"/>
          <w:marBottom w:val="0"/>
          <w:divBdr>
            <w:top w:val="none" w:sz="0" w:space="0" w:color="auto"/>
            <w:left w:val="none" w:sz="0" w:space="0" w:color="auto"/>
            <w:bottom w:val="none" w:sz="0" w:space="0" w:color="auto"/>
            <w:right w:val="none" w:sz="0" w:space="0" w:color="auto"/>
          </w:divBdr>
          <w:divsChild>
            <w:div w:id="12476926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960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81479">
          <w:marLeft w:val="0"/>
          <w:marRight w:val="0"/>
          <w:marTop w:val="0"/>
          <w:marBottom w:val="0"/>
          <w:divBdr>
            <w:top w:val="none" w:sz="0" w:space="0" w:color="auto"/>
            <w:left w:val="none" w:sz="0" w:space="0" w:color="auto"/>
            <w:bottom w:val="none" w:sz="0" w:space="0" w:color="auto"/>
            <w:right w:val="none" w:sz="0" w:space="0" w:color="auto"/>
          </w:divBdr>
        </w:div>
      </w:divsChild>
    </w:div>
    <w:div w:id="1662612250">
      <w:bodyDiv w:val="1"/>
      <w:marLeft w:val="0"/>
      <w:marRight w:val="0"/>
      <w:marTop w:val="0"/>
      <w:marBottom w:val="0"/>
      <w:divBdr>
        <w:top w:val="none" w:sz="0" w:space="0" w:color="auto"/>
        <w:left w:val="none" w:sz="0" w:space="0" w:color="auto"/>
        <w:bottom w:val="none" w:sz="0" w:space="0" w:color="auto"/>
        <w:right w:val="none" w:sz="0" w:space="0" w:color="auto"/>
      </w:divBdr>
    </w:div>
    <w:div w:id="1883127838">
      <w:bodyDiv w:val="1"/>
      <w:marLeft w:val="0"/>
      <w:marRight w:val="0"/>
      <w:marTop w:val="0"/>
      <w:marBottom w:val="0"/>
      <w:divBdr>
        <w:top w:val="none" w:sz="0" w:space="0" w:color="auto"/>
        <w:left w:val="none" w:sz="0" w:space="0" w:color="auto"/>
        <w:bottom w:val="none" w:sz="0" w:space="0" w:color="auto"/>
        <w:right w:val="none" w:sz="0" w:space="0" w:color="auto"/>
      </w:divBdr>
      <w:divsChild>
        <w:div w:id="1414738960">
          <w:marLeft w:val="0"/>
          <w:marRight w:val="0"/>
          <w:marTop w:val="0"/>
          <w:marBottom w:val="0"/>
          <w:divBdr>
            <w:top w:val="none" w:sz="0" w:space="0" w:color="auto"/>
            <w:left w:val="none" w:sz="0" w:space="0" w:color="auto"/>
            <w:bottom w:val="none" w:sz="0" w:space="0" w:color="auto"/>
            <w:right w:val="none" w:sz="0" w:space="0" w:color="auto"/>
          </w:divBdr>
          <w:divsChild>
            <w:div w:id="678973571">
              <w:marLeft w:val="0"/>
              <w:marRight w:val="0"/>
              <w:marTop w:val="0"/>
              <w:marBottom w:val="0"/>
              <w:divBdr>
                <w:top w:val="none" w:sz="0" w:space="0" w:color="auto"/>
                <w:left w:val="none" w:sz="0" w:space="0" w:color="auto"/>
                <w:bottom w:val="none" w:sz="0" w:space="0" w:color="auto"/>
                <w:right w:val="none" w:sz="0" w:space="0" w:color="auto"/>
              </w:divBdr>
              <w:divsChild>
                <w:div w:id="788820761">
                  <w:marLeft w:val="0"/>
                  <w:marRight w:val="0"/>
                  <w:marTop w:val="0"/>
                  <w:marBottom w:val="0"/>
                  <w:divBdr>
                    <w:top w:val="none" w:sz="0" w:space="0" w:color="auto"/>
                    <w:left w:val="none" w:sz="0" w:space="0" w:color="auto"/>
                    <w:bottom w:val="none" w:sz="0" w:space="0" w:color="auto"/>
                    <w:right w:val="none" w:sz="0" w:space="0" w:color="auto"/>
                  </w:divBdr>
                  <w:divsChild>
                    <w:div w:id="2055497943">
                      <w:marLeft w:val="0"/>
                      <w:marRight w:val="0"/>
                      <w:marTop w:val="0"/>
                      <w:marBottom w:val="0"/>
                      <w:divBdr>
                        <w:top w:val="none" w:sz="0" w:space="0" w:color="auto"/>
                        <w:left w:val="none" w:sz="0" w:space="0" w:color="auto"/>
                        <w:bottom w:val="none" w:sz="0" w:space="0" w:color="auto"/>
                        <w:right w:val="none" w:sz="0" w:space="0" w:color="auto"/>
                      </w:divBdr>
                      <w:divsChild>
                        <w:div w:id="242879662">
                          <w:marLeft w:val="0"/>
                          <w:marRight w:val="0"/>
                          <w:marTop w:val="0"/>
                          <w:marBottom w:val="0"/>
                          <w:divBdr>
                            <w:top w:val="none" w:sz="0" w:space="0" w:color="auto"/>
                            <w:left w:val="none" w:sz="0" w:space="0" w:color="auto"/>
                            <w:bottom w:val="none" w:sz="0" w:space="0" w:color="auto"/>
                            <w:right w:val="none" w:sz="0" w:space="0" w:color="auto"/>
                          </w:divBdr>
                          <w:divsChild>
                            <w:div w:id="6719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5043630">
      <w:bodyDiv w:val="1"/>
      <w:marLeft w:val="0"/>
      <w:marRight w:val="0"/>
      <w:marTop w:val="0"/>
      <w:marBottom w:val="0"/>
      <w:divBdr>
        <w:top w:val="none" w:sz="0" w:space="0" w:color="auto"/>
        <w:left w:val="none" w:sz="0" w:space="0" w:color="auto"/>
        <w:bottom w:val="none" w:sz="0" w:space="0" w:color="auto"/>
        <w:right w:val="none" w:sz="0" w:space="0" w:color="auto"/>
      </w:divBdr>
      <w:divsChild>
        <w:div w:id="2043937031">
          <w:marLeft w:val="0"/>
          <w:marRight w:val="0"/>
          <w:marTop w:val="0"/>
          <w:marBottom w:val="0"/>
          <w:divBdr>
            <w:top w:val="none" w:sz="0" w:space="0" w:color="auto"/>
            <w:left w:val="none" w:sz="0" w:space="0" w:color="auto"/>
            <w:bottom w:val="none" w:sz="0" w:space="0" w:color="auto"/>
            <w:right w:val="none" w:sz="0" w:space="0" w:color="auto"/>
          </w:divBdr>
          <w:divsChild>
            <w:div w:id="1976324665">
              <w:marLeft w:val="0"/>
              <w:marRight w:val="0"/>
              <w:marTop w:val="0"/>
              <w:marBottom w:val="0"/>
              <w:divBdr>
                <w:top w:val="none" w:sz="0" w:space="0" w:color="auto"/>
                <w:left w:val="none" w:sz="0" w:space="0" w:color="auto"/>
                <w:bottom w:val="none" w:sz="0" w:space="0" w:color="auto"/>
                <w:right w:val="none" w:sz="0" w:space="0" w:color="auto"/>
              </w:divBdr>
              <w:divsChild>
                <w:div w:id="790831389">
                  <w:marLeft w:val="0"/>
                  <w:marRight w:val="0"/>
                  <w:marTop w:val="0"/>
                  <w:marBottom w:val="0"/>
                  <w:divBdr>
                    <w:top w:val="none" w:sz="0" w:space="0" w:color="auto"/>
                    <w:left w:val="none" w:sz="0" w:space="0" w:color="auto"/>
                    <w:bottom w:val="none" w:sz="0" w:space="0" w:color="auto"/>
                    <w:right w:val="none" w:sz="0" w:space="0" w:color="auto"/>
                  </w:divBdr>
                  <w:divsChild>
                    <w:div w:id="1870675820">
                      <w:marLeft w:val="0"/>
                      <w:marRight w:val="0"/>
                      <w:marTop w:val="0"/>
                      <w:marBottom w:val="0"/>
                      <w:divBdr>
                        <w:top w:val="none" w:sz="0" w:space="0" w:color="auto"/>
                        <w:left w:val="none" w:sz="0" w:space="0" w:color="auto"/>
                        <w:bottom w:val="none" w:sz="0" w:space="0" w:color="auto"/>
                        <w:right w:val="none" w:sz="0" w:space="0" w:color="auto"/>
                      </w:divBdr>
                      <w:divsChild>
                        <w:div w:id="233636240">
                          <w:marLeft w:val="0"/>
                          <w:marRight w:val="0"/>
                          <w:marTop w:val="0"/>
                          <w:marBottom w:val="0"/>
                          <w:divBdr>
                            <w:top w:val="none" w:sz="0" w:space="0" w:color="auto"/>
                            <w:left w:val="none" w:sz="0" w:space="0" w:color="auto"/>
                            <w:bottom w:val="none" w:sz="0" w:space="0" w:color="auto"/>
                            <w:right w:val="none" w:sz="0" w:space="0" w:color="auto"/>
                          </w:divBdr>
                          <w:divsChild>
                            <w:div w:id="161011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4793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652</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dcterms:created xsi:type="dcterms:W3CDTF">2025-12-05T05:31:00Z</dcterms:created>
  <dcterms:modified xsi:type="dcterms:W3CDTF">2025-12-05T05:31:00Z</dcterms:modified>
</cp:coreProperties>
</file>