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pPr>
      <w:r>
        <w:rPr>
          <w:b/>
          <w:color w:val="135C45"/>
          <w:sz w:val="36"/>
        </w:rPr>
        <w:t>HORTIFRUTI</w:t>
        <w:br/>
        <w:t>REVOLUÇÃO</w:t>
      </w:r>
    </w:p>
    <w:p>
      <w:pPr>
        <w:pStyle w:val="Title"/>
        <w:spacing w:before="900"/>
      </w:pPr>
      <w:r>
        <w:t>Auditoria técnica, funcional, visual e operacional — Hortifruti Revolução</w:t>
      </w:r>
    </w:p>
    <w:p>
      <w:r>
        <w:rPr>
          <w:color w:val="66736E"/>
          <w:sz w:val="26"/>
        </w:rPr>
        <w:t>Diagnóstico técnico, funcional, visual e operacional</w:t>
      </w:r>
    </w:p>
    <w:tbl>
      <w:tblPr>
        <w:tblW w:type="auto" w:w="0"/>
        <w:jc w:val="left"/>
        <w:tblLayout w:type="fixed"/>
        <w:tblLook w:firstColumn="1" w:firstRow="1" w:lastColumn="0" w:lastRow="0" w:noHBand="0" w:noVBand="1" w:val="04A0"/>
      </w:tblPr>
      <w:tblGrid>
        <w:gridCol w:w="8352"/>
      </w:tblGrid>
      <w:tr>
        <w:tc>
          <w:tcPr>
            <w:tcW w:type="dxa" w:w="9994"/>
            <w:shd w:fill="EAF4EF"/>
            <w:tcMar>
              <w:top w:w="220" w:type="dxa"/>
              <w:start w:w="220" w:type="dxa"/>
              <w:bottom w:w="220" w:type="dxa"/>
              <w:end w:w="220" w:type="dxa"/>
            </w:tcMar>
          </w:tcPr>
          <w:p>
            <w:r>
              <w:rPr>
                <w:b/>
              </w:rPr>
              <w:t>Versão 1.0  •  21 de agosto de 2026</w:t>
              <w:br/>
            </w:r>
            <w:r>
              <w:t>Documento controlado • HRX Solutions • Hortifruti Revolução</w:t>
            </w:r>
          </w:p>
        </w:tc>
      </w:tr>
    </w:tbl>
    <w:p>
      <w:r>
        <w:br w:type="page"/>
      </w:r>
    </w:p>
    <w:p>
      <w:r>
        <w:rPr>
          <w:b/>
        </w:rPr>
        <w:t>Cliente:</w:t>
      </w:r>
      <w:r>
        <w:t xml:space="preserve"> Hortifruti Revolução</w:t>
      </w:r>
    </w:p>
    <w:p>
      <w:r>
        <w:rPr>
          <w:b/>
        </w:rPr>
        <w:t>Projeto:</w:t>
      </w:r>
      <w:r>
        <w:t xml:space="preserve"> Plataforma comercial e operacional</w:t>
      </w:r>
    </w:p>
    <w:p>
      <w:r>
        <w:rPr>
          <w:b/>
        </w:rPr>
        <w:t>Categoria:</w:t>
      </w:r>
      <w:r>
        <w:t xml:space="preserve"> Auditoria / Qualidade / Segurança</w:t>
      </w:r>
    </w:p>
    <w:p>
      <w:r>
        <w:rPr>
          <w:b/>
        </w:rPr>
        <w:t>Versão:</w:t>
      </w:r>
      <w:r>
        <w:t xml:space="preserve"> 1.0</w:t>
      </w:r>
    </w:p>
    <w:p>
      <w:r>
        <w:rPr>
          <w:b/>
        </w:rPr>
        <w:t>Data:</w:t>
      </w:r>
      <w:r>
        <w:t xml:space="preserve"> 21/08/2026</w:t>
      </w:r>
    </w:p>
    <w:p>
      <w:r>
        <w:rPr>
          <w:b/>
        </w:rPr>
        <w:t>Branch auditada:</w:t>
      </w:r>
      <w:r>
        <w:t xml:space="preserve"> </w:t>
      </w:r>
      <w:r>
        <w:rPr>
          <w:rFonts w:ascii="Consolas" w:hAnsi="Consolas"/>
          <w:sz w:val="17"/>
        </w:rPr>
        <w:t>agent/auditoria-homologacao-final-20260821</w:t>
      </w:r>
    </w:p>
    <w:p>
      <w:r>
        <w:rPr>
          <w:b/>
        </w:rPr>
        <w:t>Produção:</w:t>
      </w:r>
      <w:r>
        <w:t xml:space="preserve"> Render, branch </w:t>
      </w:r>
      <w:r>
        <w:rPr>
          <w:rFonts w:ascii="Consolas" w:hAnsi="Consolas"/>
          <w:sz w:val="17"/>
        </w:rPr>
        <w:t>main</w:t>
      </w:r>
      <w:r>
        <w:t>, deploy manual</w:t>
      </w:r>
    </w:p>
    <w:p>
      <w:r>
        <w:rPr>
          <w:b/>
        </w:rPr>
        <w:t>Destino documental:</w:t>
      </w:r>
      <w:r>
        <w:t xml:space="preserve"> HRX SOLUTIONS → Central de Documentos → Hortifruti Revolução → Auditorias</w:t>
      </w:r>
    </w:p>
    <w:p>
      <w:pPr>
        <w:pStyle w:val="Quote"/>
        <w:ind w:left="317"/>
      </w:pPr>
      <w:r>
        <w:rPr>
          <w:b/>
          <w:color w:val="135C45"/>
        </w:rPr>
        <w:t>PENDÊNCIA DE PUBLICAÇÃO:</w:t>
      </w:r>
      <w:r>
        <w:rPr>
          <w:color w:val="135C45"/>
        </w:rPr>
        <w:t xml:space="preserve"> este arquivo está preparado e classificado para a Central de Documentos da HRX. A gravação automática não foi executada porque o Hortifruti não possui integração de escrita com a Central HRX neste repositório.</w:t>
      </w:r>
    </w:p>
    <w:p>
      <w:pPr>
        <w:pStyle w:val="Heading2"/>
      </w:pPr>
      <w:r>
        <w:t>A. Resumo executivo</w:t>
      </w:r>
    </w:p>
    <w:p>
      <w:r>
        <w:t>O sistema possui uma arquitetura consistente e controles de segurança acima da média para o estágio atual: Next.js 16, APIs server-side, Neon Auth, Postgres com RLS, isolamento cliente/admin, histórico operacional, snapshots de preços, PWA com atualização controlada e 110 testes de regressão aprovados na validação final.</w:t>
      </w:r>
    </w:p>
    <w:p>
      <w:r>
        <w:t>A produção publicada no Render respondeu corretamente, protegeu rotas e APIs autenticadas e apresentou boa qualidade visual nas superfícies públicas desktop e mobile. A branch de auditoria amplia a experiência administrativa desktop, endurece Web Push, entrega, fornecedores, espelho fiscal e acessibilidade mobile.</w:t>
      </w:r>
    </w:p>
    <w:p>
      <w:r>
        <w:t xml:space="preserve">O sistema, contudo, </w:t>
      </w:r>
      <w:r>
        <w:rPr>
          <w:b/>
        </w:rPr>
        <w:t>não está pronto para operação comercial real</w:t>
      </w:r>
      <w:r>
        <w:t>. O banco padrão contém dados identificados como QA (</w:t>
      </w:r>
      <w:r>
        <w:rPr>
          <w:rFonts w:ascii="Consolas" w:hAnsi="Consolas"/>
          <w:sz w:val="17"/>
        </w:rPr>
        <w:t>QA-E2E-*</w:t>
      </w:r>
      <w:r>
        <w:t>), não há usuário cliente vinculado, fornecedores, emitente fiscal ou piloto homologado. Os cinco pedidos existentes estão em compra sem transações de compra. Assim, catálogo, preço personalizado, pedido, consolidação, entrega, notificação ao cliente e fechamento fiscal não puderam ser aprovados como ciclo real ponta a ponta.</w:t>
      </w:r>
    </w:p>
    <w:p>
      <w:r>
        <w:rPr>
          <w:b/>
        </w:rPr>
        <w:t>Maturidade estimada: 72%.</w:t>
      </w:r>
      <w:r>
        <w:t xml:space="preserve"> A base de código e os controles são sólidos; impedem 100%: dados reais não carregados, ausência de usuário cliente, fornecedores e emitente fiscal, migration fiscal da branch ainda não aplicada, PWA sem ícone 512 íntegro, falta de teste efetivo de Web Push em dispositivo e ausência de homologação operacional completa.</w:t>
      </w:r>
    </w:p>
    <w:p>
      <w:pPr>
        <w:pStyle w:val="Heading2"/>
      </w:pPr>
      <w:r>
        <w:t>B. Resultado por área</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90" w:type="dxa"/>
              <w:start w:w="110" w:type="dxa"/>
              <w:bottom w:w="90" w:type="dxa"/>
              <w:end w:w="110" w:type="dxa"/>
            </w:tcMar>
            <w:vAlign w:val="center"/>
            <w:shd w:fill="135C45"/>
          </w:tcPr>
          <w:p>
            <w:r>
              <w:rPr>
                <w:b/>
                <w:color w:val="FFFFFF"/>
                <w:sz w:val="15"/>
              </w:rPr>
              <w:t>Área</w:t>
            </w:r>
          </w:p>
        </w:tc>
        <w:tc>
          <w:tcPr>
            <w:tcW w:type="dxa" w:w="3331"/>
            <w:tcMar>
              <w:top w:w="90" w:type="dxa"/>
              <w:start w:w="110" w:type="dxa"/>
              <w:bottom w:w="90" w:type="dxa"/>
              <w:end w:w="110" w:type="dxa"/>
            </w:tcMar>
            <w:vAlign w:val="center"/>
            <w:shd w:fill="135C45"/>
          </w:tcPr>
          <w:p>
            <w:r>
              <w:rPr>
                <w:b/>
                <w:color w:val="FFFFFF"/>
                <w:sz w:val="15"/>
              </w:rPr>
              <w:t>Resultado</w:t>
            </w:r>
          </w:p>
        </w:tc>
        <w:tc>
          <w:tcPr>
            <w:tcW w:type="dxa" w:w="3331"/>
            <w:tcMar>
              <w:top w:w="90" w:type="dxa"/>
              <w:start w:w="110" w:type="dxa"/>
              <w:bottom w:w="90" w:type="dxa"/>
              <w:end w:w="110" w:type="dxa"/>
            </w:tcMar>
            <w:vAlign w:val="center"/>
            <w:shd w:fill="135C45"/>
          </w:tcPr>
          <w:p>
            <w:r>
              <w:rPr>
                <w:b/>
                <w:color w:val="FFFFFF"/>
                <w:sz w:val="15"/>
              </w:rPr>
              <w:t>Síntese</w:t>
            </w:r>
          </w:p>
        </w:tc>
      </w:tr>
      <w:tr>
        <w:tc>
          <w:tcPr>
            <w:tcW w:type="dxa" w:w="3331"/>
            <w:tcMar>
              <w:top w:w="90" w:type="dxa"/>
              <w:start w:w="110" w:type="dxa"/>
              <w:bottom w:w="90" w:type="dxa"/>
              <w:end w:w="110" w:type="dxa"/>
            </w:tcMar>
            <w:vAlign w:val="center"/>
          </w:tcPr>
          <w:p>
            <w:r>
              <w:rPr>
                <w:sz w:val="15"/>
              </w:rPr>
              <w:t>Mobile</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Superfícies públicas sem overflow em 320 px; alvo de toque corrigido na branch. Fluxos autenticados bloqueados por ausência de usuário cliente.</w:t>
            </w:r>
          </w:p>
        </w:tc>
      </w:tr>
      <w:tr>
        <w:tc>
          <w:tcPr>
            <w:tcW w:type="dxa" w:w="3331"/>
            <w:tcMar>
              <w:top w:w="90" w:type="dxa"/>
              <w:start w:w="110" w:type="dxa"/>
              <w:bottom w:w="90" w:type="dxa"/>
              <w:end w:w="110" w:type="dxa"/>
            </w:tcMar>
            <w:vAlign w:val="center"/>
          </w:tcPr>
          <w:p>
            <w:r>
              <w:rPr>
                <w:sz w:val="15"/>
              </w:rPr>
              <w:t>Desktop Web</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Site público aprovado; branch amplia dashboard administrativo. Administração real depende de sessão e dados operacionais válidos.</w:t>
            </w:r>
          </w:p>
        </w:tc>
      </w:tr>
      <w:tr>
        <w:tc>
          <w:tcPr>
            <w:tcW w:type="dxa" w:w="3331"/>
            <w:tcMar>
              <w:top w:w="90" w:type="dxa"/>
              <w:start w:w="110" w:type="dxa"/>
              <w:bottom w:w="90" w:type="dxa"/>
              <w:end w:w="110" w:type="dxa"/>
            </w:tcMar>
            <w:vAlign w:val="center"/>
          </w:tcPr>
          <w:p>
            <w:r>
              <w:rPr>
                <w:sz w:val="15"/>
              </w:rPr>
              <w:t>PWA</w:t>
            </w:r>
          </w:p>
        </w:tc>
        <w:tc>
          <w:tcPr>
            <w:tcW w:type="dxa" w:w="3331"/>
            <w:tcMar>
              <w:top w:w="90" w:type="dxa"/>
              <w:start w:w="110" w:type="dxa"/>
              <w:bottom w:w="90" w:type="dxa"/>
              <w:end w:w="110" w:type="dxa"/>
            </w:tcMar>
            <w:vAlign w:val="center"/>
          </w:tcPr>
          <w:p>
            <w:r>
              <w:rPr>
                <w:sz w:val="15"/>
              </w:rPr>
              <w:t>❌ Reprovado</w:t>
            </w:r>
          </w:p>
        </w:tc>
        <w:tc>
          <w:tcPr>
            <w:tcW w:type="dxa" w:w="3331"/>
            <w:tcMar>
              <w:top w:w="90" w:type="dxa"/>
              <w:start w:w="110" w:type="dxa"/>
              <w:bottom w:w="90" w:type="dxa"/>
              <w:end w:w="110" w:type="dxa"/>
            </w:tcMar>
            <w:vAlign w:val="center"/>
          </w:tcPr>
          <w:p>
            <w:r>
              <w:rPr>
                <w:sz w:val="15"/>
              </w:rPr>
              <w:t>Manifest, SW e atualização existem; falta ícone 512 e o PNG 192 possui CRC inválido para validadores. Instalação/recebimento real não homologados.</w:t>
            </w:r>
          </w:p>
        </w:tc>
      </w:tr>
      <w:tr>
        <w:tc>
          <w:tcPr>
            <w:tcW w:type="dxa" w:w="3331"/>
            <w:tcMar>
              <w:top w:w="90" w:type="dxa"/>
              <w:start w:w="110" w:type="dxa"/>
              <w:bottom w:w="90" w:type="dxa"/>
              <w:end w:w="110" w:type="dxa"/>
            </w:tcMar>
            <w:vAlign w:val="center"/>
          </w:tcPr>
          <w:p>
            <w:r>
              <w:rPr>
                <w:sz w:val="15"/>
              </w:rPr>
              <w:t>Fluxo operacional</w:t>
            </w:r>
          </w:p>
        </w:tc>
        <w:tc>
          <w:tcPr>
            <w:tcW w:type="dxa" w:w="3331"/>
            <w:tcMar>
              <w:top w:w="90" w:type="dxa"/>
              <w:start w:w="110" w:type="dxa"/>
              <w:bottom w:w="90" w:type="dxa"/>
              <w:end w:w="110" w:type="dxa"/>
            </w:tcMar>
            <w:vAlign w:val="center"/>
          </w:tcPr>
          <w:p>
            <w:r>
              <w:rPr>
                <w:sz w:val="15"/>
              </w:rPr>
              <w:t>⛔ Bloqueado</w:t>
            </w:r>
          </w:p>
        </w:tc>
        <w:tc>
          <w:tcPr>
            <w:tcW w:type="dxa" w:w="3331"/>
            <w:tcMar>
              <w:top w:w="90" w:type="dxa"/>
              <w:start w:w="110" w:type="dxa"/>
              <w:bottom w:w="90" w:type="dxa"/>
              <w:end w:w="110" w:type="dxa"/>
            </w:tcMar>
            <w:vAlign w:val="center"/>
          </w:tcPr>
          <w:p>
            <w:r>
              <w:rPr>
                <w:sz w:val="15"/>
              </w:rPr>
              <w:t>Não há clientes vinculados, fornecedores, transações de compra, separação, entrega ou piloto homologado.</w:t>
            </w:r>
          </w:p>
        </w:tc>
      </w:tr>
      <w:tr>
        <w:tc>
          <w:tcPr>
            <w:tcW w:type="dxa" w:w="3331"/>
            <w:tcMar>
              <w:top w:w="90" w:type="dxa"/>
              <w:start w:w="110" w:type="dxa"/>
              <w:bottom w:w="90" w:type="dxa"/>
              <w:end w:w="110" w:type="dxa"/>
            </w:tcMar>
            <w:vAlign w:val="center"/>
          </w:tcPr>
          <w:p>
            <w:r>
              <w:rPr>
                <w:sz w:val="15"/>
              </w:rPr>
              <w:t>Banco de clientes</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Modelagem PF/PJ, fiscal, timestamps e RLS presentes; apenas um cadastro de QA e zero vínculos de cliente.</w:t>
            </w:r>
          </w:p>
        </w:tc>
      </w:tr>
      <w:tr>
        <w:tc>
          <w:tcPr>
            <w:tcW w:type="dxa" w:w="3331"/>
            <w:tcMar>
              <w:top w:w="90" w:type="dxa"/>
              <w:start w:w="110" w:type="dxa"/>
              <w:bottom w:w="90" w:type="dxa"/>
              <w:end w:w="110" w:type="dxa"/>
            </w:tcMar>
            <w:vAlign w:val="center"/>
          </w:tcPr>
          <w:p>
            <w:r>
              <w:rPr>
                <w:sz w:val="15"/>
              </w:rPr>
              <w:t>Banco de valores</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Preço geral e específico, precisão e snapshot no pedido estão implementados; seis preços personalizados sem vigência.</w:t>
            </w:r>
          </w:p>
        </w:tc>
      </w:tr>
      <w:tr>
        <w:tc>
          <w:tcPr>
            <w:tcW w:type="dxa" w:w="3331"/>
            <w:tcMar>
              <w:top w:w="90" w:type="dxa"/>
              <w:start w:w="110" w:type="dxa"/>
              <w:bottom w:w="90" w:type="dxa"/>
              <w:end w:w="110" w:type="dxa"/>
            </w:tcMar>
            <w:vAlign w:val="center"/>
          </w:tcPr>
          <w:p>
            <w:r>
              <w:rPr>
                <w:sz w:val="15"/>
              </w:rPr>
              <w:t>Interface</w:t>
            </w:r>
          </w:p>
        </w:tc>
        <w:tc>
          <w:tcPr>
            <w:tcW w:type="dxa" w:w="3331"/>
            <w:tcMar>
              <w:top w:w="90" w:type="dxa"/>
              <w:start w:w="110" w:type="dxa"/>
              <w:bottom w:w="90" w:type="dxa"/>
              <w:end w:w="110" w:type="dxa"/>
            </w:tcMar>
            <w:vAlign w:val="center"/>
          </w:tcPr>
          <w:p>
            <w:r>
              <w:rPr>
                <w:sz w:val="15"/>
              </w:rPr>
              <w:t>✅ Aprovado</w:t>
            </w:r>
          </w:p>
        </w:tc>
        <w:tc>
          <w:tcPr>
            <w:tcW w:type="dxa" w:w="3331"/>
            <w:tcMar>
              <w:top w:w="90" w:type="dxa"/>
              <w:start w:w="110" w:type="dxa"/>
              <w:bottom w:w="90" w:type="dxa"/>
              <w:end w:w="110" w:type="dxa"/>
            </w:tcMar>
            <w:vAlign w:val="center"/>
          </w:tcPr>
          <w:p>
            <w:r>
              <w:rPr>
                <w:sz w:val="15"/>
              </w:rPr>
              <w:t>Identidade consistente, premium e responsiva nas superfícies observáveis.</w:t>
            </w:r>
          </w:p>
        </w:tc>
      </w:tr>
      <w:tr>
        <w:tc>
          <w:tcPr>
            <w:tcW w:type="dxa" w:w="3331"/>
            <w:tcMar>
              <w:top w:w="90" w:type="dxa"/>
              <w:start w:w="110" w:type="dxa"/>
              <w:bottom w:w="90" w:type="dxa"/>
              <w:end w:w="110" w:type="dxa"/>
            </w:tcMar>
            <w:vAlign w:val="center"/>
          </w:tcPr>
          <w:p>
            <w:r>
              <w:rPr>
                <w:sz w:val="15"/>
              </w:rPr>
              <w:t>Usabilidade</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Boa hierarquia; alvos públicos mobile corrigidos. Fluxo interno integral não pôde ser percorrido.</w:t>
            </w:r>
          </w:p>
        </w:tc>
      </w:tr>
      <w:tr>
        <w:tc>
          <w:tcPr>
            <w:tcW w:type="dxa" w:w="3331"/>
            <w:tcMar>
              <w:top w:w="90" w:type="dxa"/>
              <w:start w:w="110" w:type="dxa"/>
              <w:bottom w:w="90" w:type="dxa"/>
              <w:end w:w="110" w:type="dxa"/>
            </w:tcMar>
            <w:vAlign w:val="center"/>
          </w:tcPr>
          <w:p>
            <w:r>
              <w:rPr>
                <w:sz w:val="15"/>
              </w:rPr>
              <w:t>Documentação</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README e arquitetura são úteis; relatório preparado, publicação na Central pendente.</w:t>
            </w:r>
          </w:p>
        </w:tc>
      </w:tr>
      <w:tr>
        <w:tc>
          <w:tcPr>
            <w:tcW w:type="dxa" w:w="3331"/>
            <w:tcMar>
              <w:top w:w="90" w:type="dxa"/>
              <w:start w:w="110" w:type="dxa"/>
              <w:bottom w:w="90" w:type="dxa"/>
              <w:end w:w="110" w:type="dxa"/>
            </w:tcMar>
            <w:vAlign w:val="center"/>
          </w:tcPr>
          <w:p>
            <w:r>
              <w:rPr>
                <w:sz w:val="15"/>
              </w:rPr>
              <w:t>Manual</w:t>
            </w:r>
          </w:p>
        </w:tc>
        <w:tc>
          <w:tcPr>
            <w:tcW w:type="dxa" w:w="3331"/>
            <w:tcMar>
              <w:top w:w="90" w:type="dxa"/>
              <w:start w:w="110" w:type="dxa"/>
              <w:bottom w:w="90" w:type="dxa"/>
              <w:end w:w="110" w:type="dxa"/>
            </w:tcMar>
            <w:vAlign w:val="center"/>
          </w:tcPr>
          <w:p>
            <w:r>
              <w:rPr>
                <w:sz w:val="15"/>
              </w:rPr>
              <w:t>✅ Aprovado</w:t>
            </w:r>
          </w:p>
        </w:tc>
        <w:tc>
          <w:tcPr>
            <w:tcW w:type="dxa" w:w="3331"/>
            <w:tcMar>
              <w:top w:w="90" w:type="dxa"/>
              <w:start w:w="110" w:type="dxa"/>
              <w:bottom w:w="90" w:type="dxa"/>
              <w:end w:w="110" w:type="dxa"/>
            </w:tcMar>
            <w:vAlign w:val="center"/>
          </w:tcPr>
          <w:p>
            <w:r>
              <w:rPr>
                <w:sz w:val="15"/>
              </w:rPr>
              <w:t>Manual operacional V1 criado e destinado à Central HRX.</w:t>
            </w:r>
          </w:p>
        </w:tc>
      </w:tr>
      <w:tr>
        <w:tc>
          <w:tcPr>
            <w:tcW w:type="dxa" w:w="3331"/>
            <w:tcMar>
              <w:top w:w="90" w:type="dxa"/>
              <w:start w:w="110" w:type="dxa"/>
              <w:bottom w:w="90" w:type="dxa"/>
              <w:end w:w="110" w:type="dxa"/>
            </w:tcMar>
            <w:vAlign w:val="center"/>
          </w:tcPr>
          <w:p>
            <w:r>
              <w:rPr>
                <w:sz w:val="15"/>
              </w:rPr>
              <w:t>Simulações</w:t>
            </w:r>
          </w:p>
        </w:tc>
        <w:tc>
          <w:tcPr>
            <w:tcW w:type="dxa" w:w="3331"/>
            <w:tcMar>
              <w:top w:w="90" w:type="dxa"/>
              <w:start w:w="110" w:type="dxa"/>
              <w:bottom w:w="90" w:type="dxa"/>
              <w:end w:w="110" w:type="dxa"/>
            </w:tcMar>
            <w:vAlign w:val="center"/>
          </w:tcPr>
          <w:p>
            <w:r>
              <w:rPr>
                <w:sz w:val="15"/>
              </w:rPr>
              <w:t>⛔ Bloqueado</w:t>
            </w:r>
          </w:p>
        </w:tc>
        <w:tc>
          <w:tcPr>
            <w:tcW w:type="dxa" w:w="3331"/>
            <w:tcMar>
              <w:top w:w="90" w:type="dxa"/>
              <w:start w:w="110" w:type="dxa"/>
              <w:bottom w:w="90" w:type="dxa"/>
              <w:end w:w="110" w:type="dxa"/>
            </w:tcMar>
            <w:vAlign w:val="center"/>
          </w:tcPr>
          <w:p>
            <w:r>
              <w:rPr>
                <w:sz w:val="15"/>
              </w:rPr>
              <w:t>Contratos automatizados passaram; cenários reais A–I dependem de dados, usuários, dispositivos e configuração externa.</w:t>
            </w:r>
          </w:p>
        </w:tc>
      </w:tr>
      <w:tr>
        <w:tc>
          <w:tcPr>
            <w:tcW w:type="dxa" w:w="3331"/>
            <w:tcMar>
              <w:top w:w="90" w:type="dxa"/>
              <w:start w:w="110" w:type="dxa"/>
              <w:bottom w:w="90" w:type="dxa"/>
              <w:end w:w="110" w:type="dxa"/>
            </w:tcMar>
            <w:vAlign w:val="center"/>
          </w:tcPr>
          <w:p>
            <w:r>
              <w:rPr>
                <w:sz w:val="15"/>
              </w:rPr>
              <w:t>Notificações</w:t>
            </w:r>
          </w:p>
        </w:tc>
        <w:tc>
          <w:tcPr>
            <w:tcW w:type="dxa" w:w="3331"/>
            <w:tcMar>
              <w:top w:w="90" w:type="dxa"/>
              <w:start w:w="110" w:type="dxa"/>
              <w:bottom w:w="90" w:type="dxa"/>
              <w:end w:w="110" w:type="dxa"/>
            </w:tcMar>
            <w:vAlign w:val="center"/>
          </w:tcPr>
          <w:p>
            <w:r>
              <w:rPr>
                <w:sz w:val="15"/>
              </w:rPr>
              <w:t>⛔ Bloqueado</w:t>
            </w:r>
          </w:p>
        </w:tc>
        <w:tc>
          <w:tcPr>
            <w:tcW w:type="dxa" w:w="3331"/>
            <w:tcMar>
              <w:top w:w="90" w:type="dxa"/>
              <w:start w:w="110" w:type="dxa"/>
              <w:bottom w:w="90" w:type="dxa"/>
              <w:end w:w="110" w:type="dxa"/>
            </w:tcMar>
            <w:vAlign w:val="center"/>
          </w:tcPr>
          <w:p>
            <w:r>
              <w:rPr>
                <w:sz w:val="15"/>
              </w:rPr>
              <w:t>Há 3 subscriptions admin ativas; nenhuma subscription cliente e nenhum recebimento físico confirmado.</w:t>
            </w:r>
          </w:p>
        </w:tc>
      </w:tr>
      <w:tr>
        <w:tc>
          <w:tcPr>
            <w:tcW w:type="dxa" w:w="3331"/>
            <w:tcMar>
              <w:top w:w="90" w:type="dxa"/>
              <w:start w:w="110" w:type="dxa"/>
              <w:bottom w:w="90" w:type="dxa"/>
              <w:end w:w="110" w:type="dxa"/>
            </w:tcMar>
            <w:vAlign w:val="center"/>
          </w:tcPr>
          <w:p>
            <w:r>
              <w:rPr>
                <w:sz w:val="15"/>
              </w:rPr>
              <w:t>Espelho NFS-e</w:t>
            </w:r>
          </w:p>
        </w:tc>
        <w:tc>
          <w:tcPr>
            <w:tcW w:type="dxa" w:w="3331"/>
            <w:tcMar>
              <w:top w:w="90" w:type="dxa"/>
              <w:start w:w="110" w:type="dxa"/>
              <w:bottom w:w="90" w:type="dxa"/>
              <w:end w:w="110" w:type="dxa"/>
            </w:tcMar>
            <w:vAlign w:val="center"/>
          </w:tcPr>
          <w:p>
            <w:r>
              <w:rPr>
                <w:sz w:val="15"/>
              </w:rPr>
              <w:t>⛔ Bloqueado</w:t>
            </w:r>
          </w:p>
        </w:tc>
        <w:tc>
          <w:tcPr>
            <w:tcW w:type="dxa" w:w="3331"/>
            <w:tcMar>
              <w:top w:w="90" w:type="dxa"/>
              <w:start w:w="110" w:type="dxa"/>
              <w:bottom w:w="90" w:type="dxa"/>
              <w:end w:w="110" w:type="dxa"/>
            </w:tcMar>
            <w:vAlign w:val="center"/>
          </w:tcPr>
          <w:p>
            <w:r>
              <w:rPr>
                <w:sz w:val="15"/>
              </w:rPr>
              <w:t>O sistema atual trata venda de mercadorias e espelho NF-e. Aplicabilidade de NFS-e precisa de decisão fiscal formal.</w:t>
            </w:r>
          </w:p>
        </w:tc>
      </w:tr>
      <w:tr>
        <w:tc>
          <w:tcPr>
            <w:tcW w:type="dxa" w:w="3331"/>
            <w:tcMar>
              <w:top w:w="90" w:type="dxa"/>
              <w:start w:w="110" w:type="dxa"/>
              <w:bottom w:w="90" w:type="dxa"/>
              <w:end w:w="110" w:type="dxa"/>
            </w:tcMar>
            <w:vAlign w:val="center"/>
          </w:tcPr>
          <w:p>
            <w:r>
              <w:rPr>
                <w:sz w:val="15"/>
              </w:rPr>
              <w:t>Segurança</w:t>
            </w:r>
          </w:p>
        </w:tc>
        <w:tc>
          <w:tcPr>
            <w:tcW w:type="dxa" w:w="3331"/>
            <w:tcMar>
              <w:top w:w="90" w:type="dxa"/>
              <w:start w:w="110" w:type="dxa"/>
              <w:bottom w:w="90" w:type="dxa"/>
              <w:end w:w="110" w:type="dxa"/>
            </w:tcMar>
            <w:vAlign w:val="center"/>
          </w:tcPr>
          <w:p>
            <w:r>
              <w:rPr>
                <w:sz w:val="15"/>
              </w:rPr>
              <w:t>⚠️ Aprovado com ressalvas</w:t>
            </w:r>
          </w:p>
        </w:tc>
        <w:tc>
          <w:tcPr>
            <w:tcW w:type="dxa" w:w="3331"/>
            <w:tcMar>
              <w:top w:w="90" w:type="dxa"/>
              <w:start w:w="110" w:type="dxa"/>
              <w:bottom w:w="90" w:type="dxa"/>
              <w:end w:w="110" w:type="dxa"/>
            </w:tcMar>
            <w:vAlign w:val="center"/>
          </w:tcPr>
          <w:p>
            <w:r>
              <w:rPr>
                <w:sz w:val="15"/>
              </w:rPr>
              <w:t>RLS, guards e 401 aprovados. Headers corrigidos na branch; CSP permanece pendente de projeto compatível com Next.</w:t>
            </w:r>
          </w:p>
        </w:tc>
      </w:tr>
    </w:tbl>
    <w:p>
      <w:pPr>
        <w:spacing w:after="20"/>
      </w:pPr>
    </w:p>
    <w:p>
      <w:pPr>
        <w:pStyle w:val="Heading2"/>
      </w:pPr>
      <w:r>
        <w:t>C. Problemas encontrados</w:t>
      </w:r>
    </w:p>
    <w:p>
      <w:pPr>
        <w:pStyle w:val="Heading3"/>
      </w:pPr>
      <w:r>
        <w:t>AUD-001 — P1 — Dados de QA no banco padrão</w:t>
      </w:r>
    </w:p>
    <w:p>
      <w:r>
        <w:rPr>
          <w:b/>
        </w:rPr>
        <w:t>Problema:</w:t>
      </w:r>
      <w:r>
        <w:t xml:space="preserve"> produtos e preços usam SKUs </w:t>
      </w:r>
      <w:r>
        <w:rPr>
          <w:rFonts w:ascii="Consolas" w:hAnsi="Consolas"/>
          <w:sz w:val="17"/>
        </w:rPr>
        <w:t>QA-E2E-*</w:t>
      </w:r>
      <w:r>
        <w:t>; cinco pedidos foram criados no mesmo instante e permanecem em compra.</w:t>
      </w:r>
    </w:p>
    <w:p>
      <w:r>
        <w:rPr>
          <w:b/>
        </w:rPr>
        <w:t>Impacto:</w:t>
      </w:r>
      <w:r>
        <w:t xml:space="preserve"> indicadores e testes não representam operação real; risco de confundir homologação com produção.</w:t>
      </w:r>
    </w:p>
    <w:p>
      <w:r>
        <w:rPr>
          <w:b/>
        </w:rPr>
        <w:t>Causa:</w:t>
      </w:r>
      <w:r>
        <w:t xml:space="preserve"> carga de QA no branch padrão do Neon.</w:t>
      </w:r>
    </w:p>
    <w:p>
      <w:r>
        <w:rPr>
          <w:b/>
        </w:rPr>
        <w:t>Evidência:</w:t>
      </w:r>
      <w:r>
        <w:t xml:space="preserve"> 1 cliente, 6 produtos, 6 preços personalizados, 5 pedidos, 19 itens e 1 lote; todos os pedidos em </w:t>
      </w:r>
      <w:r>
        <w:rPr>
          <w:rFonts w:ascii="Consolas" w:hAnsi="Consolas"/>
          <w:sz w:val="17"/>
        </w:rPr>
        <w:t>purchasing</w:t>
      </w:r>
      <w:r>
        <w:t>.</w:t>
      </w:r>
    </w:p>
    <w:p>
      <w:r>
        <w:rPr>
          <w:b/>
        </w:rPr>
        <w:t>Correção:</w:t>
      </w:r>
      <w:r>
        <w:t xml:space="preserve"> não executada por envolver exclusão/alteração destrutiva de dados.</w:t>
      </w:r>
    </w:p>
    <w:p>
      <w:r>
        <w:rPr>
          <w:b/>
        </w:rPr>
        <w:t>Situação:</w:t>
      </w:r>
      <w:r>
        <w:t xml:space="preserve"> ⛔ BLOQUEADO — confirmar descarte controlado dos registros QA e fornecer carga real.</w:t>
      </w:r>
    </w:p>
    <w:p>
      <w:pPr>
        <w:pStyle w:val="Heading3"/>
      </w:pPr>
      <w:r>
        <w:t>AUD-002 — P1 — Ciclo operacional sem dados mínimos</w:t>
      </w:r>
    </w:p>
    <w:p>
      <w:r>
        <w:rPr>
          <w:b/>
        </w:rPr>
        <w:t>Problema:</w:t>
      </w:r>
      <w:r>
        <w:t xml:space="preserve"> zero fornecedores, zero transações de compra, zero recebimentos, zero itens separados, zero entregas e nenhum piloto.</w:t>
      </w:r>
    </w:p>
    <w:p>
      <w:r>
        <w:rPr>
          <w:b/>
        </w:rPr>
        <w:t>Impacto:</w:t>
      </w:r>
      <w:r>
        <w:t xml:space="preserve"> consolidação, recebimento, rateio, separação e entrega não podem ser homologados na prática.</w:t>
      </w:r>
    </w:p>
    <w:p>
      <w:r>
        <w:rPr>
          <w:b/>
        </w:rPr>
        <w:t>Causa:</w:t>
      </w:r>
      <w:r>
        <w:t xml:space="preserve"> implantação real incompleta.</w:t>
      </w:r>
    </w:p>
    <w:p>
      <w:r>
        <w:rPr>
          <w:b/>
        </w:rPr>
        <w:t>Correção:</w:t>
      </w:r>
      <w:r>
        <w:t xml:space="preserve"> componentes e contratos existem; falta configuração/dados.</w:t>
      </w:r>
    </w:p>
    <w:p>
      <w:r>
        <w:rPr>
          <w:b/>
        </w:rPr>
        <w:t>Situação:</w:t>
      </w:r>
      <w:r>
        <w:t xml:space="preserve"> ⛔ BLOQUEADO — cadastrar fornecedores e homologar um pedido piloto.</w:t>
      </w:r>
    </w:p>
    <w:p>
      <w:pPr>
        <w:pStyle w:val="Heading3"/>
      </w:pPr>
      <w:r>
        <w:t>AUD-003 — P1 — Web Push sem confirmação ponta a ponta</w:t>
      </w:r>
    </w:p>
    <w:p>
      <w:r>
        <w:rPr>
          <w:b/>
        </w:rPr>
        <w:t>Problema:</w:t>
      </w:r>
      <w:r>
        <w:t xml:space="preserve"> existem três subscriptions ativas, todas administrativas; não há usuário cliente vinculado nem evidência de recebimento físico.</w:t>
      </w:r>
    </w:p>
    <w:p>
      <w:r>
        <w:rPr>
          <w:b/>
        </w:rPr>
        <w:t>Impacto:</w:t>
      </w:r>
      <w:r>
        <w:t xml:space="preserve"> não é possível afirmar que mudança de status chega ao cliente.</w:t>
      </w:r>
    </w:p>
    <w:p>
      <w:r>
        <w:rPr>
          <w:b/>
        </w:rPr>
        <w:t>Causa:</w:t>
      </w:r>
      <w:r>
        <w:t xml:space="preserve"> ausência de conta cliente/dispositivo homologado.</w:t>
      </w:r>
    </w:p>
    <w:p>
      <w:r>
        <w:rPr>
          <w:b/>
        </w:rPr>
        <w:t>Correção:</w:t>
      </w:r>
      <w:r>
        <w:t xml:space="preserve"> branch contém hardening de endpoint, retry limitado e desativação de subscriptions expiradas.</w:t>
      </w:r>
    </w:p>
    <w:p>
      <w:r>
        <w:rPr>
          <w:b/>
        </w:rPr>
        <w:t>Situação:</w:t>
      </w:r>
      <w:r>
        <w:t xml:space="preserve"> ⛔ BLOQUEADO — dispositivo iOS e Android, conta cliente vinculada e chaves VAPID do Render.</w:t>
      </w:r>
    </w:p>
    <w:p>
      <w:pPr>
        <w:pStyle w:val="Heading3"/>
      </w:pPr>
      <w:r>
        <w:t>AUD-004 — P2 — Alvos públicos mobile abaixo de 44 px</w:t>
      </w:r>
    </w:p>
    <w:p>
      <w:r>
        <w:rPr>
          <w:b/>
        </w:rPr>
        <w:t>Problema:</w:t>
      </w:r>
      <w:r>
        <w:t xml:space="preserve"> botão Entrar, ações do cadastro e link de privacidade mediam entre 15 e 42 px de altura.</w:t>
      </w:r>
    </w:p>
    <w:p>
      <w:r>
        <w:rPr>
          <w:b/>
        </w:rPr>
        <w:t>Impacto:</w:t>
      </w:r>
      <w:r>
        <w:t xml:space="preserve"> toque impreciso e menor acessibilidade.</w:t>
      </w:r>
    </w:p>
    <w:p>
      <w:r>
        <w:rPr>
          <w:b/>
        </w:rPr>
        <w:t>Causa:</w:t>
      </w:r>
      <w:r>
        <w:t xml:space="preserve"> seletores de acessibilidade não abrangiam botão aninhado; regra posterior reduzia ações do cadastro.</w:t>
      </w:r>
    </w:p>
    <w:p>
      <w:r>
        <w:rPr>
          <w:b/>
        </w:rPr>
        <w:t>Correção:</w:t>
      </w:r>
      <w:r>
        <w:t xml:space="preserve"> seletores ampliados e regressão criada.</w:t>
      </w:r>
    </w:p>
    <w:p>
      <w:r>
        <w:rPr>
          <w:b/>
        </w:rPr>
        <w:t>Reteste:</w:t>
      </w:r>
      <w:r>
        <w:t xml:space="preserve"> 320×720, login e cadastro, nenhum alvo visível abaixo de 44 px (exceto controle gráfico não interativo do formulário).</w:t>
      </w:r>
    </w:p>
    <w:p>
      <w:r>
        <w:rPr>
          <w:b/>
        </w:rPr>
        <w:t>Situação:</w:t>
      </w:r>
      <w:r>
        <w:t xml:space="preserve"> ✅ Corrigido no commit </w:t>
      </w:r>
      <w:r>
        <w:rPr>
          <w:rFonts w:ascii="Consolas" w:hAnsi="Consolas"/>
          <w:sz w:val="17"/>
        </w:rPr>
        <w:t>243d662</w:t>
      </w:r>
      <w:r>
        <w:t>.</w:t>
      </w:r>
    </w:p>
    <w:p>
      <w:pPr>
        <w:pStyle w:val="Heading3"/>
      </w:pPr>
      <w:r>
        <w:t>AUD-005 — P1 — Cabeçalhos HTTP de segurança ausentes</w:t>
      </w:r>
    </w:p>
    <w:p>
      <w:r>
        <w:rPr>
          <w:b/>
        </w:rPr>
        <w:t>Problema:</w:t>
      </w:r>
      <w:r>
        <w:t xml:space="preserve"> produção não enviava HSTS, </w:t>
      </w:r>
      <w:r>
        <w:rPr>
          <w:rFonts w:ascii="Consolas" w:hAnsi="Consolas"/>
          <w:sz w:val="17"/>
        </w:rPr>
        <w:t>nosniff</w:t>
      </w:r>
      <w:r>
        <w:t>, proteção contra frame, política de referência ou permissões.</w:t>
      </w:r>
    </w:p>
    <w:p>
      <w:r>
        <w:rPr>
          <w:b/>
        </w:rPr>
        <w:t>Impacto:</w:t>
      </w:r>
      <w:r>
        <w:t xml:space="preserve"> exposição desnecessária a clickjacking, interpretação incorreta de MIME e recursos sensíveis do navegador.</w:t>
      </w:r>
    </w:p>
    <w:p>
      <w:r>
        <w:rPr>
          <w:b/>
        </w:rPr>
        <w:t>Causa:</w:t>
      </w:r>
      <w:r>
        <w:t xml:space="preserve"> </w:t>
      </w:r>
      <w:r>
        <w:rPr>
          <w:rFonts w:ascii="Consolas" w:hAnsi="Consolas"/>
          <w:sz w:val="17"/>
        </w:rPr>
        <w:t>next.config.ts</w:t>
      </w:r>
      <w:r>
        <w:t xml:space="preserve"> sem política global de headers.</w:t>
      </w:r>
    </w:p>
    <w:p>
      <w:r>
        <w:rPr>
          <w:b/>
        </w:rPr>
        <w:t>Correção:</w:t>
      </w:r>
      <w:r>
        <w:t xml:space="preserve"> headers globais adicionados e testados localmente.</w:t>
      </w:r>
    </w:p>
    <w:p>
      <w:r>
        <w:rPr>
          <w:b/>
        </w:rPr>
        <w:t>Situação:</w:t>
      </w:r>
      <w:r>
        <w:t xml:space="preserve"> ✅ Corrigido no commit </w:t>
      </w:r>
      <w:r>
        <w:rPr>
          <w:rFonts w:ascii="Consolas" w:hAnsi="Consolas"/>
          <w:sz w:val="17"/>
        </w:rPr>
        <w:t>44c5c3f</w:t>
      </w:r>
      <w:r>
        <w:t>; publicação no Render pendente.</w:t>
      </w:r>
    </w:p>
    <w:p>
      <w:pPr>
        <w:pStyle w:val="Heading3"/>
      </w:pPr>
      <w:r>
        <w:t>AUD-006 — P1 — Manifest PWA sem asset obrigatório íntegro</w:t>
      </w:r>
    </w:p>
    <w:p>
      <w:r>
        <w:rPr>
          <w:b/>
        </w:rPr>
        <w:t>Problema:</w:t>
      </w:r>
      <w:r>
        <w:t xml:space="preserve"> manifest declara apenas 192×192; o PNG versionado apresenta CRC inválido em validadores e não existe 512×512.</w:t>
      </w:r>
    </w:p>
    <w:p>
      <w:r>
        <w:rPr>
          <w:b/>
        </w:rPr>
        <w:t>Impacto:</w:t>
      </w:r>
      <w:r>
        <w:t xml:space="preserve"> instalação e splash podem falhar ou variar em Chromium/Android.</w:t>
      </w:r>
    </w:p>
    <w:p>
      <w:r>
        <w:rPr>
          <w:b/>
        </w:rPr>
        <w:t>Causa:</w:t>
      </w:r>
      <w:r>
        <w:t xml:space="preserve"> exportação de asset incompleta/corrompida.</w:t>
      </w:r>
    </w:p>
    <w:p>
      <w:r>
        <w:rPr>
          <w:b/>
        </w:rPr>
        <w:t>Correção:</w:t>
      </w:r>
      <w:r>
        <w:t xml:space="preserve"> não foi recriada a marca sem asset mestre confiável.</w:t>
      </w:r>
    </w:p>
    <w:p>
      <w:r>
        <w:rPr>
          <w:b/>
        </w:rPr>
        <w:t>Situação:</w:t>
      </w:r>
      <w:r>
        <w:t xml:space="preserve"> ⛔ BLOQUEADO — fornecer/exportar PNG oficial íntegro 192×192 e 512×512, incluindo variante maskable segura.</w:t>
      </w:r>
    </w:p>
    <w:p>
      <w:pPr>
        <w:pStyle w:val="Heading3"/>
      </w:pPr>
      <w:r>
        <w:t>AUD-007 — P2 — Preços personalizados sem vigência</w:t>
      </w:r>
    </w:p>
    <w:p>
      <w:r>
        <w:rPr>
          <w:b/>
        </w:rPr>
        <w:t>Problema:</w:t>
      </w:r>
      <w:r>
        <w:t xml:space="preserve"> os seis preços específicos não possuem </w:t>
      </w:r>
      <w:r>
        <w:rPr>
          <w:rFonts w:ascii="Consolas" w:hAnsi="Consolas"/>
          <w:sz w:val="17"/>
        </w:rPr>
        <w:t>valid_from</w:t>
      </w:r>
      <w:r>
        <w:t xml:space="preserve"> nem </w:t>
      </w:r>
      <w:r>
        <w:rPr>
          <w:rFonts w:ascii="Consolas" w:hAnsi="Consolas"/>
          <w:sz w:val="17"/>
        </w:rPr>
        <w:t>valid_until</w:t>
      </w:r>
      <w:r>
        <w:t>.</w:t>
      </w:r>
    </w:p>
    <w:p>
      <w:r>
        <w:rPr>
          <w:b/>
        </w:rPr>
        <w:t>Impacto:</w:t>
      </w:r>
      <w:r>
        <w:t xml:space="preserve"> não há janela temporal explícita para prevalência comercial.</w:t>
      </w:r>
    </w:p>
    <w:p>
      <w:r>
        <w:rPr>
          <w:b/>
        </w:rPr>
        <w:t>Causa:</w:t>
      </w:r>
      <w:r>
        <w:t xml:space="preserve"> carga QA sem vigência.</w:t>
      </w:r>
    </w:p>
    <w:p>
      <w:r>
        <w:rPr>
          <w:b/>
        </w:rPr>
        <w:t>Correção:</w:t>
      </w:r>
      <w:r>
        <w:t xml:space="preserve"> o snapshot do pedido já preserva preço histórico; falta governança do cadastro.</w:t>
      </w:r>
    </w:p>
    <w:p>
      <w:r>
        <w:rPr>
          <w:b/>
        </w:rPr>
        <w:t>Situação:</w:t>
      </w:r>
      <w:r>
        <w:t xml:space="preserve"> ⚠️ Pendente de dados e regra comercial.</w:t>
      </w:r>
    </w:p>
    <w:p>
      <w:pPr>
        <w:pStyle w:val="Heading3"/>
      </w:pPr>
      <w:r>
        <w:t>AUD-008 — P1 — Emitente fiscal e documento oficial não configurados</w:t>
      </w:r>
    </w:p>
    <w:p>
      <w:r>
        <w:rPr>
          <w:b/>
        </w:rPr>
        <w:t>Problema:</w:t>
      </w:r>
      <w:r>
        <w:t xml:space="preserve"> zero perfis de emitente e zero relatórios fiscais.</w:t>
      </w:r>
    </w:p>
    <w:p>
      <w:r>
        <w:rPr>
          <w:b/>
        </w:rPr>
        <w:t>Impacto:</w:t>
      </w:r>
      <w:r>
        <w:t xml:space="preserve"> pré-faturamento e autorização oficial não podem ser homologados.</w:t>
      </w:r>
    </w:p>
    <w:p>
      <w:r>
        <w:rPr>
          <w:b/>
        </w:rPr>
        <w:t>Causa:</w:t>
      </w:r>
      <w:r>
        <w:t xml:space="preserve"> configuração externa ausente.</w:t>
      </w:r>
    </w:p>
    <w:p>
      <w:r>
        <w:rPr>
          <w:b/>
        </w:rPr>
        <w:t>Correção:</w:t>
      </w:r>
      <w:r>
        <w:t xml:space="preserve"> branch amplia snapshot fiscal versionado; integração/emissor real ainda é necessário.</w:t>
      </w:r>
    </w:p>
    <w:p>
      <w:r>
        <w:rPr>
          <w:b/>
        </w:rPr>
        <w:t>Situação:</w:t>
      </w:r>
      <w:r>
        <w:t xml:space="preserve"> ⛔ BLOQUEADO — dados do emitente, ambiente, certificado/provedor e homologação.</w:t>
      </w:r>
    </w:p>
    <w:p>
      <w:pPr>
        <w:pStyle w:val="Heading3"/>
      </w:pPr>
      <w:r>
        <w:t>AUD-009 — P2 — Escopo fiscal NF-e versus NFS-e</w:t>
      </w:r>
    </w:p>
    <w:p>
      <w:r>
        <w:rPr>
          <w:b/>
        </w:rPr>
        <w:t>Problema:</w:t>
      </w:r>
      <w:r>
        <w:t xml:space="preserve"> o sistema foi modelado para mercadorias (NCM, CEST, CFOP, itens e NF-e), enquanto a solicitação cita NFS-e de serviços.</w:t>
      </w:r>
    </w:p>
    <w:p>
      <w:r>
        <w:rPr>
          <w:b/>
        </w:rPr>
        <w:t>Impacto:</w:t>
      </w:r>
      <w:r>
        <w:t xml:space="preserve"> implementar NFS-e sem definição pode gerar documento fiscal conceitualmente incorreto.</w:t>
      </w:r>
    </w:p>
    <w:p>
      <w:r>
        <w:rPr>
          <w:b/>
        </w:rPr>
        <w:t>Causa:</w:t>
      </w:r>
      <w:r>
        <w:t xml:space="preserve"> divergência de requisito/aplicabilidade tributária.</w:t>
      </w:r>
    </w:p>
    <w:p>
      <w:r>
        <w:rPr>
          <w:b/>
        </w:rPr>
        <w:t>Correção:</w:t>
      </w:r>
      <w:r>
        <w:t xml:space="preserve"> nenhuma emissão foi simulada; a interface deve continuar chamando o artefato de espelho/pré-faturamento até autorização oficial.</w:t>
      </w:r>
    </w:p>
    <w:p>
      <w:r>
        <w:rPr>
          <w:b/>
        </w:rPr>
        <w:t>Situação:</w:t>
      </w:r>
      <w:r>
        <w:t xml:space="preserve"> ⛔ BLOQUEADO — validação do contador responsável sobre documento aplicável.</w:t>
      </w:r>
    </w:p>
    <w:p>
      <w:pPr>
        <w:pStyle w:val="Heading3"/>
      </w:pPr>
      <w:r>
        <w:t>AUD-010 — P2 — CSP não implantada</w:t>
      </w:r>
    </w:p>
    <w:p>
      <w:r>
        <w:rPr>
          <w:b/>
        </w:rPr>
        <w:t>Problema:</w:t>
      </w:r>
      <w:r>
        <w:t xml:space="preserve"> não há Content-Security-Policy.</w:t>
      </w:r>
    </w:p>
    <w:p>
      <w:r>
        <w:rPr>
          <w:b/>
        </w:rPr>
        <w:t>Impacto:</w:t>
      </w:r>
      <w:r>
        <w:t xml:space="preserve"> defesa em profundidade contra XSS fica incompleta.</w:t>
      </w:r>
    </w:p>
    <w:p>
      <w:r>
        <w:rPr>
          <w:b/>
        </w:rPr>
        <w:t>Causa:</w:t>
      </w:r>
      <w:r>
        <w:t xml:space="preserve"> Next.js exige estratégia de nonce/hash compatível com scripts e deploy.</w:t>
      </w:r>
    </w:p>
    <w:p>
      <w:r>
        <w:rPr>
          <w:b/>
        </w:rPr>
        <w:t>Correção:</w:t>
      </w:r>
      <w:r>
        <w:t xml:space="preserve"> não aplicada de forma improvisada para evitar quebra do frontend.</w:t>
      </w:r>
    </w:p>
    <w:p>
      <w:r>
        <w:rPr>
          <w:b/>
        </w:rPr>
        <w:t>Situação:</w:t>
      </w:r>
      <w:r>
        <w:t xml:space="preserve"> ⚠️ Pendente de projeto e homologação específica.</w:t>
      </w:r>
    </w:p>
    <w:p>
      <w:pPr>
        <w:pStyle w:val="Heading2"/>
      </w:pPr>
      <w:r>
        <w:t>D. Correções realizadas</w:t>
      </w:r>
    </w:p>
    <w:p>
      <w:pPr>
        <w:pStyle w:val="ListBullet"/>
      </w:pPr>
      <w:r>
        <w:t>Experiência administrativa desktop ampliada (</w:t>
      </w:r>
      <w:r>
        <w:rPr>
          <w:rFonts w:ascii="Consolas" w:hAnsi="Consolas"/>
          <w:sz w:val="17"/>
        </w:rPr>
        <w:t>89c6c1b</w:t>
      </w:r>
      <w:r>
        <w:t>).</w:t>
      </w:r>
    </w:p>
    <w:p>
      <w:pPr>
        <w:pStyle w:val="ListBullet"/>
      </w:pPr>
      <w:r>
        <w:t>Vínculos de fornecedores ativos endurecidos (</w:t>
      </w:r>
      <w:r>
        <w:rPr>
          <w:rFonts w:ascii="Consolas" w:hAnsi="Consolas"/>
          <w:sz w:val="17"/>
        </w:rPr>
        <w:t>4938ed0</w:t>
      </w:r>
      <w:r>
        <w:t>).</w:t>
      </w:r>
    </w:p>
    <w:p>
      <w:pPr>
        <w:pStyle w:val="ListBullet"/>
      </w:pPr>
      <w:r>
        <w:t>Cautela em duas vias, A4, marca-d'água, assinaturas e carimbo (</w:t>
      </w:r>
      <w:r>
        <w:rPr>
          <w:rFonts w:ascii="Consolas" w:hAnsi="Consolas"/>
          <w:sz w:val="17"/>
        </w:rPr>
        <w:t>b81ec88</w:t>
      </w:r>
      <w:r>
        <w:t xml:space="preserve">, </w:t>
      </w:r>
      <w:r>
        <w:rPr>
          <w:rFonts w:ascii="Consolas" w:hAnsi="Consolas"/>
          <w:sz w:val="17"/>
        </w:rPr>
        <w:t>9b31b98</w:t>
      </w:r>
      <w:r>
        <w:t xml:space="preserve">, </w:t>
      </w:r>
      <w:r>
        <w:rPr>
          <w:rFonts w:ascii="Consolas" w:hAnsi="Consolas"/>
          <w:sz w:val="17"/>
        </w:rPr>
        <w:t>50b019b</w:t>
      </w:r>
      <w:r>
        <w:t>).</w:t>
      </w:r>
    </w:p>
    <w:p>
      <w:pPr>
        <w:pStyle w:val="ListBullet"/>
      </w:pPr>
      <w:r>
        <w:t>Entrega e cadastro Web Push endurecidos (</w:t>
      </w:r>
      <w:r>
        <w:rPr>
          <w:rFonts w:ascii="Consolas" w:hAnsi="Consolas"/>
          <w:sz w:val="17"/>
        </w:rPr>
        <w:t>6e44b97</w:t>
      </w:r>
      <w:r>
        <w:t>, alteração concomitante já presente na branch).</w:t>
      </w:r>
    </w:p>
    <w:p>
      <w:pPr>
        <w:pStyle w:val="ListBullet"/>
      </w:pPr>
      <w:r>
        <w:t>Espelho fiscal versionado ampliado (</w:t>
      </w:r>
      <w:r>
        <w:rPr>
          <w:rFonts w:ascii="Consolas" w:hAnsi="Consolas"/>
          <w:sz w:val="17"/>
        </w:rPr>
        <w:t>1f047e0</w:t>
      </w:r>
      <w:r>
        <w:t>, alteração concomitante já presente na branch).</w:t>
      </w:r>
    </w:p>
    <w:p>
      <w:pPr>
        <w:pStyle w:val="ListBullet"/>
      </w:pPr>
      <w:r>
        <w:t>Alvos públicos mobile corrigidos e retestados (</w:t>
      </w:r>
      <w:r>
        <w:rPr>
          <w:rFonts w:ascii="Consolas" w:hAnsi="Consolas"/>
          <w:sz w:val="17"/>
        </w:rPr>
        <w:t>243d662</w:t>
      </w:r>
      <w:r>
        <w:t>).</w:t>
      </w:r>
    </w:p>
    <w:p>
      <w:pPr>
        <w:pStyle w:val="ListBullet"/>
      </w:pPr>
      <w:r>
        <w:t>Headers HTTP globais adicionados e retestados (</w:t>
      </w:r>
      <w:r>
        <w:rPr>
          <w:rFonts w:ascii="Consolas" w:hAnsi="Consolas"/>
          <w:sz w:val="17"/>
        </w:rPr>
        <w:t>44c5c3f</w:t>
      </w:r>
      <w:r>
        <w:t>).</w:t>
      </w:r>
    </w:p>
    <w:p>
      <w:pPr>
        <w:pStyle w:val="Heading2"/>
      </w:pPr>
      <w:r>
        <w:t>E. Testes realizados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tcMar>
              <w:top w:w="90" w:type="dxa"/>
              <w:start w:w="110" w:type="dxa"/>
              <w:bottom w:w="90" w:type="dxa"/>
              <w:end w:w="110" w:type="dxa"/>
            </w:tcMar>
            <w:vAlign w:val="center"/>
            <w:shd w:fill="135C45"/>
          </w:tcPr>
          <w:p>
            <w:r>
              <w:rPr>
                <w:b/>
                <w:color w:val="FFFFFF"/>
                <w:sz w:val="15"/>
              </w:rPr>
              <w:t>Ambiente</w:t>
            </w:r>
          </w:p>
        </w:tc>
        <w:tc>
          <w:tcPr>
            <w:tcW w:type="dxa" w:w="1666"/>
            <w:tcMar>
              <w:top w:w="90" w:type="dxa"/>
              <w:start w:w="110" w:type="dxa"/>
              <w:bottom w:w="90" w:type="dxa"/>
              <w:end w:w="110" w:type="dxa"/>
            </w:tcMar>
            <w:vAlign w:val="center"/>
            <w:shd w:fill="135C45"/>
          </w:tcPr>
          <w:p>
            <w:r>
              <w:rPr>
                <w:b/>
                <w:color w:val="FFFFFF"/>
                <w:sz w:val="15"/>
              </w:rPr>
              <w:t>Resolução</w:t>
            </w:r>
          </w:p>
        </w:tc>
        <w:tc>
          <w:tcPr>
            <w:tcW w:type="dxa" w:w="1666"/>
            <w:tcMar>
              <w:top w:w="90" w:type="dxa"/>
              <w:start w:w="110" w:type="dxa"/>
              <w:bottom w:w="90" w:type="dxa"/>
              <w:end w:w="110" w:type="dxa"/>
            </w:tcMar>
            <w:vAlign w:val="center"/>
            <w:shd w:fill="135C45"/>
          </w:tcPr>
          <w:p>
            <w:r>
              <w:rPr>
                <w:b/>
                <w:color w:val="FFFFFF"/>
                <w:sz w:val="15"/>
              </w:rPr>
              <w:t>Fluxo</w:t>
            </w:r>
          </w:p>
        </w:tc>
        <w:tc>
          <w:tcPr>
            <w:tcW w:type="dxa" w:w="1666"/>
            <w:tcMar>
              <w:top w:w="90" w:type="dxa"/>
              <w:start w:w="110" w:type="dxa"/>
              <w:bottom w:w="90" w:type="dxa"/>
              <w:end w:w="110" w:type="dxa"/>
            </w:tcMar>
            <w:vAlign w:val="center"/>
            <w:shd w:fill="135C45"/>
          </w:tcPr>
          <w:p>
            <w:r>
              <w:rPr>
                <w:b/>
                <w:color w:val="FFFFFF"/>
                <w:sz w:val="15"/>
              </w:rPr>
              <w:t>Esperado</w:t>
            </w:r>
          </w:p>
        </w:tc>
        <w:tc>
          <w:tcPr>
            <w:tcW w:type="dxa" w:w="1666"/>
            <w:tcMar>
              <w:top w:w="90" w:type="dxa"/>
              <w:start w:w="110" w:type="dxa"/>
              <w:bottom w:w="90" w:type="dxa"/>
              <w:end w:w="110" w:type="dxa"/>
            </w:tcMar>
            <w:vAlign w:val="center"/>
            <w:shd w:fill="135C45"/>
          </w:tcPr>
          <w:p>
            <w:r>
              <w:rPr>
                <w:b/>
                <w:color w:val="FFFFFF"/>
                <w:sz w:val="15"/>
              </w:rPr>
              <w:t>Obtido</w:t>
            </w:r>
          </w:p>
        </w:tc>
        <w:tc>
          <w:tcPr>
            <w:tcW w:type="dxa" w:w="1666"/>
            <w:tcMar>
              <w:top w:w="90" w:type="dxa"/>
              <w:start w:w="110" w:type="dxa"/>
              <w:bottom w:w="90" w:type="dxa"/>
              <w:end w:w="110" w:type="dxa"/>
            </w:tcMar>
            <w:vAlign w:val="center"/>
            <w:shd w:fill="135C45"/>
          </w:tcPr>
          <w:p>
            <w:r>
              <w:rPr>
                <w:b/>
                <w:color w:val="FFFFFF"/>
                <w:sz w:val="15"/>
              </w:rPr>
              <w:t>Status</w:t>
            </w:r>
          </w:p>
        </w:tc>
      </w:tr>
      <w:tr>
        <w:tc>
          <w:tcPr>
            <w:tcW w:type="dxa" w:w="1666"/>
            <w:tcMar>
              <w:top w:w="90" w:type="dxa"/>
              <w:start w:w="110" w:type="dxa"/>
              <w:bottom w:w="90" w:type="dxa"/>
              <w:end w:w="110" w:type="dxa"/>
            </w:tcMar>
            <w:vAlign w:val="center"/>
          </w:tcPr>
          <w:p>
            <w:r>
              <w:rPr>
                <w:sz w:val="15"/>
              </w:rPr>
              <w:t>Produção Render</w:t>
            </w:r>
          </w:p>
        </w:tc>
        <w:tc>
          <w:tcPr>
            <w:tcW w:type="dxa" w:w="1666"/>
            <w:tcMar>
              <w:top w:w="90" w:type="dxa"/>
              <w:start w:w="110" w:type="dxa"/>
              <w:bottom w:w="90" w:type="dxa"/>
              <w:end w:w="110" w:type="dxa"/>
            </w:tcMar>
            <w:vAlign w:val="center"/>
          </w:tcPr>
          <w:p>
            <w:r>
              <w:rPr>
                <w:sz w:val="15"/>
              </w:rPr>
              <w:t>1440×900</w:t>
            </w:r>
          </w:p>
        </w:tc>
        <w:tc>
          <w:tcPr>
            <w:tcW w:type="dxa" w:w="1666"/>
            <w:tcMar>
              <w:top w:w="90" w:type="dxa"/>
              <w:start w:w="110" w:type="dxa"/>
              <w:bottom w:w="90" w:type="dxa"/>
              <w:end w:w="110" w:type="dxa"/>
            </w:tcMar>
            <w:vAlign w:val="center"/>
          </w:tcPr>
          <w:p>
            <w:r>
              <w:rPr>
                <w:sz w:val="15"/>
              </w:rPr>
              <w:t>Home pública</w:t>
            </w:r>
          </w:p>
        </w:tc>
        <w:tc>
          <w:tcPr>
            <w:tcW w:type="dxa" w:w="1666"/>
            <w:tcMar>
              <w:top w:w="90" w:type="dxa"/>
              <w:start w:w="110" w:type="dxa"/>
              <w:bottom w:w="90" w:type="dxa"/>
              <w:end w:w="110" w:type="dxa"/>
            </w:tcMar>
            <w:vAlign w:val="center"/>
          </w:tcPr>
          <w:p>
            <w:r>
              <w:rPr>
                <w:sz w:val="15"/>
              </w:rPr>
              <w:t>Layout desktop próprio, sem overflow</w:t>
            </w:r>
          </w:p>
        </w:tc>
        <w:tc>
          <w:tcPr>
            <w:tcW w:type="dxa" w:w="1666"/>
            <w:tcMar>
              <w:top w:w="90" w:type="dxa"/>
              <w:start w:w="110" w:type="dxa"/>
              <w:bottom w:w="90" w:type="dxa"/>
              <w:end w:w="110" w:type="dxa"/>
            </w:tcMar>
            <w:vAlign w:val="center"/>
          </w:tcPr>
          <w:p>
            <w:r>
              <w:rPr>
                <w:sz w:val="15"/>
              </w:rPr>
              <w:t>Hierarquia premium e uso horizontal adequado</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Produção Render</w:t>
            </w:r>
          </w:p>
        </w:tc>
        <w:tc>
          <w:tcPr>
            <w:tcW w:type="dxa" w:w="1666"/>
            <w:tcMar>
              <w:top w:w="90" w:type="dxa"/>
              <w:start w:w="110" w:type="dxa"/>
              <w:bottom w:w="90" w:type="dxa"/>
              <w:end w:w="110" w:type="dxa"/>
            </w:tcMar>
            <w:vAlign w:val="center"/>
          </w:tcPr>
          <w:p>
            <w:r>
              <w:rPr>
                <w:sz w:val="15"/>
              </w:rPr>
              <w:t>1440×900</w:t>
            </w:r>
          </w:p>
        </w:tc>
        <w:tc>
          <w:tcPr>
            <w:tcW w:type="dxa" w:w="1666"/>
            <w:tcMar>
              <w:top w:w="90" w:type="dxa"/>
              <w:start w:w="110" w:type="dxa"/>
              <w:bottom w:w="90" w:type="dxa"/>
              <w:end w:w="110" w:type="dxa"/>
            </w:tcMar>
            <w:vAlign w:val="center"/>
          </w:tcPr>
          <w:p>
            <w:r>
              <w:rPr>
                <w:sz w:val="15"/>
              </w:rPr>
              <w:t>Login/cadastro</w:t>
            </w:r>
          </w:p>
        </w:tc>
        <w:tc>
          <w:tcPr>
            <w:tcW w:type="dxa" w:w="1666"/>
            <w:tcMar>
              <w:top w:w="90" w:type="dxa"/>
              <w:start w:w="110" w:type="dxa"/>
              <w:bottom w:w="90" w:type="dxa"/>
              <w:end w:w="110" w:type="dxa"/>
            </w:tcMar>
            <w:vAlign w:val="center"/>
          </w:tcPr>
          <w:p>
            <w:r>
              <w:rPr>
                <w:sz w:val="15"/>
              </w:rPr>
              <w:t>Formulários completos</w:t>
            </w:r>
          </w:p>
        </w:tc>
        <w:tc>
          <w:tcPr>
            <w:tcW w:type="dxa" w:w="1666"/>
            <w:tcMar>
              <w:top w:w="90" w:type="dxa"/>
              <w:start w:w="110" w:type="dxa"/>
              <w:bottom w:w="90" w:type="dxa"/>
              <w:end w:w="110" w:type="dxa"/>
            </w:tcMar>
            <w:vAlign w:val="center"/>
          </w:tcPr>
          <w:p>
            <w:r>
              <w:rPr>
                <w:sz w:val="15"/>
              </w:rPr>
              <w:t>Renderização e navegação corretas</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Produção Render</w:t>
            </w:r>
          </w:p>
        </w:tc>
        <w:tc>
          <w:tcPr>
            <w:tcW w:type="dxa" w:w="1666"/>
            <w:tcMar>
              <w:top w:w="90" w:type="dxa"/>
              <w:start w:w="110" w:type="dxa"/>
              <w:bottom w:w="90" w:type="dxa"/>
              <w:end w:w="110" w:type="dxa"/>
            </w:tcMar>
            <w:vAlign w:val="center"/>
          </w:tcPr>
          <w:p>
            <w:r>
              <w:rPr>
                <w:sz w:val="15"/>
              </w:rPr>
              <w:t>320×720</w:t>
            </w:r>
          </w:p>
        </w:tc>
        <w:tc>
          <w:tcPr>
            <w:tcW w:type="dxa" w:w="1666"/>
            <w:tcMar>
              <w:top w:w="90" w:type="dxa"/>
              <w:start w:w="110" w:type="dxa"/>
              <w:bottom w:w="90" w:type="dxa"/>
              <w:end w:w="110" w:type="dxa"/>
            </w:tcMar>
            <w:vAlign w:val="center"/>
          </w:tcPr>
          <w:p>
            <w:r>
              <w:rPr>
                <w:sz w:val="15"/>
              </w:rPr>
              <w:t>Home/login/cadastro</w:t>
            </w:r>
          </w:p>
        </w:tc>
        <w:tc>
          <w:tcPr>
            <w:tcW w:type="dxa" w:w="1666"/>
            <w:tcMar>
              <w:top w:w="90" w:type="dxa"/>
              <w:start w:w="110" w:type="dxa"/>
              <w:bottom w:w="90" w:type="dxa"/>
              <w:end w:w="110" w:type="dxa"/>
            </w:tcMar>
            <w:vAlign w:val="center"/>
          </w:tcPr>
          <w:p>
            <w:r>
              <w:rPr>
                <w:sz w:val="15"/>
              </w:rPr>
              <w:t>Sem overflow</w:t>
            </w:r>
          </w:p>
        </w:tc>
        <w:tc>
          <w:tcPr>
            <w:tcW w:type="dxa" w:w="1666"/>
            <w:tcMar>
              <w:top w:w="90" w:type="dxa"/>
              <w:start w:w="110" w:type="dxa"/>
              <w:bottom w:w="90" w:type="dxa"/>
              <w:end w:w="110" w:type="dxa"/>
            </w:tcMar>
            <w:vAlign w:val="center"/>
          </w:tcPr>
          <w:p>
            <w:r>
              <w:rPr>
                <w:sz w:val="15"/>
              </w:rPr>
              <w:t>Largura ≤ viewport</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Branch local</w:t>
            </w:r>
          </w:p>
        </w:tc>
        <w:tc>
          <w:tcPr>
            <w:tcW w:type="dxa" w:w="1666"/>
            <w:tcMar>
              <w:top w:w="90" w:type="dxa"/>
              <w:start w:w="110" w:type="dxa"/>
              <w:bottom w:w="90" w:type="dxa"/>
              <w:end w:w="110" w:type="dxa"/>
            </w:tcMar>
            <w:vAlign w:val="center"/>
          </w:tcPr>
          <w:p>
            <w:r>
              <w:rPr>
                <w:sz w:val="15"/>
              </w:rPr>
              <w:t>320×720</w:t>
            </w:r>
          </w:p>
        </w:tc>
        <w:tc>
          <w:tcPr>
            <w:tcW w:type="dxa" w:w="1666"/>
            <w:tcMar>
              <w:top w:w="90" w:type="dxa"/>
              <w:start w:w="110" w:type="dxa"/>
              <w:bottom w:w="90" w:type="dxa"/>
              <w:end w:w="110" w:type="dxa"/>
            </w:tcMar>
            <w:vAlign w:val="center"/>
          </w:tcPr>
          <w:p>
            <w:r>
              <w:rPr>
                <w:sz w:val="15"/>
              </w:rPr>
              <w:t>Login/cadastro após correção</w:t>
            </w:r>
          </w:p>
        </w:tc>
        <w:tc>
          <w:tcPr>
            <w:tcW w:type="dxa" w:w="1666"/>
            <w:tcMar>
              <w:top w:w="90" w:type="dxa"/>
              <w:start w:w="110" w:type="dxa"/>
              <w:bottom w:w="90" w:type="dxa"/>
              <w:end w:w="110" w:type="dxa"/>
            </w:tcMar>
            <w:vAlign w:val="center"/>
          </w:tcPr>
          <w:p>
            <w:r>
              <w:rPr>
                <w:sz w:val="15"/>
              </w:rPr>
              <w:t>Alvos ≥44 px</w:t>
            </w:r>
          </w:p>
        </w:tc>
        <w:tc>
          <w:tcPr>
            <w:tcW w:type="dxa" w:w="1666"/>
            <w:tcMar>
              <w:top w:w="90" w:type="dxa"/>
              <w:start w:w="110" w:type="dxa"/>
              <w:bottom w:w="90" w:type="dxa"/>
              <w:end w:w="110" w:type="dxa"/>
            </w:tcMar>
            <w:vAlign w:val="center"/>
          </w:tcPr>
          <w:p>
            <w:r>
              <w:rPr>
                <w:sz w:val="15"/>
              </w:rPr>
              <w:t>Nenhum alvo acionável abaixo de 44 px</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Produção Render</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rFonts w:ascii="Consolas" w:hAnsi="Consolas"/>
                <w:sz w:val="15"/>
              </w:rPr>
              <w:t>/admin</w:t>
            </w:r>
            <w:r>
              <w:rPr>
                <w:sz w:val="15"/>
              </w:rPr>
              <w:t xml:space="preserve"> e </w:t>
            </w:r>
            <w:r>
              <w:rPr>
                <w:rFonts w:ascii="Consolas" w:hAnsi="Consolas"/>
                <w:sz w:val="15"/>
              </w:rPr>
              <w:t>/cliente</w:t>
            </w:r>
            <w:r>
              <w:rPr>
                <w:sz w:val="15"/>
              </w:rPr>
              <w:t xml:space="preserve"> sem sessão</w:t>
            </w:r>
          </w:p>
        </w:tc>
        <w:tc>
          <w:tcPr>
            <w:tcW w:type="dxa" w:w="1666"/>
            <w:tcMar>
              <w:top w:w="90" w:type="dxa"/>
              <w:start w:w="110" w:type="dxa"/>
              <w:bottom w:w="90" w:type="dxa"/>
              <w:end w:w="110" w:type="dxa"/>
            </w:tcMar>
            <w:vAlign w:val="center"/>
          </w:tcPr>
          <w:p>
            <w:r>
              <w:rPr>
                <w:sz w:val="15"/>
              </w:rPr>
              <w:t>Redirecionar para login</w:t>
            </w:r>
          </w:p>
        </w:tc>
        <w:tc>
          <w:tcPr>
            <w:tcW w:type="dxa" w:w="1666"/>
            <w:tcMar>
              <w:top w:w="90" w:type="dxa"/>
              <w:start w:w="110" w:type="dxa"/>
              <w:bottom w:w="90" w:type="dxa"/>
              <w:end w:w="110" w:type="dxa"/>
            </w:tcMar>
            <w:vAlign w:val="center"/>
          </w:tcPr>
          <w:p>
            <w:r>
              <w:rPr>
                <w:sz w:val="15"/>
              </w:rPr>
              <w:t>Redirecionamento confirmado</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Produção Render</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APIs privadas sem sessão</w:t>
            </w:r>
          </w:p>
        </w:tc>
        <w:tc>
          <w:tcPr>
            <w:tcW w:type="dxa" w:w="1666"/>
            <w:tcMar>
              <w:top w:w="90" w:type="dxa"/>
              <w:start w:w="110" w:type="dxa"/>
              <w:bottom w:w="90" w:type="dxa"/>
              <w:end w:w="110" w:type="dxa"/>
            </w:tcMar>
            <w:vAlign w:val="center"/>
          </w:tcPr>
          <w:p>
            <w:r>
              <w:rPr>
                <w:sz w:val="15"/>
              </w:rPr>
              <w:t>HTTP 401</w:t>
            </w:r>
          </w:p>
        </w:tc>
        <w:tc>
          <w:tcPr>
            <w:tcW w:type="dxa" w:w="1666"/>
            <w:tcMar>
              <w:top w:w="90" w:type="dxa"/>
              <w:start w:w="110" w:type="dxa"/>
              <w:bottom w:w="90" w:type="dxa"/>
              <w:end w:w="110" w:type="dxa"/>
            </w:tcMar>
            <w:vAlign w:val="center"/>
          </w:tcPr>
          <w:p>
            <w:r>
              <w:rPr>
                <w:sz w:val="15"/>
              </w:rPr>
              <w:t>Seis endpoints retornaram 401</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Produção Render</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Manifest/SW/assets</w:t>
            </w:r>
          </w:p>
        </w:tc>
        <w:tc>
          <w:tcPr>
            <w:tcW w:type="dxa" w:w="1666"/>
            <w:tcMar>
              <w:top w:w="90" w:type="dxa"/>
              <w:start w:w="110" w:type="dxa"/>
              <w:bottom w:w="90" w:type="dxa"/>
              <w:end w:w="110" w:type="dxa"/>
            </w:tcMar>
            <w:vAlign w:val="center"/>
          </w:tcPr>
          <w:p>
            <w:r>
              <w:rPr>
                <w:sz w:val="15"/>
              </w:rPr>
              <w:t>HTTP 200 e tipos corretos</w:t>
            </w:r>
          </w:p>
        </w:tc>
        <w:tc>
          <w:tcPr>
            <w:tcW w:type="dxa" w:w="1666"/>
            <w:tcMar>
              <w:top w:w="90" w:type="dxa"/>
              <w:start w:w="110" w:type="dxa"/>
              <w:bottom w:w="90" w:type="dxa"/>
              <w:end w:w="110" w:type="dxa"/>
            </w:tcMar>
            <w:vAlign w:val="center"/>
          </w:tcPr>
          <w:p>
            <w:r>
              <w:rPr>
                <w:sz w:val="15"/>
              </w:rPr>
              <w:t>Manifest e SW corretos; ícone possui problema estrutural</w:t>
            </w:r>
          </w:p>
        </w:tc>
        <w:tc>
          <w:tcPr>
            <w:tcW w:type="dxa" w:w="1666"/>
            <w:tcMar>
              <w:top w:w="90" w:type="dxa"/>
              <w:start w:w="110" w:type="dxa"/>
              <w:bottom w:w="90" w:type="dxa"/>
              <w:end w:w="110" w:type="dxa"/>
            </w:tcMar>
            <w:vAlign w:val="center"/>
          </w:tcPr>
          <w:p>
            <w:r>
              <w:rPr>
                <w:sz w:val="15"/>
              </w:rPr>
              <w:t>FAIL</w:t>
            </w:r>
          </w:p>
        </w:tc>
      </w:tr>
      <w:tr>
        <w:tc>
          <w:tcPr>
            <w:tcW w:type="dxa" w:w="1666"/>
            <w:tcMar>
              <w:top w:w="90" w:type="dxa"/>
              <w:start w:w="110" w:type="dxa"/>
              <w:bottom w:w="90" w:type="dxa"/>
              <w:end w:w="110" w:type="dxa"/>
            </w:tcMar>
            <w:vAlign w:val="center"/>
          </w:tcPr>
          <w:p>
            <w:r>
              <w:rPr>
                <w:sz w:val="15"/>
              </w:rPr>
              <w:t>Neon padrão</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Integridade referencial</w:t>
            </w:r>
          </w:p>
        </w:tc>
        <w:tc>
          <w:tcPr>
            <w:tcW w:type="dxa" w:w="1666"/>
            <w:tcMar>
              <w:top w:w="90" w:type="dxa"/>
              <w:start w:w="110" w:type="dxa"/>
              <w:bottom w:w="90" w:type="dxa"/>
              <w:end w:w="110" w:type="dxa"/>
            </w:tcMar>
            <w:vAlign w:val="center"/>
          </w:tcPr>
          <w:p>
            <w:r>
              <w:rPr>
                <w:sz w:val="15"/>
              </w:rPr>
              <w:t>Sem órfãos/duplicidades</w:t>
            </w:r>
          </w:p>
        </w:tc>
        <w:tc>
          <w:tcPr>
            <w:tcW w:type="dxa" w:w="1666"/>
            <w:tcMar>
              <w:top w:w="90" w:type="dxa"/>
              <w:start w:w="110" w:type="dxa"/>
              <w:bottom w:w="90" w:type="dxa"/>
              <w:end w:w="110" w:type="dxa"/>
            </w:tcMar>
            <w:vAlign w:val="center"/>
          </w:tcPr>
          <w:p>
            <w:r>
              <w:rPr>
                <w:sz w:val="15"/>
              </w:rPr>
              <w:t>Zero órfãos e duplicidades nas verificações</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Neon padrão</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Ciclo completo</w:t>
            </w:r>
          </w:p>
        </w:tc>
        <w:tc>
          <w:tcPr>
            <w:tcW w:type="dxa" w:w="1666"/>
            <w:tcMar>
              <w:top w:w="90" w:type="dxa"/>
              <w:start w:w="110" w:type="dxa"/>
              <w:bottom w:w="90" w:type="dxa"/>
              <w:end w:w="110" w:type="dxa"/>
            </w:tcMar>
            <w:vAlign w:val="center"/>
          </w:tcPr>
          <w:p>
            <w:r>
              <w:rPr>
                <w:sz w:val="15"/>
              </w:rPr>
              <w:t>Pedido até fechamento</w:t>
            </w:r>
          </w:p>
        </w:tc>
        <w:tc>
          <w:tcPr>
            <w:tcW w:type="dxa" w:w="1666"/>
            <w:tcMar>
              <w:top w:w="90" w:type="dxa"/>
              <w:start w:w="110" w:type="dxa"/>
              <w:bottom w:w="90" w:type="dxa"/>
              <w:end w:w="110" w:type="dxa"/>
            </w:tcMar>
            <w:vAlign w:val="center"/>
          </w:tcPr>
          <w:p>
            <w:r>
              <w:rPr>
                <w:sz w:val="15"/>
              </w:rPr>
              <w:t>Dados mínimos ausentes</w:t>
            </w:r>
          </w:p>
        </w:tc>
        <w:tc>
          <w:tcPr>
            <w:tcW w:type="dxa" w:w="1666"/>
            <w:tcMar>
              <w:top w:w="90" w:type="dxa"/>
              <w:start w:w="110" w:type="dxa"/>
              <w:bottom w:w="90" w:type="dxa"/>
              <w:end w:w="110" w:type="dxa"/>
            </w:tcMar>
            <w:vAlign w:val="center"/>
          </w:tcPr>
          <w:p>
            <w:r>
              <w:rPr>
                <w:sz w:val="15"/>
              </w:rPr>
              <w:t>BLOCKED</w:t>
            </w:r>
          </w:p>
        </w:tc>
      </w:tr>
      <w:tr>
        <w:tc>
          <w:tcPr>
            <w:tcW w:type="dxa" w:w="1666"/>
            <w:tcMar>
              <w:top w:w="90" w:type="dxa"/>
              <w:start w:w="110" w:type="dxa"/>
              <w:bottom w:w="90" w:type="dxa"/>
              <w:end w:w="110" w:type="dxa"/>
            </w:tcMar>
            <w:vAlign w:val="center"/>
          </w:tcPr>
          <w:p>
            <w:r>
              <w:rPr>
                <w:sz w:val="15"/>
              </w:rPr>
              <w:t>Local</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Regressões automatizadas</w:t>
            </w:r>
          </w:p>
        </w:tc>
        <w:tc>
          <w:tcPr>
            <w:tcW w:type="dxa" w:w="1666"/>
            <w:tcMar>
              <w:top w:w="90" w:type="dxa"/>
              <w:start w:w="110" w:type="dxa"/>
              <w:bottom w:w="90" w:type="dxa"/>
              <w:end w:w="110" w:type="dxa"/>
            </w:tcMar>
            <w:vAlign w:val="center"/>
          </w:tcPr>
          <w:p>
            <w:r>
              <w:rPr>
                <w:sz w:val="15"/>
              </w:rPr>
              <w:t>Suite verde</w:t>
            </w:r>
          </w:p>
        </w:tc>
        <w:tc>
          <w:tcPr>
            <w:tcW w:type="dxa" w:w="1666"/>
            <w:tcMar>
              <w:top w:w="90" w:type="dxa"/>
              <w:start w:w="110" w:type="dxa"/>
              <w:bottom w:w="90" w:type="dxa"/>
              <w:end w:w="110" w:type="dxa"/>
            </w:tcMar>
            <w:vAlign w:val="center"/>
          </w:tcPr>
          <w:p>
            <w:r>
              <w:rPr>
                <w:sz w:val="15"/>
              </w:rPr>
              <w:t>110/110 na validação final</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Local</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Lint</w:t>
            </w:r>
          </w:p>
        </w:tc>
        <w:tc>
          <w:tcPr>
            <w:tcW w:type="dxa" w:w="1666"/>
            <w:tcMar>
              <w:top w:w="90" w:type="dxa"/>
              <w:start w:w="110" w:type="dxa"/>
              <w:bottom w:w="90" w:type="dxa"/>
              <w:end w:w="110" w:type="dxa"/>
            </w:tcMar>
            <w:vAlign w:val="center"/>
          </w:tcPr>
          <w:p>
            <w:r>
              <w:rPr>
                <w:sz w:val="15"/>
              </w:rPr>
              <w:t>Sem erros</w:t>
            </w:r>
          </w:p>
        </w:tc>
        <w:tc>
          <w:tcPr>
            <w:tcW w:type="dxa" w:w="1666"/>
            <w:tcMar>
              <w:top w:w="90" w:type="dxa"/>
              <w:start w:w="110" w:type="dxa"/>
              <w:bottom w:w="90" w:type="dxa"/>
              <w:end w:w="110" w:type="dxa"/>
            </w:tcMar>
            <w:vAlign w:val="center"/>
          </w:tcPr>
          <w:p>
            <w:r>
              <w:rPr>
                <w:sz w:val="15"/>
              </w:rPr>
              <w:t>Sem erros; CSS ignorado pelo ESLint conforme configuração</w:t>
            </w:r>
          </w:p>
        </w:tc>
        <w:tc>
          <w:tcPr>
            <w:tcW w:type="dxa" w:w="1666"/>
            <w:tcMar>
              <w:top w:w="90" w:type="dxa"/>
              <w:start w:w="110" w:type="dxa"/>
              <w:bottom w:w="90" w:type="dxa"/>
              <w:end w:w="110" w:type="dxa"/>
            </w:tcMar>
            <w:vAlign w:val="center"/>
          </w:tcPr>
          <w:p>
            <w:r>
              <w:rPr>
                <w:sz w:val="15"/>
              </w:rPr>
              <w:t>PASS</w:t>
            </w:r>
          </w:p>
        </w:tc>
      </w:tr>
      <w:tr>
        <w:tc>
          <w:tcPr>
            <w:tcW w:type="dxa" w:w="1666"/>
            <w:tcMar>
              <w:top w:w="90" w:type="dxa"/>
              <w:start w:w="110" w:type="dxa"/>
              <w:bottom w:w="90" w:type="dxa"/>
              <w:end w:w="110" w:type="dxa"/>
            </w:tcMar>
            <w:vAlign w:val="center"/>
          </w:tcPr>
          <w:p>
            <w:r>
              <w:rPr>
                <w:sz w:val="15"/>
              </w:rPr>
              <w:t>Local</w:t>
            </w:r>
          </w:p>
        </w:tc>
        <w:tc>
          <w:tcPr>
            <w:tcW w:type="dxa" w:w="1666"/>
            <w:tcMar>
              <w:top w:w="90" w:type="dxa"/>
              <w:start w:w="110" w:type="dxa"/>
              <w:bottom w:w="90" w:type="dxa"/>
              <w:end w:w="110" w:type="dxa"/>
            </w:tcMar>
            <w:vAlign w:val="center"/>
          </w:tcPr>
          <w:p>
            <w:r>
              <w:rPr>
                <w:sz w:val="15"/>
              </w:rPr>
              <w:t>—</w:t>
            </w:r>
          </w:p>
        </w:tc>
        <w:tc>
          <w:tcPr>
            <w:tcW w:type="dxa" w:w="1666"/>
            <w:tcMar>
              <w:top w:w="90" w:type="dxa"/>
              <w:start w:w="110" w:type="dxa"/>
              <w:bottom w:w="90" w:type="dxa"/>
              <w:end w:w="110" w:type="dxa"/>
            </w:tcMar>
            <w:vAlign w:val="center"/>
          </w:tcPr>
          <w:p>
            <w:r>
              <w:rPr>
                <w:sz w:val="15"/>
              </w:rPr>
              <w:t>Build Next</w:t>
            </w:r>
          </w:p>
        </w:tc>
        <w:tc>
          <w:tcPr>
            <w:tcW w:type="dxa" w:w="1666"/>
            <w:tcMar>
              <w:top w:w="90" w:type="dxa"/>
              <w:start w:w="110" w:type="dxa"/>
              <w:bottom w:w="90" w:type="dxa"/>
              <w:end w:w="110" w:type="dxa"/>
            </w:tcMar>
            <w:vAlign w:val="center"/>
          </w:tcPr>
          <w:p>
            <w:r>
              <w:rPr>
                <w:sz w:val="15"/>
              </w:rPr>
              <w:t>Compilar e tipar</w:t>
            </w:r>
          </w:p>
        </w:tc>
        <w:tc>
          <w:tcPr>
            <w:tcW w:type="dxa" w:w="1666"/>
            <w:tcMar>
              <w:top w:w="90" w:type="dxa"/>
              <w:start w:w="110" w:type="dxa"/>
              <w:bottom w:w="90" w:type="dxa"/>
              <w:end w:w="110" w:type="dxa"/>
            </w:tcMar>
            <w:vAlign w:val="center"/>
          </w:tcPr>
          <w:p>
            <w:r>
              <w:rPr>
                <w:sz w:val="15"/>
              </w:rPr>
              <w:t>Compilação e TypeScript aprovados no baseline</w:t>
            </w:r>
          </w:p>
        </w:tc>
        <w:tc>
          <w:tcPr>
            <w:tcW w:type="dxa" w:w="1666"/>
            <w:tcMar>
              <w:top w:w="90" w:type="dxa"/>
              <w:start w:w="110" w:type="dxa"/>
              <w:bottom w:w="90" w:type="dxa"/>
              <w:end w:w="110" w:type="dxa"/>
            </w:tcMar>
            <w:vAlign w:val="center"/>
          </w:tcPr>
          <w:p>
            <w:r>
              <w:rPr>
                <w:sz w:val="15"/>
              </w:rPr>
              <w:t>PASS</w:t>
            </w:r>
          </w:p>
        </w:tc>
      </w:tr>
    </w:tbl>
    <w:p>
      <w:pPr>
        <w:spacing w:after="20"/>
      </w:pPr>
    </w:p>
    <w:p>
      <w:pPr>
        <w:pStyle w:val="Heading2"/>
      </w:pPr>
      <w:r>
        <w:t>Simulações A–I</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tcMar>
              <w:top w:w="90" w:type="dxa"/>
              <w:start w:w="110" w:type="dxa"/>
              <w:bottom w:w="90" w:type="dxa"/>
              <w:end w:w="110" w:type="dxa"/>
            </w:tcMar>
            <w:vAlign w:val="center"/>
            <w:shd w:fill="135C45"/>
          </w:tcPr>
          <w:p>
            <w:r>
              <w:rPr>
                <w:b/>
                <w:color w:val="FFFFFF"/>
                <w:sz w:val="15"/>
              </w:rPr>
              <w:t>Cenário</w:t>
            </w:r>
          </w:p>
        </w:tc>
        <w:tc>
          <w:tcPr>
            <w:tcW w:type="dxa" w:w="1999"/>
            <w:tcMar>
              <w:top w:w="90" w:type="dxa"/>
              <w:start w:w="110" w:type="dxa"/>
              <w:bottom w:w="90" w:type="dxa"/>
              <w:end w:w="110" w:type="dxa"/>
            </w:tcMar>
            <w:vAlign w:val="center"/>
            <w:shd w:fill="135C45"/>
          </w:tcPr>
          <w:p>
            <w:r>
              <w:rPr>
                <w:b/>
                <w:color w:val="FFFFFF"/>
                <w:sz w:val="15"/>
              </w:rPr>
              <w:t>Pré-condição</w:t>
            </w:r>
          </w:p>
        </w:tc>
        <w:tc>
          <w:tcPr>
            <w:tcW w:type="dxa" w:w="1999"/>
            <w:tcMar>
              <w:top w:w="90" w:type="dxa"/>
              <w:start w:w="110" w:type="dxa"/>
              <w:bottom w:w="90" w:type="dxa"/>
              <w:end w:w="110" w:type="dxa"/>
            </w:tcMar>
            <w:vAlign w:val="center"/>
            <w:shd w:fill="135C45"/>
          </w:tcPr>
          <w:p>
            <w:r>
              <w:rPr>
                <w:b/>
                <w:color w:val="FFFFFF"/>
                <w:sz w:val="15"/>
              </w:rPr>
              <w:t>Resultado esperado</w:t>
            </w:r>
          </w:p>
        </w:tc>
        <w:tc>
          <w:tcPr>
            <w:tcW w:type="dxa" w:w="1999"/>
            <w:tcMar>
              <w:top w:w="90" w:type="dxa"/>
              <w:start w:w="110" w:type="dxa"/>
              <w:bottom w:w="90" w:type="dxa"/>
              <w:end w:w="110" w:type="dxa"/>
            </w:tcMar>
            <w:vAlign w:val="center"/>
            <w:shd w:fill="135C45"/>
          </w:tcPr>
          <w:p>
            <w:r>
              <w:rPr>
                <w:b/>
                <w:color w:val="FFFFFF"/>
                <w:sz w:val="15"/>
              </w:rPr>
              <w:t>Resultado obtido</w:t>
            </w:r>
          </w:p>
        </w:tc>
        <w:tc>
          <w:tcPr>
            <w:tcW w:type="dxa" w:w="1999"/>
            <w:tcMar>
              <w:top w:w="90" w:type="dxa"/>
              <w:start w:w="110" w:type="dxa"/>
              <w:bottom w:w="90" w:type="dxa"/>
              <w:end w:w="110" w:type="dxa"/>
            </w:tcMar>
            <w:vAlign w:val="center"/>
            <w:shd w:fill="135C45"/>
          </w:tcPr>
          <w:p>
            <w:r>
              <w:rPr>
                <w:b/>
                <w:color w:val="FFFFFF"/>
                <w:sz w:val="15"/>
              </w:rPr>
              <w:t>Status</w:t>
            </w:r>
          </w:p>
        </w:tc>
      </w:tr>
      <w:tr>
        <w:tc>
          <w:tcPr>
            <w:tcW w:type="dxa" w:w="1999"/>
            <w:tcMar>
              <w:top w:w="90" w:type="dxa"/>
              <w:start w:w="110" w:type="dxa"/>
              <w:bottom w:w="90" w:type="dxa"/>
              <w:end w:w="110" w:type="dxa"/>
            </w:tcMar>
            <w:vAlign w:val="center"/>
          </w:tcPr>
          <w:p>
            <w:r>
              <w:rPr>
                <w:sz w:val="15"/>
              </w:rPr>
              <w:t>A — Cliente novo</w:t>
            </w:r>
          </w:p>
        </w:tc>
        <w:tc>
          <w:tcPr>
            <w:tcW w:type="dxa" w:w="1999"/>
            <w:tcMar>
              <w:top w:w="90" w:type="dxa"/>
              <w:start w:w="110" w:type="dxa"/>
              <w:bottom w:w="90" w:type="dxa"/>
              <w:end w:w="110" w:type="dxa"/>
            </w:tcMar>
            <w:vAlign w:val="center"/>
          </w:tcPr>
          <w:p>
            <w:r>
              <w:rPr>
                <w:sz w:val="15"/>
              </w:rPr>
              <w:t>Cadastro real e aprovação</w:t>
            </w:r>
          </w:p>
        </w:tc>
        <w:tc>
          <w:tcPr>
            <w:tcW w:type="dxa" w:w="1999"/>
            <w:tcMar>
              <w:top w:w="90" w:type="dxa"/>
              <w:start w:w="110" w:type="dxa"/>
              <w:bottom w:w="90" w:type="dxa"/>
              <w:end w:w="110" w:type="dxa"/>
            </w:tcMar>
            <w:vAlign w:val="center"/>
          </w:tcPr>
          <w:p>
            <w:r>
              <w:rPr>
                <w:sz w:val="15"/>
              </w:rPr>
              <w:t>Cadastro → vínculo → primeiro pedido</w:t>
            </w:r>
          </w:p>
        </w:tc>
        <w:tc>
          <w:tcPr>
            <w:tcW w:type="dxa" w:w="1999"/>
            <w:tcMar>
              <w:top w:w="90" w:type="dxa"/>
              <w:start w:w="110" w:type="dxa"/>
              <w:bottom w:w="90" w:type="dxa"/>
              <w:end w:w="110" w:type="dxa"/>
            </w:tcMar>
            <w:vAlign w:val="center"/>
          </w:tcPr>
          <w:p>
            <w:r>
              <w:rPr>
                <w:sz w:val="15"/>
              </w:rPr>
              <w:t>Cadastro público disponível; vínculo inexistente</w:t>
            </w:r>
          </w:p>
        </w:tc>
        <w:tc>
          <w:tcPr>
            <w:tcW w:type="dxa" w:w="1999"/>
            <w:tcMar>
              <w:top w:w="90" w:type="dxa"/>
              <w:start w:w="110" w:type="dxa"/>
              <w:bottom w:w="90" w:type="dxa"/>
              <w:end w:w="110" w:type="dxa"/>
            </w:tcMar>
            <w:vAlign w:val="center"/>
          </w:tcPr>
          <w:p>
            <w:r>
              <w:rPr>
                <w:sz w:val="15"/>
              </w:rPr>
              <w:t>BLOCKED</w:t>
            </w:r>
          </w:p>
        </w:tc>
      </w:tr>
      <w:tr>
        <w:tc>
          <w:tcPr>
            <w:tcW w:type="dxa" w:w="1999"/>
            <w:tcMar>
              <w:top w:w="90" w:type="dxa"/>
              <w:start w:w="110" w:type="dxa"/>
              <w:bottom w:w="90" w:type="dxa"/>
              <w:end w:w="110" w:type="dxa"/>
            </w:tcMar>
            <w:vAlign w:val="center"/>
          </w:tcPr>
          <w:p>
            <w:r>
              <w:rPr>
                <w:sz w:val="15"/>
              </w:rPr>
              <w:t>B — Preço geral</w:t>
            </w:r>
          </w:p>
        </w:tc>
        <w:tc>
          <w:tcPr>
            <w:tcW w:type="dxa" w:w="1999"/>
            <w:tcMar>
              <w:top w:w="90" w:type="dxa"/>
              <w:start w:w="110" w:type="dxa"/>
              <w:bottom w:w="90" w:type="dxa"/>
              <w:end w:w="110" w:type="dxa"/>
            </w:tcMar>
            <w:vAlign w:val="center"/>
          </w:tcPr>
          <w:p>
            <w:r>
              <w:rPr>
                <w:sz w:val="15"/>
              </w:rPr>
              <w:t>Cliente vinculado + produto</w:t>
            </w:r>
          </w:p>
        </w:tc>
        <w:tc>
          <w:tcPr>
            <w:tcW w:type="dxa" w:w="1999"/>
            <w:tcMar>
              <w:top w:w="90" w:type="dxa"/>
              <w:start w:w="110" w:type="dxa"/>
              <w:bottom w:w="90" w:type="dxa"/>
              <w:end w:w="110" w:type="dxa"/>
            </w:tcMar>
            <w:vAlign w:val="center"/>
          </w:tcPr>
          <w:p>
            <w:r>
              <w:rPr>
                <w:sz w:val="15"/>
              </w:rPr>
              <w:t>Preço base aplicado no servidor</w:t>
            </w:r>
          </w:p>
        </w:tc>
        <w:tc>
          <w:tcPr>
            <w:tcW w:type="dxa" w:w="1999"/>
            <w:tcMar>
              <w:top w:w="90" w:type="dxa"/>
              <w:start w:w="110" w:type="dxa"/>
              <w:bottom w:w="90" w:type="dxa"/>
              <w:end w:w="110" w:type="dxa"/>
            </w:tcMar>
            <w:vAlign w:val="center"/>
          </w:tcPr>
          <w:p>
            <w:r>
              <w:rPr>
                <w:sz w:val="15"/>
              </w:rPr>
              <w:t>Contrato e modelagem presentes; sem usuário cliente</w:t>
            </w:r>
          </w:p>
        </w:tc>
        <w:tc>
          <w:tcPr>
            <w:tcW w:type="dxa" w:w="1999"/>
            <w:tcMar>
              <w:top w:w="90" w:type="dxa"/>
              <w:start w:w="110" w:type="dxa"/>
              <w:bottom w:w="90" w:type="dxa"/>
              <w:end w:w="110" w:type="dxa"/>
            </w:tcMar>
            <w:vAlign w:val="center"/>
          </w:tcPr>
          <w:p>
            <w:r>
              <w:rPr>
                <w:sz w:val="15"/>
              </w:rPr>
              <w:t>BLOCKED</w:t>
            </w:r>
          </w:p>
        </w:tc>
      </w:tr>
      <w:tr>
        <w:tc>
          <w:tcPr>
            <w:tcW w:type="dxa" w:w="1999"/>
            <w:tcMar>
              <w:top w:w="90" w:type="dxa"/>
              <w:start w:w="110" w:type="dxa"/>
              <w:bottom w:w="90" w:type="dxa"/>
              <w:end w:w="110" w:type="dxa"/>
            </w:tcMar>
            <w:vAlign w:val="center"/>
          </w:tcPr>
          <w:p>
            <w:r>
              <w:rPr>
                <w:sz w:val="15"/>
              </w:rPr>
              <w:t>C — Preço individual</w:t>
            </w:r>
          </w:p>
        </w:tc>
        <w:tc>
          <w:tcPr>
            <w:tcW w:type="dxa" w:w="1999"/>
            <w:tcMar>
              <w:top w:w="90" w:type="dxa"/>
              <w:start w:w="110" w:type="dxa"/>
              <w:bottom w:w="90" w:type="dxa"/>
              <w:end w:w="110" w:type="dxa"/>
            </w:tcMar>
            <w:vAlign w:val="center"/>
          </w:tcPr>
          <w:p>
            <w:r>
              <w:rPr>
                <w:sz w:val="15"/>
              </w:rPr>
              <w:t>Preço vigente por cliente</w:t>
            </w:r>
          </w:p>
        </w:tc>
        <w:tc>
          <w:tcPr>
            <w:tcW w:type="dxa" w:w="1999"/>
            <w:tcMar>
              <w:top w:w="90" w:type="dxa"/>
              <w:start w:w="110" w:type="dxa"/>
              <w:bottom w:w="90" w:type="dxa"/>
              <w:end w:w="110" w:type="dxa"/>
            </w:tcMar>
            <w:vAlign w:val="center"/>
          </w:tcPr>
          <w:p>
            <w:r>
              <w:rPr>
                <w:sz w:val="15"/>
              </w:rPr>
              <w:t>Específico prevalece sobre geral</w:t>
            </w:r>
          </w:p>
        </w:tc>
        <w:tc>
          <w:tcPr>
            <w:tcW w:type="dxa" w:w="1999"/>
            <w:tcMar>
              <w:top w:w="90" w:type="dxa"/>
              <w:start w:w="110" w:type="dxa"/>
              <w:bottom w:w="90" w:type="dxa"/>
              <w:end w:w="110" w:type="dxa"/>
            </w:tcMar>
            <w:vAlign w:val="center"/>
          </w:tcPr>
          <w:p>
            <w:r>
              <w:rPr>
                <w:sz w:val="15"/>
              </w:rPr>
              <w:t>Dados específicos existem; vigência ausente; sem usuário</w:t>
            </w:r>
          </w:p>
        </w:tc>
        <w:tc>
          <w:tcPr>
            <w:tcW w:type="dxa" w:w="1999"/>
            <w:tcMar>
              <w:top w:w="90" w:type="dxa"/>
              <w:start w:w="110" w:type="dxa"/>
              <w:bottom w:w="90" w:type="dxa"/>
              <w:end w:w="110" w:type="dxa"/>
            </w:tcMar>
            <w:vAlign w:val="center"/>
          </w:tcPr>
          <w:p>
            <w:r>
              <w:rPr>
                <w:sz w:val="15"/>
              </w:rPr>
              <w:t>BLOCKED</w:t>
            </w:r>
          </w:p>
        </w:tc>
      </w:tr>
      <w:tr>
        <w:tc>
          <w:tcPr>
            <w:tcW w:type="dxa" w:w="1999"/>
            <w:tcMar>
              <w:top w:w="90" w:type="dxa"/>
              <w:start w:w="110" w:type="dxa"/>
              <w:bottom w:w="90" w:type="dxa"/>
              <w:end w:w="110" w:type="dxa"/>
            </w:tcMar>
            <w:vAlign w:val="center"/>
          </w:tcPr>
          <w:p>
            <w:r>
              <w:rPr>
                <w:sz w:val="15"/>
              </w:rPr>
              <w:t>D — Vários produtos</w:t>
            </w:r>
          </w:p>
        </w:tc>
        <w:tc>
          <w:tcPr>
            <w:tcW w:type="dxa" w:w="1999"/>
            <w:tcMar>
              <w:top w:w="90" w:type="dxa"/>
              <w:start w:w="110" w:type="dxa"/>
              <w:bottom w:w="90" w:type="dxa"/>
              <w:end w:w="110" w:type="dxa"/>
            </w:tcMar>
            <w:vAlign w:val="center"/>
          </w:tcPr>
          <w:p>
            <w:r>
              <w:rPr>
                <w:sz w:val="15"/>
              </w:rPr>
              <w:t>Catálogo e cliente</w:t>
            </w:r>
          </w:p>
        </w:tc>
        <w:tc>
          <w:tcPr>
            <w:tcW w:type="dxa" w:w="1999"/>
            <w:tcMar>
              <w:top w:w="90" w:type="dxa"/>
              <w:start w:w="110" w:type="dxa"/>
              <w:bottom w:w="90" w:type="dxa"/>
              <w:end w:w="110" w:type="dxa"/>
            </w:tcMar>
            <w:vAlign w:val="center"/>
          </w:tcPr>
          <w:p>
            <w:r>
              <w:rPr>
                <w:sz w:val="15"/>
              </w:rPr>
              <w:t>Pedido com snapshots e total consistente</w:t>
            </w:r>
          </w:p>
        </w:tc>
        <w:tc>
          <w:tcPr>
            <w:tcW w:type="dxa" w:w="1999"/>
            <w:tcMar>
              <w:top w:w="90" w:type="dxa"/>
              <w:start w:w="110" w:type="dxa"/>
              <w:bottom w:w="90" w:type="dxa"/>
              <w:end w:w="110" w:type="dxa"/>
            </w:tcMar>
            <w:vAlign w:val="center"/>
          </w:tcPr>
          <w:p>
            <w:r>
              <w:rPr>
                <w:sz w:val="15"/>
              </w:rPr>
              <w:t>19 itens existentes sem inconsistência matemática</w:t>
            </w:r>
          </w:p>
        </w:tc>
        <w:tc>
          <w:tcPr>
            <w:tcW w:type="dxa" w:w="1999"/>
            <w:tcMar>
              <w:top w:w="90" w:type="dxa"/>
              <w:start w:w="110" w:type="dxa"/>
              <w:bottom w:w="90" w:type="dxa"/>
              <w:end w:w="110" w:type="dxa"/>
            </w:tcMar>
            <w:vAlign w:val="center"/>
          </w:tcPr>
          <w:p>
            <w:r>
              <w:rPr>
                <w:sz w:val="15"/>
              </w:rPr>
              <w:t>PASS com ressalva QA</w:t>
            </w:r>
          </w:p>
        </w:tc>
      </w:tr>
      <w:tr>
        <w:tc>
          <w:tcPr>
            <w:tcW w:type="dxa" w:w="1999"/>
            <w:tcMar>
              <w:top w:w="90" w:type="dxa"/>
              <w:start w:w="110" w:type="dxa"/>
              <w:bottom w:w="90" w:type="dxa"/>
              <w:end w:w="110" w:type="dxa"/>
            </w:tcMar>
            <w:vAlign w:val="center"/>
          </w:tcPr>
          <w:p>
            <w:r>
              <w:rPr>
                <w:sz w:val="15"/>
              </w:rPr>
              <w:t>E — Consolidação</w:t>
            </w:r>
          </w:p>
        </w:tc>
        <w:tc>
          <w:tcPr>
            <w:tcW w:type="dxa" w:w="1999"/>
            <w:tcMar>
              <w:top w:w="90" w:type="dxa"/>
              <w:start w:w="110" w:type="dxa"/>
              <w:bottom w:w="90" w:type="dxa"/>
              <w:end w:w="110" w:type="dxa"/>
            </w:tcMar>
            <w:vAlign w:val="center"/>
          </w:tcPr>
          <w:p>
            <w:r>
              <w:rPr>
                <w:sz w:val="15"/>
              </w:rPr>
              <w:t>Vários pedidos aprovados</w:t>
            </w:r>
          </w:p>
        </w:tc>
        <w:tc>
          <w:tcPr>
            <w:tcW w:type="dxa" w:w="1999"/>
            <w:tcMar>
              <w:top w:w="90" w:type="dxa"/>
              <w:start w:w="110" w:type="dxa"/>
              <w:bottom w:w="90" w:type="dxa"/>
              <w:end w:w="110" w:type="dxa"/>
            </w:tcMar>
            <w:vAlign w:val="center"/>
          </w:tcPr>
          <w:p>
            <w:r>
              <w:rPr>
                <w:sz w:val="15"/>
              </w:rPr>
              <w:t>Lote rastreável até itens</w:t>
            </w:r>
          </w:p>
        </w:tc>
        <w:tc>
          <w:tcPr>
            <w:tcW w:type="dxa" w:w="1999"/>
            <w:tcMar>
              <w:top w:w="90" w:type="dxa"/>
              <w:start w:w="110" w:type="dxa"/>
              <w:bottom w:w="90" w:type="dxa"/>
              <w:end w:w="110" w:type="dxa"/>
            </w:tcMar>
            <w:vAlign w:val="center"/>
          </w:tcPr>
          <w:p>
            <w:r>
              <w:rPr>
                <w:sz w:val="15"/>
              </w:rPr>
              <w:t>1 lote/19 fontes; nenhuma transação real</w:t>
            </w:r>
          </w:p>
        </w:tc>
        <w:tc>
          <w:tcPr>
            <w:tcW w:type="dxa" w:w="1999"/>
            <w:tcMar>
              <w:top w:w="90" w:type="dxa"/>
              <w:start w:w="110" w:type="dxa"/>
              <w:bottom w:w="90" w:type="dxa"/>
              <w:end w:w="110" w:type="dxa"/>
            </w:tcMar>
            <w:vAlign w:val="center"/>
          </w:tcPr>
          <w:p>
            <w:r>
              <w:rPr>
                <w:sz w:val="15"/>
              </w:rPr>
              <w:t>BLOCKED</w:t>
            </w:r>
          </w:p>
        </w:tc>
      </w:tr>
      <w:tr>
        <w:tc>
          <w:tcPr>
            <w:tcW w:type="dxa" w:w="1999"/>
            <w:tcMar>
              <w:top w:w="90" w:type="dxa"/>
              <w:start w:w="110" w:type="dxa"/>
              <w:bottom w:w="90" w:type="dxa"/>
              <w:end w:w="110" w:type="dxa"/>
            </w:tcMar>
            <w:vAlign w:val="center"/>
          </w:tcPr>
          <w:p>
            <w:r>
              <w:rPr>
                <w:sz w:val="15"/>
              </w:rPr>
              <w:t>F — Status até conclusão</w:t>
            </w:r>
          </w:p>
        </w:tc>
        <w:tc>
          <w:tcPr>
            <w:tcW w:type="dxa" w:w="1999"/>
            <w:tcMar>
              <w:top w:w="90" w:type="dxa"/>
              <w:start w:w="110" w:type="dxa"/>
              <w:bottom w:w="90" w:type="dxa"/>
              <w:end w:w="110" w:type="dxa"/>
            </w:tcMar>
            <w:vAlign w:val="center"/>
          </w:tcPr>
          <w:p>
            <w:r>
              <w:rPr>
                <w:sz w:val="15"/>
              </w:rPr>
              <w:t>Compra/recebimento/entrega/fiscal</w:t>
            </w:r>
          </w:p>
        </w:tc>
        <w:tc>
          <w:tcPr>
            <w:tcW w:type="dxa" w:w="1999"/>
            <w:tcMar>
              <w:top w:w="90" w:type="dxa"/>
              <w:start w:w="110" w:type="dxa"/>
              <w:bottom w:w="90" w:type="dxa"/>
              <w:end w:w="110" w:type="dxa"/>
            </w:tcMar>
            <w:vAlign w:val="center"/>
          </w:tcPr>
          <w:p>
            <w:r>
              <w:rPr>
                <w:sz w:val="15"/>
              </w:rPr>
              <w:t>Histórico completo</w:t>
            </w:r>
          </w:p>
        </w:tc>
        <w:tc>
          <w:tcPr>
            <w:tcW w:type="dxa" w:w="1999"/>
            <w:tcMar>
              <w:top w:w="90" w:type="dxa"/>
              <w:start w:w="110" w:type="dxa"/>
              <w:bottom w:w="90" w:type="dxa"/>
              <w:end w:w="110" w:type="dxa"/>
            </w:tcMar>
            <w:vAlign w:val="center"/>
          </w:tcPr>
          <w:p>
            <w:r>
              <w:rPr>
                <w:sz w:val="15"/>
              </w:rPr>
              <w:t>Pedidos parados em compra</w:t>
            </w:r>
          </w:p>
        </w:tc>
        <w:tc>
          <w:tcPr>
            <w:tcW w:type="dxa" w:w="1999"/>
            <w:tcMar>
              <w:top w:w="90" w:type="dxa"/>
              <w:start w:w="110" w:type="dxa"/>
              <w:bottom w:w="90" w:type="dxa"/>
              <w:end w:w="110" w:type="dxa"/>
            </w:tcMar>
            <w:vAlign w:val="center"/>
          </w:tcPr>
          <w:p>
            <w:r>
              <w:rPr>
                <w:sz w:val="15"/>
              </w:rPr>
              <w:t>BLOCKED</w:t>
            </w:r>
          </w:p>
        </w:tc>
      </w:tr>
      <w:tr>
        <w:tc>
          <w:tcPr>
            <w:tcW w:type="dxa" w:w="1999"/>
            <w:tcMar>
              <w:top w:w="90" w:type="dxa"/>
              <w:start w:w="110" w:type="dxa"/>
              <w:bottom w:w="90" w:type="dxa"/>
              <w:end w:w="110" w:type="dxa"/>
            </w:tcMar>
            <w:vAlign w:val="center"/>
          </w:tcPr>
          <w:p>
            <w:r>
              <w:rPr>
                <w:sz w:val="15"/>
              </w:rPr>
              <w:t>G — Falha de API</w:t>
            </w:r>
          </w:p>
        </w:tc>
        <w:tc>
          <w:tcPr>
            <w:tcW w:type="dxa" w:w="1999"/>
            <w:tcMar>
              <w:top w:w="90" w:type="dxa"/>
              <w:start w:w="110" w:type="dxa"/>
              <w:bottom w:w="90" w:type="dxa"/>
              <w:end w:w="110" w:type="dxa"/>
            </w:tcMar>
            <w:vAlign w:val="center"/>
          </w:tcPr>
          <w:p>
            <w:r>
              <w:rPr>
                <w:sz w:val="15"/>
              </w:rPr>
              <w:t>Endpoint indisponível</w:t>
            </w:r>
          </w:p>
        </w:tc>
        <w:tc>
          <w:tcPr>
            <w:tcW w:type="dxa" w:w="1999"/>
            <w:tcMar>
              <w:top w:w="90" w:type="dxa"/>
              <w:start w:w="110" w:type="dxa"/>
              <w:bottom w:w="90" w:type="dxa"/>
              <w:end w:w="110" w:type="dxa"/>
            </w:tcMar>
            <w:vAlign w:val="center"/>
          </w:tcPr>
          <w:p>
            <w:r>
              <w:rPr>
                <w:sz w:val="15"/>
              </w:rPr>
              <w:t>Erro recuperável, sem falso vazio</w:t>
            </w:r>
          </w:p>
        </w:tc>
        <w:tc>
          <w:tcPr>
            <w:tcW w:type="dxa" w:w="1999"/>
            <w:tcMar>
              <w:top w:w="90" w:type="dxa"/>
              <w:start w:w="110" w:type="dxa"/>
              <w:bottom w:w="90" w:type="dxa"/>
              <w:end w:w="110" w:type="dxa"/>
            </w:tcMar>
            <w:vAlign w:val="center"/>
          </w:tcPr>
          <w:p>
            <w:r>
              <w:rPr>
                <w:sz w:val="15"/>
              </w:rPr>
              <w:t>Componentes distinguem erro/vazio; não induzida em produção</w:t>
            </w:r>
          </w:p>
        </w:tc>
        <w:tc>
          <w:tcPr>
            <w:tcW w:type="dxa" w:w="1999"/>
            <w:tcMar>
              <w:top w:w="90" w:type="dxa"/>
              <w:start w:w="110" w:type="dxa"/>
              <w:bottom w:w="90" w:type="dxa"/>
              <w:end w:w="110" w:type="dxa"/>
            </w:tcMar>
            <w:vAlign w:val="center"/>
          </w:tcPr>
          <w:p>
            <w:r>
              <w:rPr>
                <w:sz w:val="15"/>
              </w:rPr>
              <w:t>PASS contratual</w:t>
            </w:r>
          </w:p>
        </w:tc>
      </w:tr>
      <w:tr>
        <w:tc>
          <w:tcPr>
            <w:tcW w:type="dxa" w:w="1999"/>
            <w:tcMar>
              <w:top w:w="90" w:type="dxa"/>
              <w:start w:w="110" w:type="dxa"/>
              <w:bottom w:w="90" w:type="dxa"/>
              <w:end w:w="110" w:type="dxa"/>
            </w:tcMar>
            <w:vAlign w:val="center"/>
          </w:tcPr>
          <w:p>
            <w:r>
              <w:rPr>
                <w:sz w:val="15"/>
              </w:rPr>
              <w:t>H — Mobile/PWA</w:t>
            </w:r>
          </w:p>
        </w:tc>
        <w:tc>
          <w:tcPr>
            <w:tcW w:type="dxa" w:w="1999"/>
            <w:tcMar>
              <w:top w:w="90" w:type="dxa"/>
              <w:start w:w="110" w:type="dxa"/>
              <w:bottom w:w="90" w:type="dxa"/>
              <w:end w:w="110" w:type="dxa"/>
            </w:tcMar>
            <w:vAlign w:val="center"/>
          </w:tcPr>
          <w:p>
            <w:r>
              <w:rPr>
                <w:sz w:val="15"/>
              </w:rPr>
              <w:t>Dispositivo e instalação</w:t>
            </w:r>
          </w:p>
        </w:tc>
        <w:tc>
          <w:tcPr>
            <w:tcW w:type="dxa" w:w="1999"/>
            <w:tcMar>
              <w:top w:w="90" w:type="dxa"/>
              <w:start w:w="110" w:type="dxa"/>
              <w:bottom w:w="90" w:type="dxa"/>
              <w:end w:w="110" w:type="dxa"/>
            </w:tcMar>
            <w:vAlign w:val="center"/>
          </w:tcPr>
          <w:p>
            <w:r>
              <w:rPr>
                <w:sz w:val="15"/>
              </w:rPr>
              <w:t>Standalone, atualização e push</w:t>
            </w:r>
          </w:p>
        </w:tc>
        <w:tc>
          <w:tcPr>
            <w:tcW w:type="dxa" w:w="1999"/>
            <w:tcMar>
              <w:top w:w="90" w:type="dxa"/>
              <w:start w:w="110" w:type="dxa"/>
              <w:bottom w:w="90" w:type="dxa"/>
              <w:end w:w="110" w:type="dxa"/>
            </w:tcMar>
            <w:vAlign w:val="center"/>
          </w:tcPr>
          <w:p>
            <w:r>
              <w:rPr>
                <w:sz w:val="15"/>
              </w:rPr>
              <w:t>UI mobile aprovada; instalação/push físico bloqueados</w:t>
            </w:r>
          </w:p>
        </w:tc>
        <w:tc>
          <w:tcPr>
            <w:tcW w:type="dxa" w:w="1999"/>
            <w:tcMar>
              <w:top w:w="90" w:type="dxa"/>
              <w:start w:w="110" w:type="dxa"/>
              <w:bottom w:w="90" w:type="dxa"/>
              <w:end w:w="110" w:type="dxa"/>
            </w:tcMar>
            <w:vAlign w:val="center"/>
          </w:tcPr>
          <w:p>
            <w:r>
              <w:rPr>
                <w:sz w:val="15"/>
              </w:rPr>
              <w:t>BLOCKED</w:t>
            </w:r>
          </w:p>
        </w:tc>
      </w:tr>
      <w:tr>
        <w:tc>
          <w:tcPr>
            <w:tcW w:type="dxa" w:w="1999"/>
            <w:tcMar>
              <w:top w:w="90" w:type="dxa"/>
              <w:start w:w="110" w:type="dxa"/>
              <w:bottom w:w="90" w:type="dxa"/>
              <w:end w:w="110" w:type="dxa"/>
            </w:tcMar>
            <w:vAlign w:val="center"/>
          </w:tcPr>
          <w:p>
            <w:r>
              <w:rPr>
                <w:sz w:val="15"/>
              </w:rPr>
              <w:t>I — Admin desktop</w:t>
            </w:r>
          </w:p>
        </w:tc>
        <w:tc>
          <w:tcPr>
            <w:tcW w:type="dxa" w:w="1999"/>
            <w:tcMar>
              <w:top w:w="90" w:type="dxa"/>
              <w:start w:w="110" w:type="dxa"/>
              <w:bottom w:w="90" w:type="dxa"/>
              <w:end w:w="110" w:type="dxa"/>
            </w:tcMar>
            <w:vAlign w:val="center"/>
          </w:tcPr>
          <w:p>
            <w:r>
              <w:rPr>
                <w:sz w:val="15"/>
              </w:rPr>
              <w:t>Sessão admin</w:t>
            </w:r>
          </w:p>
        </w:tc>
        <w:tc>
          <w:tcPr>
            <w:tcW w:type="dxa" w:w="1999"/>
            <w:tcMar>
              <w:top w:w="90" w:type="dxa"/>
              <w:start w:w="110" w:type="dxa"/>
              <w:bottom w:w="90" w:type="dxa"/>
              <w:end w:w="110" w:type="dxa"/>
            </w:tcMar>
            <w:vAlign w:val="center"/>
          </w:tcPr>
          <w:p>
            <w:r>
              <w:rPr>
                <w:sz w:val="15"/>
              </w:rPr>
              <w:t>Dashboard e operação densa</w:t>
            </w:r>
          </w:p>
        </w:tc>
        <w:tc>
          <w:tcPr>
            <w:tcW w:type="dxa" w:w="1999"/>
            <w:tcMar>
              <w:top w:w="90" w:type="dxa"/>
              <w:start w:w="110" w:type="dxa"/>
              <w:bottom w:w="90" w:type="dxa"/>
              <w:end w:w="110" w:type="dxa"/>
            </w:tcMar>
            <w:vAlign w:val="center"/>
          </w:tcPr>
          <w:p>
            <w:r>
              <w:rPr>
                <w:sz w:val="15"/>
              </w:rPr>
              <w:t>Código/branch e dashboard público avaliados; sessão não usada</w:t>
            </w:r>
          </w:p>
        </w:tc>
        <w:tc>
          <w:tcPr>
            <w:tcW w:type="dxa" w:w="1999"/>
            <w:tcMar>
              <w:top w:w="90" w:type="dxa"/>
              <w:start w:w="110" w:type="dxa"/>
              <w:bottom w:w="90" w:type="dxa"/>
              <w:end w:w="110" w:type="dxa"/>
            </w:tcMar>
            <w:vAlign w:val="center"/>
          </w:tcPr>
          <w:p>
            <w:r>
              <w:rPr>
                <w:sz w:val="15"/>
              </w:rPr>
              <w:t>BLOCKED</w:t>
            </w:r>
          </w:p>
        </w:tc>
      </w:tr>
    </w:tbl>
    <w:p>
      <w:pPr>
        <w:spacing w:after="20"/>
      </w:pPr>
    </w:p>
    <w:p>
      <w:pPr>
        <w:pStyle w:val="Heading2"/>
      </w:pPr>
      <w:r>
        <w:t>F. Pendências</w:t>
      </w:r>
    </w:p>
    <w:p>
      <w:pPr>
        <w:pStyle w:val="Heading3"/>
      </w:pPr>
      <w:r>
        <w:t>Código</w:t>
      </w:r>
    </w:p>
    <w:p>
      <w:pPr>
        <w:pStyle w:val="ListBullet"/>
      </w:pPr>
      <w:r>
        <w:t>Projetar CSP com nonce/hash e validar todas as rotas.</w:t>
      </w:r>
    </w:p>
    <w:p>
      <w:pPr>
        <w:pStyle w:val="ListBullet"/>
      </w:pPr>
      <w:r>
        <w:t>Adicionar asset 512×512 e maskable após receber fonte íntegra.</w:t>
      </w:r>
    </w:p>
    <w:p>
      <w:pPr>
        <w:pStyle w:val="ListBullet"/>
      </w:pPr>
      <w:r>
        <w:t>Automatizar auditoria real de navegador com contas de homologação não produtivas.</w:t>
      </w:r>
    </w:p>
    <w:p>
      <w:pPr>
        <w:pStyle w:val="Heading3"/>
      </w:pPr>
      <w:r>
        <w:t>Infraestrutura</w:t>
      </w:r>
    </w:p>
    <w:p>
      <w:pPr>
        <w:pStyle w:val="ListBullet"/>
      </w:pPr>
      <w:r>
        <w:t>Confirmar workspace Render e consultar deploy/logs/métricas.</w:t>
      </w:r>
    </w:p>
    <w:p>
      <w:pPr>
        <w:pStyle w:val="ListBullet"/>
      </w:pPr>
      <w:r>
        <w:t xml:space="preserve">Publicar a branch validada na </w:t>
      </w:r>
      <w:r>
        <w:rPr>
          <w:rFonts w:ascii="Consolas" w:hAnsi="Consolas"/>
          <w:sz w:val="17"/>
        </w:rPr>
        <w:t>main</w:t>
      </w:r>
      <w:r>
        <w:t xml:space="preserve"> e acionar deploy manual.</w:t>
      </w:r>
    </w:p>
    <w:p>
      <w:pPr>
        <w:pStyle w:val="ListBullet"/>
      </w:pPr>
      <w:r>
        <w:t>Aplicar migration fiscal pendente após ensaio em branch Neon.</w:t>
      </w:r>
    </w:p>
    <w:p>
      <w:pPr>
        <w:pStyle w:val="Heading3"/>
      </w:pPr>
      <w:r>
        <w:t>Configuração</w:t>
      </w:r>
    </w:p>
    <w:p>
      <w:pPr>
        <w:pStyle w:val="ListBullet"/>
      </w:pPr>
      <w:r>
        <w:t>Confirmar VAPID no Render.</w:t>
      </w:r>
    </w:p>
    <w:p>
      <w:pPr>
        <w:pStyle w:val="ListBullet"/>
      </w:pPr>
      <w:r>
        <w:t>Configurar emitente/provedor/certificado fiscal conforme aplicabilidade.</w:t>
      </w:r>
    </w:p>
    <w:p>
      <w:pPr>
        <w:pStyle w:val="ListBullet"/>
      </w:pPr>
      <w:r>
        <w:t>Definir ambiente de homologação separado do banco padrão.</w:t>
      </w:r>
    </w:p>
    <w:p>
      <w:pPr>
        <w:pStyle w:val="Heading3"/>
      </w:pPr>
      <w:r>
        <w:t>Dados</w:t>
      </w:r>
    </w:p>
    <w:p>
      <w:pPr>
        <w:pStyle w:val="ListBullet"/>
      </w:pPr>
      <w:r>
        <w:t xml:space="preserve">Autorizar limpeza dos registros </w:t>
      </w:r>
      <w:r>
        <w:rPr>
          <w:rFonts w:ascii="Consolas" w:hAnsi="Consolas"/>
          <w:sz w:val="17"/>
        </w:rPr>
        <w:t>QA-E2E-*</w:t>
      </w:r>
      <w:r>
        <w:t>.</w:t>
      </w:r>
    </w:p>
    <w:p>
      <w:pPr>
        <w:pStyle w:val="ListBullet"/>
      </w:pPr>
      <w:r>
        <w:t>Importar clientes, produtos, preços com vigência e fornecedores reais.</w:t>
      </w:r>
    </w:p>
    <w:p>
      <w:pPr>
        <w:pStyle w:val="ListBullet"/>
      </w:pPr>
      <w:r>
        <w:t>Vincular ao menos um usuário cliente verificado.</w:t>
      </w:r>
    </w:p>
    <w:p>
      <w:pPr>
        <w:pStyle w:val="ListBullet"/>
      </w:pPr>
      <w:r>
        <w:t>Selecionar e homologar pedido piloto.</w:t>
      </w:r>
    </w:p>
    <w:p>
      <w:pPr>
        <w:pStyle w:val="Heading3"/>
      </w:pPr>
      <w:r>
        <w:t>Integração externa</w:t>
      </w:r>
    </w:p>
    <w:p>
      <w:pPr>
        <w:pStyle w:val="ListBullet"/>
      </w:pPr>
      <w:r>
        <w:t>Confirmar emissor fiscal e documento aplicável (NF-e ou NFS-e).</w:t>
      </w:r>
    </w:p>
    <w:p>
      <w:pPr>
        <w:pStyle w:val="ListBullet"/>
      </w:pPr>
      <w:r>
        <w:t>Testar consulta CNPJ e IE com dados reais e fontes externas disponíveis.</w:t>
      </w:r>
    </w:p>
    <w:p>
      <w:pPr>
        <w:pStyle w:val="ListBullet"/>
      </w:pPr>
      <w:r>
        <w:t>Confirmar recebimento Web Push em iOS/Android e navegador convencional.</w:t>
      </w:r>
    </w:p>
    <w:p>
      <w:pPr>
        <w:pStyle w:val="Heading3"/>
      </w:pPr>
      <w:r>
        <w:t>Informação do cliente</w:t>
      </w:r>
    </w:p>
    <w:p>
      <w:pPr>
        <w:pStyle w:val="ListBullet"/>
      </w:pPr>
      <w:r>
        <w:t>Tabela de preços oficial e regras de vigência.</w:t>
      </w:r>
    </w:p>
    <w:p>
      <w:pPr>
        <w:pStyle w:val="ListBullet"/>
      </w:pPr>
      <w:r>
        <w:t>Dados fiscais do emitente e orientação contábil.</w:t>
      </w:r>
    </w:p>
    <w:p>
      <w:pPr>
        <w:pStyle w:val="ListBullet"/>
      </w:pPr>
      <w:r>
        <w:t>Usuários autorizados e dispositivos de homologação.</w:t>
      </w:r>
    </w:p>
    <w:p>
      <w:pPr>
        <w:pStyle w:val="Heading2"/>
      </w:pPr>
      <w:r>
        <w:t>G. Documentação criada/atualizada</w:t>
      </w:r>
    </w:p>
    <w:p>
      <w:pPr>
        <w:pStyle w:val="ListBullet"/>
      </w:pPr>
      <w:r>
        <w:rPr>
          <w:rFonts w:ascii="Consolas" w:hAnsi="Consolas"/>
          <w:sz w:val="17"/>
        </w:rPr>
        <w:t>AUDITORIA_TECNICA_FUNCIONAL_OPERACIONAL_V01.md</w:t>
      </w:r>
      <w:r>
        <w:t xml:space="preserve"> — destino: Auditorias.</w:t>
      </w:r>
    </w:p>
    <w:p>
      <w:pPr>
        <w:pStyle w:val="ListBullet"/>
      </w:pPr>
      <w:r>
        <w:rPr>
          <w:rFonts w:ascii="Consolas" w:hAnsi="Consolas"/>
          <w:sz w:val="17"/>
        </w:rPr>
        <w:t>MANUAL_DE_USO_HORTIFRUTI_REVOLUCAO_V01.md</w:t>
      </w:r>
      <w:r>
        <w:t xml:space="preserve"> — destino: Manuais.</w:t>
      </w:r>
    </w:p>
    <w:p>
      <w:pPr>
        <w:pStyle w:val="ListBullet"/>
      </w:pPr>
      <w:r>
        <w:t>Versões DOCX equivalentes — destino idêntico na Central HRX.</w:t>
      </w:r>
    </w:p>
    <w:p>
      <w:r>
        <w:rPr>
          <w:b/>
        </w:rPr>
        <w:t>Publicação automática na Central:</w:t>
      </w:r>
      <w:r>
        <w:t xml:space="preserve"> pendente; os documentos estão preparados, versionados e classificados, sem alegação de armazenamento remoto.</w:t>
      </w:r>
    </w:p>
    <w:sectPr w:rsidR="00FC693F" w:rsidRPr="0006063C" w:rsidSect="00034616">
      <w:headerReference w:type="default" r:id="rId9"/>
      <w:footerReference w:type="default" r:id="rId10"/>
      <w:pgSz w:w="12240" w:h="15840"/>
      <w:pgMar w:top="1037"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6E"/>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35C45"/>
      </w:rPr>
      <w:t>HORTIFRUTI REVOLUÇÃO   |   AUDITORIA INDEPENDENTE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431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5C4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C69A45"/>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35C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35C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técnica, funcional, visual e operacional — Hortifruti Revolução</dc:title>
  <dc:subject>Hortifruti Revolução</dc:subject>
  <dc:creator>HRX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