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52"/>
        </w:rPr>
        <w:t>TDS Payout Integration for BB+ Platform</w:t>
      </w:r>
    </w:p>
    <w:p>
      <w:pPr>
        <w:jc w:val="center"/>
      </w:pPr>
      <w:r>
        <w:rPr>
          <w:rFonts w:ascii="Arial" w:hAnsi="Arial"/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rFonts w:ascii="Arial" w:hAnsi="Arial"/>
          <w:color w:val="1155CC"/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rFonts w:ascii="Arial" w:hAnsi="Arial"/>
          <w:i/>
          <w:color w:val="94A3B8"/>
          <w:sz w:val="18"/>
        </w:rPr>
        <w:t>Right-click the TOC above → Update Field to refresh.</w:t>
      </w:r>
    </w:p>
    <w:p>
      <w:r>
        <w:br w:type="page"/>
      </w:r>
    </w:p>
    <w:p>
      <w:pPr>
        <w:pStyle w:val="Heading1"/>
        <w:keepNext/>
        <w:spacing w:before="400" w:after="120"/>
      </w:pPr>
      <w:r>
        <w:rPr>
          <w:rFonts w:ascii="Arial" w:hAnsi="Arial"/>
          <w:b/>
          <w:i w:val="0"/>
          <w:color w:val="1155CC"/>
          <w:sz w:val="36"/>
        </w:rPr>
        <w:t>TDS Payout Integration for BB+ Platform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Technical Specification — Summary Document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Author/s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Prashant Chauhan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Team/Pod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| BU: BB+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9.0 Summary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Published Date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February 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Table of Contents</w:t>
      </w:r>
    </w:p>
    <w:p>
      <w:pPr>
        <w:pStyle w:val="ListBullet"/>
      </w:pPr>
      <w:hyperlink r:id="rId9">
        <w:r>
          <w:rPr>
            <w:rFonts w:ascii="Arial" w:hAnsi="Arial"/>
            <w:color w:val="0000ee"/>
            <w:u w:val="single"/>
            <w:sz w:val="22"/>
            <w:szCs w:val="22"/>
          </w:rPr>
          <w:t>1. Problem Statement</w:t>
        </w:r>
      </w:hyperlink>
    </w:p>
    <w:p>
      <w:pPr>
        <w:pStyle w:val="ListBullet"/>
      </w:pPr>
      <w:hyperlink r:id="rId10">
        <w:r>
          <w:rPr>
            <w:rFonts w:ascii="Arial" w:hAnsi="Arial"/>
            <w:color w:val="0000ee"/>
            <w:u w:val="single"/>
            <w:sz w:val="22"/>
            <w:szCs w:val="22"/>
          </w:rPr>
          <w:t>2. Introduction &amp; Scope</w:t>
        </w:r>
      </w:hyperlink>
    </w:p>
    <w:p>
      <w:pPr>
        <w:pStyle w:val="ListBullet"/>
      </w:pPr>
      <w:hyperlink r:id="rId11">
        <w:r>
          <w:rPr>
            <w:rFonts w:ascii="Arial" w:hAnsi="Arial"/>
            <w:color w:val="0000ee"/>
            <w:u w:val="single"/>
            <w:sz w:val="22"/>
            <w:szCs w:val="22"/>
          </w:rPr>
          <w:t>3. Out of Scope</w:t>
        </w:r>
      </w:hyperlink>
    </w:p>
    <w:p>
      <w:pPr>
        <w:pStyle w:val="ListBullet"/>
      </w:pPr>
      <w:hyperlink r:id="rId12">
        <w:r>
          <w:rPr>
            <w:rFonts w:ascii="Arial" w:hAnsi="Arial"/>
            <w:color w:val="0000ee"/>
            <w:u w:val="single"/>
            <w:sz w:val="22"/>
            <w:szCs w:val="22"/>
          </w:rPr>
          <w:t>4. Futuristic Scope</w:t>
        </w:r>
      </w:hyperlink>
    </w:p>
    <w:p>
      <w:pPr>
        <w:pStyle w:val="ListBullet"/>
      </w:pPr>
      <w:hyperlink r:id="rId13">
        <w:r>
          <w:rPr>
            <w:rFonts w:ascii="Arial" w:hAnsi="Arial"/>
            <w:color w:val="0000ee"/>
            <w:u w:val="single"/>
            <w:sz w:val="22"/>
            <w:szCs w:val="22"/>
          </w:rPr>
          <w:t>5. Assumptions, Goals &amp; Non-Goals</w:t>
        </w:r>
      </w:hyperlink>
    </w:p>
    <w:p>
      <w:pPr>
        <w:pStyle w:val="ListBullet"/>
      </w:pPr>
      <w:hyperlink r:id="rId14">
        <w:r>
          <w:rPr>
            <w:rFonts w:ascii="Arial" w:hAnsi="Arial"/>
            <w:color w:val="0000ee"/>
            <w:u w:val="single"/>
            <w:sz w:val="22"/>
            <w:szCs w:val="22"/>
          </w:rPr>
          <w:t>6. Domain Design</w:t>
        </w:r>
      </w:hyperlink>
    </w:p>
    <w:p>
      <w:pPr>
        <w:pStyle w:val="ListBullet"/>
      </w:pPr>
      <w:hyperlink r:id="rId15">
        <w:r>
          <w:rPr>
            <w:rFonts w:ascii="Arial" w:hAnsi="Arial"/>
            <w:color w:val="0000ee"/>
            <w:u w:val="single"/>
            <w:sz w:val="22"/>
            <w:szCs w:val="22"/>
          </w:rPr>
          <w:t>7. Current Architecture / Current HLD</w:t>
        </w:r>
      </w:hyperlink>
    </w:p>
    <w:p>
      <w:pPr>
        <w:pStyle w:val="ListBullet"/>
      </w:pP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8. Final Approach — Specifications</w:t>
        </w:r>
      </w:hyperlink>
    </w:p>
    <w:p>
      <w:pPr>
        <w:pStyle w:val="ListBullet"/>
      </w:pPr>
      <w:hyperlink r:id="rId17">
        <w:r>
          <w:rPr>
            <w:rFonts w:ascii="Arial" w:hAnsi="Arial"/>
            <w:color w:val="0000ee"/>
            <w:u w:val="single"/>
            <w:sz w:val="22"/>
            <w:szCs w:val="22"/>
          </w:rPr>
          <w:t>9. Non-Functional Requirements (NFRs)</w:t>
        </w:r>
      </w:hyperlink>
    </w:p>
    <w:p>
      <w:pPr>
        <w:pStyle w:val="ListBullet"/>
      </w:pPr>
      <w:hyperlink r:id="rId18">
        <w:r>
          <w:rPr>
            <w:rFonts w:ascii="Arial" w:hAnsi="Arial"/>
            <w:color w:val="0000ee"/>
            <w:u w:val="single"/>
            <w:sz w:val="22"/>
            <w:szCs w:val="22"/>
          </w:rPr>
          <w:t>10. Agentic Development Spec</w:t>
        </w:r>
      </w:hyperlink>
    </w:p>
    <w:p>
      <w:pPr>
        <w:pStyle w:val="ListBullet"/>
      </w:pPr>
      <w:hyperlink r:id="rId19">
        <w:r>
          <w:rPr>
            <w:rFonts w:ascii="Arial" w:hAnsi="Arial"/>
            <w:color w:val="0000ee"/>
            <w:u w:val="single"/>
            <w:sz w:val="22"/>
            <w:szCs w:val="22"/>
          </w:rPr>
          <w:t>11. Feature Dependencies &amp; SLAs</w:t>
        </w:r>
      </w:hyperlink>
    </w:p>
    <w:p>
      <w:pPr>
        <w:pStyle w:val="ListBullet"/>
      </w:pPr>
      <w:hyperlink r:id="rId20">
        <w:r>
          <w:rPr>
            <w:rFonts w:ascii="Arial" w:hAnsi="Arial"/>
            <w:color w:val="0000ee"/>
            <w:u w:val="single"/>
            <w:sz w:val="22"/>
            <w:szCs w:val="22"/>
          </w:rPr>
          <w:t>12. Testing Plan</w:t>
        </w:r>
      </w:hyperlink>
    </w:p>
    <w:p>
      <w:pPr>
        <w:pStyle w:val="ListBullet"/>
      </w:pPr>
      <w:hyperlink r:id="rId21">
        <w:r>
          <w:rPr>
            <w:rFonts w:ascii="Arial" w:hAnsi="Arial"/>
            <w:color w:val="0000ee"/>
            <w:u w:val="single"/>
            <w:sz w:val="22"/>
            <w:szCs w:val="22"/>
          </w:rPr>
          <w:t>13. Go-Live Plan</w:t>
        </w:r>
      </w:hyperlink>
    </w:p>
    <w:p>
      <w:pPr>
        <w:pStyle w:val="ListBullet"/>
      </w:pPr>
      <w:hyperlink r:id="rId22">
        <w:r>
          <w:rPr>
            <w:rFonts w:ascii="Arial" w:hAnsi="Arial"/>
            <w:color w:val="0000ee"/>
            <w:u w:val="single"/>
            <w:sz w:val="22"/>
            <w:szCs w:val="22"/>
          </w:rPr>
          <w:t>14. Monitoring &amp; Logging</w:t>
        </w:r>
      </w:hyperlink>
    </w:p>
    <w:p>
      <w:pPr>
        <w:pStyle w:val="ListBullet"/>
      </w:pPr>
      <w:hyperlink r:id="rId23">
        <w:r>
          <w:rPr>
            <w:rFonts w:ascii="Arial" w:hAnsi="Arial"/>
            <w:color w:val="0000ee"/>
            <w:u w:val="single"/>
            <w:sz w:val="22"/>
            <w:szCs w:val="22"/>
          </w:rPr>
          <w:t>15. Milestones &amp; Timelines</w:t>
        </w:r>
      </w:hyperlink>
    </w:p>
    <w:p>
      <w:pPr>
        <w:pStyle w:val="ListBullet"/>
      </w:pPr>
      <w:hyperlink r:id="rId24">
        <w:r>
          <w:rPr>
            <w:rFonts w:ascii="Arial" w:hAnsi="Arial"/>
            <w:color w:val="0000ee"/>
            <w:u w:val="single"/>
            <w:sz w:val="22"/>
            <w:szCs w:val="22"/>
          </w:rPr>
          <w:t>16. Glossary</w:t>
        </w:r>
      </w:hyperlink>
    </w:p>
    <w:p>
      <w:pPr>
        <w:pStyle w:val="ListBullet"/>
      </w:pPr>
      <w:hyperlink r:id="rId25">
        <w:r>
          <w:rPr>
            <w:rFonts w:ascii="Arial" w:hAnsi="Arial"/>
            <w:color w:val="0000ee"/>
            <w:u w:val="single"/>
            <w:sz w:val="22"/>
            <w:szCs w:val="22"/>
          </w:rPr>
          <w:t>17. Appendix</w:t>
        </w:r>
      </w:hyperlink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1. Problem Statement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existing Payouts service has </w:t>
      </w:r>
      <w:r>
        <w:rPr>
          <w:rFonts w:ascii="Arial" w:hAnsi="Arial"/>
          <w:b/>
          <w:i w:val="0"/>
          <w:color w:val="000000"/>
          <w:sz w:val="22"/>
        </w:rPr>
        <w:t>no TDS compute or tracking capability</w:t>
      </w:r>
      <w:r>
        <w:rPr>
          <w:rFonts w:ascii="Arial" w:hAnsi="Arial"/>
          <w:b w:val="0"/>
          <w:i w:val="0"/>
          <w:color w:val="000000"/>
          <w:sz w:val="22"/>
        </w:rPr>
        <w:t xml:space="preserve"> for BB+ flows.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TDS deduction amount must be known </w:t>
      </w:r>
      <w:r>
        <w:rPr>
          <w:rFonts w:ascii="Arial" w:hAnsi="Arial"/>
          <w:b w:val="0"/>
          <w:i/>
          <w:color w:val="000000"/>
          <w:sz w:val="22"/>
        </w:rPr>
        <w:t>at payout creation time</w:t>
      </w:r>
      <w:r>
        <w:rPr>
          <w:rFonts w:ascii="Arial" w:hAnsi="Arial"/>
          <w:b w:val="0"/>
          <w:i w:val="0"/>
          <w:color w:val="00000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solution must work uniformly across all three payout channels: </w:t>
      </w:r>
      <w:r>
        <w:rPr>
          <w:rFonts w:ascii="Arial" w:hAnsi="Arial"/>
          <w:b/>
          <w:i w:val="0"/>
          <w:color w:val="000000"/>
          <w:sz w:val="22"/>
        </w:rPr>
        <w:t>Dashboard (UI)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/>
          <w:i w:val="0"/>
          <w:color w:val="000000"/>
          <w:sz w:val="22"/>
        </w:rPr>
        <w:t>Bulk CSV</w:t>
      </w:r>
      <w:r>
        <w:rPr>
          <w:rFonts w:ascii="Arial" w:hAnsi="Arial"/>
          <w:b w:val="0"/>
          <w:i w:val="0"/>
          <w:color w:val="000000"/>
          <w:sz w:val="22"/>
        </w:rPr>
        <w:t xml:space="preserve">, and </w:t>
      </w:r>
      <w:r>
        <w:rPr>
          <w:rFonts w:ascii="Arial" w:hAnsi="Arial"/>
          <w:b/>
          <w:i w:val="0"/>
          <w:color w:val="000000"/>
          <w:sz w:val="22"/>
        </w:rPr>
        <w:t>Direct API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2. Introduction &amp; Scope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document specifies the technical approach for integrating TDS (Tax Deducted at Source)</w:t>
        <w:br/>
        <w:t xml:space="preserve">    support into the Payouts service for BB+ merchants. It covers the problem, three candidate</w:t>
        <w:br/>
        <w:t xml:space="preserve">    approaches, the recommended solution, and all downstream considerations.</w:t>
        <w:br/>
        <w:t xml:space="preserve">  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2.1 Tenets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Payouts stays dumb about TDS computation</w:t>
      </w:r>
      <w:r>
        <w:rPr>
          <w:rFonts w:ascii="Arial" w:hAnsi="Arial"/>
          <w:b w:val="0"/>
          <w:i w:val="0"/>
          <w:color w:val="00000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Tax-Compliance owns TDS logic</w:t>
      </w:r>
      <w:r>
        <w:rPr>
          <w:rFonts w:ascii="Arial" w:hAnsi="Arial"/>
          <w:b w:val="0"/>
          <w:i w:val="0"/>
          <w:color w:val="00000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Vendor-Payments flows are never impacted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Backward compatible by default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new Payouts fields are optional.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No PII in logs or Kafka messages</w:t>
      </w:r>
      <w:r>
        <w:rPr>
          <w:rFonts w:ascii="Arial" w:hAnsi="Arial"/>
          <w:b w:val="0"/>
          <w:i w:val="0"/>
          <w:color w:val="000000"/>
          <w:sz w:val="22"/>
        </w:rPr>
        <w:t xml:space="preserve"> — PAN stored and encrypted only in Tax-Compliance.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2.2 Relevant Resources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2.3 Scope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In scope for this initiative: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service: enrichment hook for TDS computation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Tax-Compliance: internal enrichment API, event listener,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management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Dashboard UI and Bulk CSV: TDS form fields and preview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2.4 Product Requirement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The product requirement is to provide a </w:t>
      </w:r>
      <w:r>
        <w:rPr>
          <w:rFonts w:ascii="Arial" w:hAnsi="Arial"/>
          <w:b/>
          <w:i w:val="0"/>
          <w:color w:val="000000"/>
          <w:sz w:val="22"/>
        </w:rPr>
        <w:t>seamless experience for merchants using the Payouts API</w:t>
      </w:r>
      <w:r>
        <w:rPr>
          <w:rFonts w:ascii="Arial" w:hAnsi="Arial"/>
          <w:b w:val="0"/>
          <w:i w:val="0"/>
          <w:color w:val="000000"/>
          <w:sz w:val="22"/>
        </w:rPr>
        <w:t>, where they can pass minimal details similar to what is currently passed to the compute API.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requirement drives the architectural decision to ensure merchants have a consistent, simple interface regardless of how they create payouts, while the system handles all complexity of TDS computation and compliance internally.</w:t>
        <w:br/>
        <w:t xml:space="preserve">    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3. Out of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Changes to Vendor-Payments TDS flows (must remain untouched)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support for non-BB+ merchants in this phase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staleness enforcement between compute and payout creation (accepted trade-off)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4. Futuristic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TDS filing dashboard for BB+ merchants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Batch enrichment API for bulk payout optimization (enrich multiple rows in single call)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5. Assumptions, Goals &amp; Non-Goals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5.1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Kafka topic </w:t>
      </w:r>
      <w:r>
        <w:rPr>
          <w:rFonts w:ascii="Arial" w:hAnsi="Arial"/>
          <w:b w:val="0"/>
          <w:i w:val="0"/>
          <w:color w:val="000000"/>
          <w:sz w:val="22"/>
        </w:rPr>
        <w:t>add-tds-entry-bb-plus</w:t>
      </w:r>
      <w:r>
        <w:rPr>
          <w:rFonts w:ascii="Arial" w:hAnsi="Arial"/>
          <w:b w:val="0"/>
          <w:i w:val="0"/>
          <w:color w:val="000000"/>
          <w:sz w:val="22"/>
        </w:rPr>
        <w:t xml:space="preserve"> is new and owned by Tax-Compliance consumer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</w:t>
      </w:r>
      <w:r>
        <w:rPr>
          <w:rFonts w:ascii="Arial" w:hAnsi="Arial"/>
          <w:b w:val="0"/>
          <w:i w:val="0"/>
          <w:color w:val="000000"/>
          <w:sz w:val="22"/>
        </w:rPr>
        <w:t>source = "bb_plus"</w:t>
      </w:r>
      <w:r>
        <w:rPr>
          <w:rFonts w:ascii="Arial" w:hAnsi="Arial"/>
          <w:b w:val="0"/>
          <w:i w:val="0"/>
          <w:color w:val="00000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certificate validity between compute and payout creation is acceptable (seconds gap in practice)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5.2 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Zero latency added to the Payouts API critical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Minimal, isolated changes to Payouts (fields + routing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Clean domain ownership: Tax-Compliance owns compute and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Backward compatible — existing Payouts and Vendor-Payments flows unchanged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5.3 Non-Goals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Building TDS compute logic inside the Payouts service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Synchronous creation of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at payout creation time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Changing any Vendor-Payments Kafka topics or consumer logic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Modifying the public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API (changes go to internal </w:t>
      </w:r>
      <w:r>
        <w:rPr>
          <w:rFonts w:ascii="Arial" w:hAnsi="Arial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only)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6. Domain Design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6.1 Services Involved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 based on category, rate, and LDC status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Manages TDS Payment entities for compliance and filing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Validates TDS categories and PAN details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payout records for net amount to vendor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Processes fund transfers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Emits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Stores TDS information for audit trail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 (BFF)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Acts as BFF — the only backend the UI talks to for TDS flows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TDS, orchestrates payout creation, presents data to merchants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6.2 Amount Relationship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Key Formula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6.3 Key Entities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The payment to vendor (net amount after TDS deduction)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payout_details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TDS information (category, amounts, breakdown) stored as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record for government filing (includes deductee PAN, amounts, category details)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6.4 Coverage: All Payout Types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creates one payout via Tax-Compliance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Preview TDS breakdown before confirming; one compute call per payout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uploads CSV with multiple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integrates via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Same pattern as UI - caller computes TDS first, then creates payout with pre-computed values</w:t>
            </w:r>
          </w:p>
        </w:tc>
      </w:tr>
    </w:tbl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7. Current Architecture / Current HLD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color w:val="000000"/>
          <w:sz w:val="22"/>
        </w:rPr>
        <w:t>tds</w:t>
      </w:r>
      <w:r>
        <w:rPr>
          <w:rFonts w:ascii="Arial" w:hAnsi="Arial"/>
          <w:b w:val="0"/>
          <w:i w:val="0"/>
          <w:color w:val="000000"/>
          <w:sz w:val="22"/>
        </w:rPr>
        <w:t xml:space="preserve"> struct in </w:t>
      </w:r>
      <w:r>
        <w:rPr>
          <w:rFonts w:ascii="Courier New" w:hAnsi="Courier New"/>
          <w:b w:val="0"/>
          <w:i w:val="0"/>
          <w:color w:val="000000"/>
          <w:sz w:val="22"/>
        </w:rPr>
        <w:t>TDSDetails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used exclusively by </w:t>
      </w:r>
      <w:r>
        <w:rPr>
          <w:rFonts w:ascii="Arial" w:hAnsi="Arial"/>
          <w:b/>
          <w:i w:val="0"/>
          <w:color w:val="000000"/>
          <w:sz w:val="22"/>
        </w:rPr>
        <w:t>Vendor-Payments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color w:val="000000"/>
          <w:sz w:val="22"/>
        </w:rPr>
        <w:t>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 and </w:t>
      </w:r>
      <w:r>
        <w:rPr>
          <w:rFonts w:ascii="Courier New" w:hAnsi="Courier New"/>
          <w:b w:val="0"/>
          <w:i w:val="0"/>
          <w:color w:val="000000"/>
          <w:sz w:val="22"/>
        </w:rPr>
        <w:t>amount</w:t>
      </w:r>
      <w:r>
        <w:rPr>
          <w:rFonts w:ascii="Arial" w:hAnsi="Arial"/>
          <w:b w:val="0"/>
          <w:i w:val="0"/>
          <w:color w:val="00000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color w:val="000000"/>
          <w:sz w:val="22"/>
        </w:rPr>
        <w:t>source = vendor_payments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There is </w:t>
      </w:r>
      <w:r>
        <w:rPr>
          <w:rFonts w:ascii="Arial" w:hAnsi="Arial"/>
          <w:b/>
          <w:i w:val="0"/>
          <w:color w:val="000000"/>
          <w:sz w:val="22"/>
        </w:rPr>
        <w:t>no equivalent flow for BB+</w:t>
      </w:r>
      <w:r>
        <w:rPr>
          <w:rFonts w:ascii="Arial" w:hAnsi="Arial"/>
          <w:b w:val="0"/>
          <w:i w:val="0"/>
          <w:color w:val="00000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creation triggered by payout events.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 + amount (Vendor-Payments only)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source, gross_amount, breakdown fields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All TDS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BB+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exists for preview; no Kafka consumer for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Kafka consumer for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+ entity creation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BFF / UI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BB+ TDS payout creation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to orchestrate compute + payout creation for UI/Bulk</w:t>
            </w:r>
          </w:p>
        </w:tc>
      </w:tr>
    </w:tbl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 Final Approach — Specifications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Selected: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present, Payouts makes</w:t>
        <w:br/>
        <w:t xml:space="preserve">      a </w:t>
      </w:r>
      <w:r>
        <w:rPr>
          <w:rFonts w:ascii="Arial" w:hAnsi="Arial"/>
          <w:b/>
          <w:i w:val="0"/>
          <w:color w:val="000000"/>
          <w:sz w:val="22"/>
        </w:rPr>
        <w:t>lightweight synchronous call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 (~50-100ms). Tax-Compliance</w:t>
        <w:br/>
        <w:t xml:space="preserve">      computes TDS, creates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and returns enriched data (net_amount, tds_amount, rate, tds_payment_id).</w:t>
        <w:br/>
        <w:t xml:space="preserve">      Payouts uses net_amount for payout creation. </w:t>
      </w:r>
      <w:r>
        <w:rPr>
          <w:rFonts w:ascii="Arial" w:hAnsi="Arial"/>
          <w:b/>
          <w:i w:val="0"/>
          <w:color w:val="000000"/>
          <w:sz w:val="22"/>
        </w:rPr>
        <w:t>Single API call for merchants; minimal changes to Payouts.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8.1 List of Possible Solutions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Three approaches were evaluated. The final selected approach (Approach 1: Enrichment Hook Pattern) is recommended. Approaches 2 and 3 are documented below for reference.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1. Enrichment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Payouts→Tax-Compliance (optional)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✓ Selected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2. TC Gateway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exposes /v2/payouts endpoint; orchestrates compute +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Tax-Compliance→Payouts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3. Pre-Compute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pre-computes TDS via Tax-Compliance first, then calls Payouts separately; two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 (breaks one-stop requirement)</w:t>
            </w:r>
          </w:p>
        </w:tc>
      </w:tr>
    </w:tbl>
    <w:p>
      <w:r>
        <w:t>____________________________________________________________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Approach 1: Enrichment Hook Pattern — SELECTED</w:t>
      </w:r>
    </w:p>
    <w:p>
      <w:r>
        <w:rPr>
          <w:rFonts w:ascii="Arial" w:hAnsi="Arial"/>
          <w:b w:val="0"/>
          <w:i w:val="0"/>
          <w:color w:val="000000"/>
          <w:sz w:val="22"/>
        </w:rPr>
        <w:t>RECOMMENDED - All Channels</w:t>
      </w:r>
    </w:p>
    <w:p>
      <w:r>
        <w:rPr>
          <w:rFonts w:ascii="Arial" w:hAnsi="Arial"/>
          <w:b w:val="0"/>
          <w:i w:val="0"/>
          <w:color w:val="000000"/>
          <w:sz w:val="22"/>
        </w:rPr>
        <w:t>Payouts accepts optional TDS fields; makes lightweight sync enrichment call if present; single API for merchants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Core Principle: Single API Call with Minimal Payouts Changes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these fields are present,</w:t>
        <w:br/>
        <w:t xml:space="preserve">      Payouts makes a </w:t>
      </w:r>
      <w:r>
        <w:rPr>
          <w:rFonts w:ascii="Arial" w:hAnsi="Arial"/>
          <w:b/>
          <w:i w:val="0"/>
          <w:color w:val="000000"/>
          <w:sz w:val="22"/>
        </w:rPr>
        <w:t>lightweight synchronous call (~50-100ms)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endpoint.</w:t>
        <w:br/>
        <w:t xml:space="preserve">      Tax-Compliance computes TDS, creates tds_payments entity, and returns enriched data. Payouts uses the enriched</w:t>
        <w:br/>
        <w:t xml:space="preserve">      net_amount for payout creation. </w:t>
      </w:r>
      <w:r>
        <w:rPr>
          <w:rFonts w:ascii="Arial" w:hAnsi="Arial"/>
          <w:b/>
          <w:i w:val="0"/>
          <w:color w:val="000000"/>
          <w:sz w:val="22"/>
        </w:rPr>
        <w:t>Merchants make ONE API call; zero domain leak to Payouts.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approach adds a minimal, optional enrichment hook in Payouts. When TDS fields are absent, Payouts behaves</w:t>
        <w:br/>
        <w:t xml:space="preserve">    exactly as before (zero impact). When TDS fields are present, Payouts delegates computation to Tax-Compliance</w:t>
        <w:br/>
        <w:t xml:space="preserve">    and uses the enriched response.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Key Benefits of Enrichment Hook Pattern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API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Merchants call Payouts API once; enrichment happens internally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enrichment hook; feature-flagged; isolated code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Domain Leak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doesn't know TDS logic; just calls enrichment service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Impact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for TDS payouts only; zero impact for non-TDS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Works for All Payout Types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Dashboard, Bulk, API - same unified approach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Failure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If enrichment fails, payout fails immediately; no partial state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Created synchronously during enrichment; payout_id updated via events</w:t>
            </w:r>
          </w:p>
        </w:tc>
      </w:tr>
    </w:tbl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Channel-by-Channel Flow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Solution to API Payouts Challenge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For </w:t>
      </w:r>
      <w:r>
        <w:rPr>
          <w:rFonts w:ascii="Arial" w:hAnsi="Arial"/>
          <w:b/>
          <w:i w:val="0"/>
          <w:color w:val="000000"/>
          <w:sz w:val="22"/>
        </w:rPr>
        <w:t>API Payouts</w:t>
      </w:r>
      <w:r>
        <w:rPr>
          <w:rFonts w:ascii="Arial" w:hAnsi="Arial"/>
          <w:b w:val="0"/>
          <w:i w:val="0"/>
          <w:color w:val="000000"/>
          <w:sz w:val="22"/>
        </w:rPr>
        <w:t>, merchants only have raw inputs (category, PAN, amount). They don't have</w:t>
        <w:br/>
        <w:t xml:space="preserve">      pre-computed TDS values. The enrichment hook pattern solves this elegantly:</w:t>
        <w:br/>
        <w:t xml:space="preserve">  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Merchants make ONE API call to 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with TDS fields (gross_amount, category_id, apply_ldc).</w:t>
        <w:br/>
        <w:t xml:space="preserve">      Payouts internally calls Tax-Compliance enrichment endpoint (~50-100ms), gets the enriched data, and creates</w:t>
        <w:br/>
        <w:t xml:space="preserve">      the payout. The latency impact (~50-100ms) is acceptable for the following reasons:</w:t>
        <w:br/>
        <w:t xml:space="preserve">   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(UI)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UI calls Payouts with TDS fields → Enrichment hook triggers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hook (~20 LOC); calls Tax-Compliance if TDS fields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For each row: Call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(direct merchant)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calls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</w:tbl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Storage Decision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>The net payout amount is determined by the enrichment response at creation time, ensuring correct money routing immediately.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Changes Required (High-Level)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 (~20 LOC) before payout creation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optional TDS fields to API: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apply_ldc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Tax-Compliance enrichment endpoint if TDS fields present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Store metadata: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flag for gradual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(~20 LOC)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Build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endpoint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TDS, create tds_payments entity (status: PENDING)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Return enriched data: net_amount, tds_amount, rate, 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Build event listener for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Update tds_payments entity (PENDING → SUCCESS/FAILED)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form fields (category, apply_ldc toggle)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Show TDS breakdown to user before confirmation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columns to CSV template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 for each row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Display enriched preview before processing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</w:tbl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for merchants (one-stop solution)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Adds 50-100ms latency for TDS payouts 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 (~20 LOC enrichment hook)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domain leak - Payouts just calls enrichment service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Works for all payout types (Dashboard, Bulk, API)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(available immediately)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failure handling - fail fast, no partial state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Feature-flagged - can be rolled out gradually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Zero impact on non-TDS payouts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can be horizontally scaled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Backward compatible - all TDS fields optional</w:t>
            </w:r>
          </w:p>
        </w:tc>
        <w:tc>
          <w:tcPr>
            <w:tcW w:type="dxa" w:w="4320"/>
          </w:tcPr>
          <w:p/>
        </w:tc>
      </w:tr>
    </w:tbl>
    <w:p>
      <w:r>
        <w:t>____________________________________________________________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Approach 2: TC Gateway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Tax-Compliance orchestrates both TDS computation and payout creation; exposes /v2/payouts endpoint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Tax-Compliance becomes the orchestrator. It exposes a single API endpoint</w:t>
        <w:br/>
        <w:t xml:space="preserve">    that creates both the TDS Payment entity and the payout.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One orchestrated call via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External users call Tax-Compliance instead of Payouts (API surface change)</w:t>
            </w:r>
          </w:p>
        </w:tc>
      </w:tr>
    </w:tbl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returns both TDS Payment ID and Payout 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Reversed S2S call (Tax-Compliance → Payouts adds latency)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entity available synchronously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depends on Payouts (tight coupling)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owns all TDS data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Domain leakage - Tax-Compliance must understand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Kafka topic needed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orchestration logic in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payout support requires significant Tax-Compliance work</w:t>
            </w:r>
          </w:p>
        </w:tc>
      </w:tr>
    </w:tbl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When to Consider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is viable if having the TDS Payment ID synchronously in the API response</w:t>
        <w:br/>
        <w:t xml:space="preserve">      is a hard requirement. However, it introduces orchestration complexity and reverses</w:t>
        <w:br/>
        <w:t xml:space="preserve">      the natural dependency direction (Tax-Compliance calling Payouts).</w:t>
        <w:br/>
        <w:t xml:space="preserve">    </w:t>
      </w:r>
    </w:p>
    <w:p>
      <w:r>
        <w:t>____________________________________________________________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Approach 3: Pre-Compute Pattern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Caller pre-computes TDS via Tax-Compliance first, then calls Payouts separately; two API calls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The caller (UI/BFF or API merchant) makes TWO separate API calls: first to Tax-Compliance to compute TDS</w:t>
        <w:br/>
        <w:t xml:space="preserve">    and create the tds_payments entity, then to Payouts to create the payout with the pre-computed net amount.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62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(TDS compute + payout creation); acceptable for single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Must compute TDS for all rows first, then create payouts; complex workflow with intermediate state management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merchants must make two sequential API calls; breaks one-stop solution requirement</w:t>
            </w:r>
          </w:p>
        </w:tc>
      </w:tr>
    </w:tbl>
    <w:p>
      <w:pPr>
        <w:pStyle w:val="Heading4"/>
        <w:keepNext/>
        <w:spacing w:before="280" w:after="8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S2S coupling between Payouts and 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for merchants (breaks one-stop solution)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(caller sends net amount directly)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workflow for bulk payouts (compute all TDS first, then create payouts)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in first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Poor UX for API merchants (must orchestrate two sequential calls)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separation of concerns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Intermediate state management required (tds_payments in PENDING between calls)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must handle failures in either API call and cleanup orphaned entities</w:t>
            </w:r>
          </w:p>
        </w:tc>
      </w:tr>
    </w:tbl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introduces significant technical debt: latency overhead, service coupling,</w:t>
        <w:br/>
        <w:t xml:space="preserve">      domain leakage, and risky amount mutation. The synchronous S2S call in the critical path</w:t>
        <w:br/>
        <w:t xml:space="preserve">      makes payouts dependent on Tax-Compliance availability.</w:t>
        <w:br/>
        <w:t xml:space="preserve">    </w:t>
      </w:r>
    </w:p>
    <w:p>
      <w:r>
        <w:t>____________________________________________________________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Comparison of All Three Approaches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Merchant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 call (Payouts)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 call (Tax-Compliance)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 calls (Tax then Payouts)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S2S call in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(Payouts→Tax, 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(Tax→Payouts)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added to payout API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(TDS payouts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0ms (but 2 API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Service coupling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(enrichment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Tight (reversed)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code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~20 LOC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 (fields only)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Domain separation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(no TDS logic)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owns payout orchestration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One-stop solution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Wrong API endpoint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(2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created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(enrichment)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Synchronously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(first call)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payouts support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Simple (same flow)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Very complex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Testing complexity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(mock 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Risk to 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(isolated hook)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version change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(optional fields)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(new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Payment ID in response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(but in first call, not payout response)</w:t>
            </w:r>
          </w:p>
        </w:tc>
      </w:tr>
    </w:tbl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Final Decision: Approach 1 —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Approach 1 is selected for all channels</w:t>
      </w:r>
      <w:r>
        <w:rPr>
          <w:rFonts w:ascii="Arial" w:hAnsi="Arial"/>
          <w:b w:val="0"/>
          <w:i w:val="0"/>
          <w:color w:val="000000"/>
          <w:sz w:val="22"/>
        </w:rPr>
        <w:t xml:space="preserve"> (Dashboard, Bulk CSV, API). It provides a </w:t>
      </w:r>
      <w:r>
        <w:rPr>
          <w:rFonts w:ascii="Arial" w:hAnsi="Arial"/>
          <w:b/>
          <w:i w:val="0"/>
          <w:color w:val="000000"/>
          <w:sz w:val="22"/>
        </w:rPr>
        <w:t>one-stop solution</w:t>
      </w:r>
      <w:r>
        <w:rPr>
          <w:rFonts w:ascii="Arial" w:hAnsi="Arial"/>
          <w:b w:val="0"/>
          <w:i w:val="0"/>
          <w:color w:val="000000"/>
          <w:sz w:val="22"/>
        </w:rPr>
        <w:br/>
        <w:t xml:space="preserve">      where merchants make a single API call to Payouts with optional TDS fields. Payouts makes a lightweight enrichment call (~50-100ms)</w:t>
        <w:br/>
        <w:t xml:space="preserve">      to Tax-Compliance if TDS fields are present. This adds minimal code to Payouts (~20 LOC), maintains clean domain separation</w:t>
        <w:br/>
        <w:t xml:space="preserve">      (Payouts doesn't own TDS logic), and works uniformly across all payout types. The TDS Payment entity is created synchronously</w:t>
        <w:br/>
        <w:t xml:space="preserve">      and available immediately in the response.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Trade-offs accepted:</w:t>
      </w:r>
      <w:r>
        <w:rPr>
          <w:rFonts w:ascii="Arial" w:hAnsi="Arial"/>
          <w:b w:val="0"/>
          <w:i w:val="0"/>
          <w:color w:val="000000"/>
          <w:sz w:val="22"/>
        </w:rPr>
        <w:t xml:space="preserve"> +50-100ms latency for TDS payouts only (zero impact on non-TDS payouts); sync dependency</w:t>
        <w:br/>
        <w:t xml:space="preserve">      on Tax-Compliance during payout creation (mitigated via timeouts, circuit breakers, and horizontal scaling).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Section 8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full implementation specification.</w:t>
      </w:r>
    </w:p>
    <w:p>
      <w:r>
        <w:t>____________________________________________________________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8.2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 will expose an internal </w:t>
      </w:r>
      <w:r>
        <w:rPr>
          <w:rFonts w:ascii="Arial" w:hAnsi="Arial"/>
          <w:b w:val="0"/>
          <w:i w:val="0"/>
          <w:color w:val="000000"/>
          <w:sz w:val="22"/>
        </w:rPr>
        <w:t>/internal/tds/enrich</w:t>
      </w:r>
      <w:r>
        <w:rPr>
          <w:rFonts w:ascii="Arial" w:hAnsi="Arial"/>
          <w:b w:val="0"/>
          <w:i w:val="0"/>
          <w:color w:val="000000"/>
          <w:sz w:val="22"/>
        </w:rPr>
        <w:t xml:space="preserve"> endpoint for Payouts to call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call latency is acceptable (~50-100ms) for TDS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Payouts API version stays at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TDS fields (</w:t>
      </w:r>
      <w:r>
        <w:rPr>
          <w:rFonts w:ascii="Arial" w:hAnsi="Arial"/>
          <w:b w:val="0"/>
          <w:i w:val="0"/>
          <w:color w:val="000000"/>
          <w:sz w:val="22"/>
        </w:rPr>
        <w:t>tds_category_id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 w:val="0"/>
          <w:i w:val="0"/>
          <w:color w:val="000000"/>
          <w:sz w:val="22"/>
        </w:rPr>
        <w:t>apply_ldc</w:t>
      </w:r>
      <w:r>
        <w:rPr>
          <w:rFonts w:ascii="Arial" w:hAnsi="Arial"/>
          <w:b w:val="0"/>
          <w:i w:val="0"/>
          <w:color w:val="000000"/>
          <w:sz w:val="22"/>
        </w:rPr>
        <w:t>) are optional extensions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Timeouts and circuit breakers will be implemented to handle Tax-Compliance failures gracefully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8.5 Data Model / Schema Changes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Payouts — New Fields (Low Blast Radius)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Storage Split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tds.source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"bb_plus" — Kafka routing indicator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tds.gross_amount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Original gross amount before TDS deduction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deduction amount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tds.breakdown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breakdown from compute response (basic tax, surcharge, cess, rate)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entity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TDS record for government filing (PAN, amounts, category, payout ref)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Kafka Topic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(new)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BB+ payout reaches terminal state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Non-BB+ TDS payout (unchanged)</w:t>
            </w:r>
          </w:p>
        </w:tc>
      </w:tr>
    </w:tbl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8.6 Business Logic Changes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8.6.1 Payouts Service — Enrichment Hook Logic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key business logic change in Payouts is the </w:t>
      </w:r>
      <w:r>
        <w:rPr>
          <w:rFonts w:ascii="Arial" w:hAnsi="Arial"/>
          <w:b/>
          <w:i w:val="0"/>
          <w:color w:val="000000"/>
          <w:sz w:val="22"/>
        </w:rPr>
        <w:t>enrichment hook</w:t>
      </w:r>
      <w:r>
        <w:rPr>
          <w:rFonts w:ascii="Arial" w:hAnsi="Arial"/>
          <w:b w:val="0"/>
          <w:i w:val="0"/>
          <w:color w:val="000000"/>
          <w:sz w:val="22"/>
        </w:rPr>
        <w:t xml:space="preserve"> that calls Tax-Compliance when TDS fields are present in the payout request. This is implemented as a lightweight, optional hook (~20 LOC) that runs BEFORE payout creation.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Enrichment Flow in Payout Creation Handler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API handler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hook: if TDS fields present, call Tax-Compliance /internal/tds/enrich before creating 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hook; optional (only runs if TDS fields present)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TDSDetails struct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fields: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(int64),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(float),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Additive — no existing code affected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creation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Use enriched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net_amount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from Tax-Compliance response; store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in metadata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— Tax-Compliance computes and returns net amount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Event emission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payout status events carry TDS metadata (tds_payment_id, tds_amount) for Tax-Compliance listener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events or topics; reuses existing event infrastructure</w:t>
            </w:r>
          </w:p>
        </w:tc>
      </w:tr>
    </w:tbl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What Payouts DOES in Enrichment Hook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What Payouts Does NOT Do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8.6.2 Final Recommendation Summary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RECOMMENDED: Approach 1 —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Approach 1 is the recommended solution for all payout types (Single, Bulk, API).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Key Reasons: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8.6.3 Trade-offs Accepted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latency for TDS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call adds S2S integration to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behind feature flag; can be disabled; only ~20 LOC; does not affect core payout logic</w:t>
            </w:r>
          </w:p>
        </w:tc>
      </w:tr>
    </w:tbl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8.7 Miscellaneous Questions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Tax-Compliance enrichment API is down?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enrichment call times out?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creation fails after enrichment?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status event is lost?</w:t>
      </w:r>
      <w:r>
        <w:rPr>
          <w:rFonts w:ascii="Arial" w:hAnsi="Arial"/>
          <w:b w:val="0"/>
          <w:i w:val="0"/>
          <w:color w:val="00000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How do we monitor enrichment health?</w:t>
      </w:r>
      <w:r>
        <w:rPr>
          <w:rFonts w:ascii="Arial" w:hAnsi="Arial"/>
          <w:b w:val="0"/>
          <w:i w:val="0"/>
          <w:color w:val="00000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Does Payouts validate the pre-computed tds_amount?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1: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service changes (fields + topic routing) - </w:t>
      </w:r>
      <w:r>
        <w:rPr>
          <w:rFonts w:ascii="Arial" w:hAnsi="Arial"/>
          <w:b w:val="0"/>
          <w:i/>
          <w:color w:val="000000"/>
          <w:sz w:val="22"/>
        </w:rPr>
        <w:t>Low risk, high value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2: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compute API + Kafka consumer - </w:t>
      </w:r>
      <w:r>
        <w:rPr>
          <w:rFonts w:ascii="Arial" w:hAnsi="Arial"/>
          <w:b w:val="0"/>
          <w:i/>
          <w:color w:val="000000"/>
          <w:sz w:val="22"/>
        </w:rPr>
        <w:t>Independent of Payouts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3: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UI flow (single payout) - </w:t>
      </w:r>
      <w:r>
        <w:rPr>
          <w:rFonts w:ascii="Arial" w:hAnsi="Arial"/>
          <w:b w:val="0"/>
          <w:i/>
          <w:color w:val="000000"/>
          <w:sz w:val="22"/>
        </w:rPr>
        <w:t>First user-facing feature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4:</w:t>
      </w:r>
      <w:r>
        <w:rPr>
          <w:rFonts w:ascii="Arial" w:hAnsi="Arial"/>
          <w:b w:val="0"/>
          <w:i w:val="0"/>
          <w:color w:val="000000"/>
          <w:sz w:val="22"/>
        </w:rPr>
        <w:t xml:space="preserve"> Bulk payout CSV integration - </w:t>
      </w:r>
      <w:r>
        <w:rPr>
          <w:rFonts w:ascii="Arial" w:hAnsi="Arial"/>
          <w:b w:val="0"/>
          <w:i/>
          <w:color w:val="000000"/>
          <w:sz w:val="22"/>
        </w:rPr>
        <w:t>Reuses all prior work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5:</w:t>
      </w:r>
      <w:r>
        <w:rPr>
          <w:rFonts w:ascii="Arial" w:hAnsi="Arial"/>
          <w:b w:val="0"/>
          <w:i w:val="0"/>
          <w:color w:val="000000"/>
          <w:sz w:val="22"/>
        </w:rPr>
        <w:t xml:space="preserve"> API documentation for external integrations - </w:t>
      </w:r>
      <w:r>
        <w:rPr>
          <w:rFonts w:ascii="Arial" w:hAnsi="Arial"/>
          <w:b w:val="0"/>
          <w:i/>
          <w:color w:val="000000"/>
          <w:sz w:val="22"/>
        </w:rPr>
        <w:t>Completes all channels</w:t>
      </w:r>
    </w:p>
    <w:p>
      <w:r>
        <w:t>____________________________________________________________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9. Non-Functional Requirements (NFRs)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9.1 Scalability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must handle peak load during bulk processing concurrently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9.2 Availability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99.9% uptime target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creation (async): Kafka publish → entity creation &lt; 5 seconds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9.3 Security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PII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Deductee PAN encrypted at rest in Tax-Compliance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PAN in Payouts service (only contact_id reference)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PII in logs or Kafka messages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Access Control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API: Authenticated merchants only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API: Existing authentication (no change)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query API: Merchant can only access their own records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Security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Use existing Kafka authentication and authorization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Topic ACLs to restrict publisher/consumer access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9.4 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messages: minimum 7-day retention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PAN data: encrypted at rest in Tax-Compliance; never stored in Payouts or Kafka messages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9.5 Reliability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Daily reconciliation job: detect BB+ payouts with no corresponding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and alert ops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→ Tax-Compliance are fully decoupled — failure in Tax-Compliance does not affect payout creation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9.6 Infra Cost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Kafka topic: minimal cost (messages are lightweight)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Additional Tax-Compliance Kafka consumer: standard pod sizing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No new database tables in Payouts — storage via existing </w:t>
      </w:r>
      <w:r>
        <w:rPr>
          <w:rFonts w:ascii="Arial" w:hAnsi="Arial"/>
          <w:b w:val="0"/>
          <w:i w:val="0"/>
          <w:color w:val="000000"/>
          <w:sz w:val="22"/>
        </w:rPr>
        <w:t>payout_details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JSON column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 xml:space="preserve">10. Agentic Development Spec — Agentic SDLC </w:t>
      </w:r>
      <w:r>
        <w:rPr>
          <w:rFonts w:ascii="Arial" w:hAnsi="Arial"/>
          <w:b/>
          <w:i w:val="0"/>
          <w:color w:val="1155CC"/>
          <w:sz w:val="32"/>
        </w:rPr>
        <w:t>[Mandatory]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10.1 Agent Objective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10.2 Repositories in Scope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razorpay/vendor-payments (Payouts service)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fields + 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+ Kafka consumer + tds_payments entity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10.3 Detailed Implementation Spec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file-level changes, API contracts, struct definitions, and sequence of operations.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10.4 Success Criteria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Both repos boot in devstack without errors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unit tests pass (Payouts +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E2E: BB+ single payout with TDS →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in Tax-Compliance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Bulk CSV with TDS → all rows processed, entities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E2E tests pass (no regression)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10.5 Test Requirements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Unit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field handling, Kafka routing logic in Payouts; compute API, consumer in 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Per repo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Integration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→ Kafka → Tax-Compliance consumer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Cross-service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E2E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flow per channel (UI, Bulk, API)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Devstack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Regression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TDS flows unchanged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suite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10.6 Constraints &amp; Guardrails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Do not modify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new Payouts fields must be optional (backward compatibility)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No PAN in Kafka messages or Payouts logs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Follow existing Payouts and Tax-Compliance coding standards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10.7 Spec Location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color w:val="000000"/>
          <w:sz w:val="22"/>
        </w:rPr>
        <w:t>specs/tds-payout-bb-plus.md</w:t>
      </w:r>
      <w:r>
        <w:rPr>
          <w:rFonts w:ascii="Arial" w:hAnsi="Arial"/>
          <w:b w:val="0"/>
          <w:i w:val="0"/>
          <w:color w:val="000000"/>
          <w:sz w:val="22"/>
        </w:rPr>
        <w:t xml:space="preserve"> in the Tax-Compliance repository (first deliverable before any code).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11. Feature Dependencies &amp; SLAs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11.1 Upstream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Required for TDS compute before payout creation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99.9% / &lt;200ms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 (/v2/payouts)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with new TDS fields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SLA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team</w:t>
            </w:r>
          </w:p>
        </w:tc>
      </w:tr>
    </w:tbl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11.2 Downstream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Kafka Consumer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tds_payments entity from Kafka event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&lt;5s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impact — existing topic/consumer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Data Hub / Analytics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New TDS fields in payout_details JSON; new tds_payments entity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Analytics team</w:t>
            </w:r>
          </w:p>
        </w:tc>
      </w:tr>
    </w:tbl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12. Testing Plan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12.1 Test Cases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single payout with TDS: verify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after payout processed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payout without TDS: 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no event on BB+ topic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Vendor-Payments TDS payout: unchanged routing to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failure → retry → DLQ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applied: verify effective rate and breakdown stored correctly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12.2 UAT Testing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accessible via Tax-Compliance query API.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12.3 Performance / Load Testing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throughput: 1,000 messages/min sustained — lag &lt; 100 messages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13. Go-Live Plan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service: add optional TDS fields + Kafka topic routing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 == "bb_plus"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UI change; fully backward-compatible; Vendor-Payments unaffected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Tax-Compliance: build compute API endpoint + Kafka consumer +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entity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Independent of Payouts; can be tested in isolation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BFF: UI single-payout flow (preview TDS → confirm → create payout)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First user-facing feature; gated behind feature flag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integration: TDS columns in CSV template, row-by-row compute, preview file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Reuses Phase 1 + 2 work; validate with 10,000-row load test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+ external merchant guide for two-call (compute → payout) pattern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Completes all channels; opens API Payouts to BB+ merchants</w:t>
            </w:r>
          </w:p>
        </w:tc>
      </w:tr>
    </w:tbl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Feature Flag Strategy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color w:val="000000"/>
          <w:sz w:val="22"/>
        </w:rPr>
        <w:t>tds_bb_plus_enabled</w:t>
      </w:r>
      <w:r>
        <w:rPr>
          <w:rFonts w:ascii="Arial" w:hAnsi="Arial"/>
          <w:b w:val="0"/>
          <w:i w:val="0"/>
          <w:color w:val="000000"/>
          <w:sz w:val="22"/>
        </w:rPr>
        <w:t>). Phases 1–2 can be merged to main immediately — they are no-ops until the flag is enabled. Phases 3–5 ramp by merchant cohort.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13.2 Backward Compatibility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13.3 Rollback Plan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Feature flag to disable BB+ Kafka routing — falls back to no-op (no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Kafka consumer can be stopped independently with no Payouts impact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14. Monitoring &amp; Logging</w:t>
      </w:r>
    </w:p>
    <w:p>
      <w:pPr>
        <w:pStyle w:val="Heading3"/>
        <w:keepNext/>
        <w:spacing w:before="320" w:after="80"/>
      </w:pPr>
      <w:r>
        <w:rPr>
          <w:rFonts w:ascii="Arial" w:hAnsi="Arial"/>
          <w:b/>
          <w:i w:val="0"/>
          <w:color w:val="1155CC"/>
          <w:sz w:val="28"/>
        </w:rPr>
        <w:t>14.1 Error Handling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Compute API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 creation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Same as existing payout errors (no change)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publish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consumer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Reconciliation:</w:t>
      </w:r>
      <w:r>
        <w:rPr>
          <w:rFonts w:ascii="Arial" w:hAnsi="Arial"/>
          <w:b w:val="0"/>
          <w:i w:val="0"/>
          <w:color w:val="000000"/>
          <w:sz w:val="22"/>
        </w:rPr>
        <w:t xml:space="preserve"> Daily job to detect payouts with TDS but no TDS Payment entity (alert ops team)</w:t>
      </w:r>
    </w:p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15. Milestones &amp; Timelines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Enrichment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Enrichment Hook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 UI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form fields, preview display, Payouts API integration with TDS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&amp;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docs for merchants, gradual rollout via feature flag, monitoring dashboard</w:t>
            </w:r>
          </w:p>
        </w:tc>
      </w:tr>
    </w:tbl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16. Glossary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BB+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LDC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Hook Pattern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Endpoint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internal API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 that computes TDS, creates tds_payments entity, and returns enriched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Gross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Total payment before TDS deduction (e.g., ₹10,000)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Net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Amount actually transferred to vendor after TDS (e.g., ₹9,000)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tds_payments entity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tds_payment_id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DLQ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Dead Letter Queue — Kafka queue for messages that failed after max retries</w:t>
            </w:r>
          </w:p>
        </w:tc>
      </w:tr>
    </w:tbl>
    <w:p>
      <w:r>
        <w:t>____________________________________________________________</w:t>
      </w: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20"/>
      </w:pPr>
      <w:r>
        <w:rPr>
          <w:rFonts w:ascii="Arial" w:hAnsi="Arial"/>
          <w:b/>
          <w:i w:val="0"/>
          <w:color w:val="1155CC"/>
          <w:sz w:val="32"/>
        </w:rPr>
        <w:t>17. Appendix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Documentation</w:t>
        </w:r>
      </w:hyperlink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Note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summary document covers problem statement, approach analysis, and the recommended solution.</w:t>
        <w:br/>
        <w:t xml:space="preserve">      For detailed implementation specifications, API contracts, struct definitions, SQL schemas, codebase analysis,</w:t>
        <w:br/>
        <w:t xml:space="preserve">      and test plans, refer to the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>.</w:t>
        <w:br/>
        <w:t xml:space="preserve">    </w:t>
      </w:r>
    </w:p>
    <w:p>
      <w:r>
        <w:rPr>
          <w:rFonts w:ascii="Arial" w:hAnsi="Arial"/>
          <w:b w:val="0"/>
          <w:i w:val="0"/>
          <w:color w:val="000000"/>
          <w:sz w:val="22"/>
        </w:rPr>
        <w:t>mermaid.initialize({</w:t>
        <w:br/>
        <w:t xml:space="preserve">      startOnLoad: true,</w:t>
        <w:br/>
        <w:t xml:space="preserve">      theme: 'neutral',</w:t>
        <w:br/>
        <w:t xml:space="preserve">      flowchart: { useMaxWidth: true },</w:t>
        <w:br/>
        <w:t xml:space="preserve">      sequence: { useMaxWidth: true }</w:t>
        <w:br/>
        <w:t xml:space="preserve">    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2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155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80" w:after="12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0" w:after="120" w:line="276" w:lineRule="auto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55CC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problem" TargetMode="External"/><Relationship Id="rId10" Type="http://schemas.openxmlformats.org/officeDocument/2006/relationships/hyperlink" Target="#intro" TargetMode="External"/><Relationship Id="rId11" Type="http://schemas.openxmlformats.org/officeDocument/2006/relationships/hyperlink" Target="#out-of-scope" TargetMode="External"/><Relationship Id="rId12" Type="http://schemas.openxmlformats.org/officeDocument/2006/relationships/hyperlink" Target="#future" TargetMode="External"/><Relationship Id="rId13" Type="http://schemas.openxmlformats.org/officeDocument/2006/relationships/hyperlink" Target="#goals" TargetMode="External"/><Relationship Id="rId14" Type="http://schemas.openxmlformats.org/officeDocument/2006/relationships/hyperlink" Target="#domain" TargetMode="External"/><Relationship Id="rId15" Type="http://schemas.openxmlformats.org/officeDocument/2006/relationships/hyperlink" Target="#current-arch" TargetMode="External"/><Relationship Id="rId16" Type="http://schemas.openxmlformats.org/officeDocument/2006/relationships/hyperlink" Target="#final-approach" TargetMode="External"/><Relationship Id="rId17" Type="http://schemas.openxmlformats.org/officeDocument/2006/relationships/hyperlink" Target="#nfrs" TargetMode="External"/><Relationship Id="rId18" Type="http://schemas.openxmlformats.org/officeDocument/2006/relationships/hyperlink" Target="#agentic" TargetMode="External"/><Relationship Id="rId19" Type="http://schemas.openxmlformats.org/officeDocument/2006/relationships/hyperlink" Target="#dependencies" TargetMode="External"/><Relationship Id="rId20" Type="http://schemas.openxmlformats.org/officeDocument/2006/relationships/hyperlink" Target="#testing" TargetMode="External"/><Relationship Id="rId21" Type="http://schemas.openxmlformats.org/officeDocument/2006/relationships/hyperlink" Target="#golive" TargetMode="External"/><Relationship Id="rId22" Type="http://schemas.openxmlformats.org/officeDocument/2006/relationships/hyperlink" Target="#monitoring" TargetMode="External"/><Relationship Id="rId23" Type="http://schemas.openxmlformats.org/officeDocument/2006/relationships/hyperlink" Target="#milestones" TargetMode="External"/><Relationship Id="rId24" Type="http://schemas.openxmlformats.org/officeDocument/2006/relationships/hyperlink" Target="#glossary" TargetMode="External"/><Relationship Id="rId25" Type="http://schemas.openxmlformats.org/officeDocument/2006/relationships/hyperlink" Target="#appendix" TargetMode="External"/><Relationship Id="rId26" Type="http://schemas.openxmlformats.org/officeDocument/2006/relationships/hyperlink" Target="TDS_Payout_Integration_Tech_Spec_Comprehensive.html" TargetMode="External"/><Relationship Id="rId27" Type="http://schemas.openxmlformats.org/officeDocument/2006/relationships/hyperlink" Target="https://flanker-23.github.io/bb-plus-tds-tech-spec/" TargetMode="External"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image" Target="media/image5.png"/><Relationship Id="rId3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