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C6E"/>
          <w:sz w:val="48"/>
        </w:rPr>
        <w:t>TDS Payout Integration for BB+ Platform</w:t>
      </w:r>
    </w:p>
    <w:p>
      <w:pPr>
        <w:jc w:val="center"/>
      </w:pPr>
      <w:r>
        <w:rPr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i/>
          <w:color w:val="94A3B8"/>
          <w:sz w:val="18"/>
        </w:rPr>
        <w:t>Right-click the TOC above → Update Field to refresh page numbers.</w:t>
      </w:r>
    </w:p>
    <w:p>
      <w:r>
        <w:br w:type="page"/>
      </w:r>
    </w:p>
    <w:p>
      <w:r>
        <w:rPr>
          <w:b w:val="0"/>
          <w:i w:val="0"/>
          <w:sz w:val="22"/>
        </w:rPr>
        <w:t>Technical Specification — Summary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Author/s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Prashant Chauhan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Team/Pod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| BU: BB+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Version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9.0 Summary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Published Date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February 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 Problem Statement</w:t>
      </w:r>
    </w:p>
    <w:p>
      <w:pPr>
        <w:pStyle w:val="ListBullet"/>
      </w:pPr>
      <w:r>
        <w:rPr>
          <w:b w:val="0"/>
          <w:i w:val="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b w:val="0"/>
          <w:i w:val="0"/>
          <w:sz w:val="22"/>
        </w:rPr>
        <w:t xml:space="preserve">The existing Payouts service has </w:t>
      </w:r>
      <w:r>
        <w:rPr>
          <w:b/>
          <w:i w:val="0"/>
          <w:sz w:val="22"/>
        </w:rPr>
        <w:t>no TDS compute or tracking capability</w:t>
      </w:r>
      <w:r>
        <w:rPr>
          <w:b w:val="0"/>
          <w:i w:val="0"/>
          <w:sz w:val="22"/>
        </w:rPr>
        <w:t xml:space="preserve"> for BB+ flows.</w:t>
      </w:r>
    </w:p>
    <w:p>
      <w:pPr>
        <w:pStyle w:val="ListBullet"/>
      </w:pPr>
      <w:r>
        <w:rPr>
          <w:b w:val="0"/>
          <w:i w:val="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b w:val="0"/>
          <w:i w:val="0"/>
          <w:sz w:val="22"/>
        </w:rPr>
        <w:t xml:space="preserve">TDS deduction amount must be known </w:t>
      </w:r>
      <w:r>
        <w:rPr>
          <w:b w:val="0"/>
          <w:i/>
          <w:sz w:val="22"/>
        </w:rPr>
        <w:t>at payout creation time</w:t>
      </w:r>
      <w:r>
        <w:rPr>
          <w:b w:val="0"/>
          <w:i w:val="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b w:val="0"/>
          <w:i w:val="0"/>
          <w:sz w:val="22"/>
        </w:rPr>
        <w:t xml:space="preserve">The solution must work uniformly across all three payout channels: </w:t>
      </w:r>
      <w:r>
        <w:rPr>
          <w:b/>
          <w:i w:val="0"/>
          <w:sz w:val="22"/>
        </w:rPr>
        <w:t>Dashboard (UI)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Bulk CSV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Direct API</w:t>
      </w:r>
      <w:r>
        <w:rPr>
          <w:b w:val="0"/>
          <w:i w:val="0"/>
          <w:sz w:val="22"/>
        </w:rPr>
        <w:t>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2. Introduction &amp; Scope</w:t>
      </w:r>
    </w:p>
    <w:p>
      <w:r>
        <w:rPr>
          <w:b w:val="0"/>
          <w:i w:val="0"/>
          <w:sz w:val="22"/>
        </w:rPr>
        <w:t xml:space="preserve"> This document specifies the technical approach for integrating TDS (Tax Deducted at Source) support into the Payouts service for BB+ merchants. It covers the problem, three candidate approaches, the recommended solution, and all downstream considerations. </w:t>
      </w:r>
    </w:p>
    <w:p>
      <w:pPr>
        <w:pStyle w:val="Heading3"/>
      </w:pPr>
      <w:r>
        <w:t>2.1 Tenets</w:t>
      </w:r>
    </w:p>
    <w:p>
      <w:pPr>
        <w:pStyle w:val="ListBullet"/>
      </w:pPr>
      <w:r>
        <w:rPr>
          <w:b/>
          <w:i w:val="0"/>
          <w:sz w:val="22"/>
        </w:rPr>
        <w:t>Payouts stays dumb about TDS computation</w:t>
      </w:r>
      <w:r>
        <w:rPr>
          <w:b w:val="0"/>
          <w:i w:val="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b/>
          <w:i w:val="0"/>
          <w:sz w:val="22"/>
        </w:rPr>
        <w:t>Tax-Compliance owns TDS logic</w:t>
      </w:r>
      <w:r>
        <w:rPr>
          <w:b w:val="0"/>
          <w:i w:val="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b/>
          <w:i w:val="0"/>
          <w:sz w:val="22"/>
        </w:rPr>
        <w:t>Vendor-Payments flows are never impacted</w:t>
      </w:r>
      <w:r>
        <w:rPr>
          <w:b w:val="0"/>
          <w:i w:val="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b/>
          <w:i w:val="0"/>
          <w:sz w:val="22"/>
        </w:rPr>
        <w:t>Backward compatible by default</w:t>
      </w:r>
      <w:r>
        <w:rPr>
          <w:b w:val="0"/>
          <w:i w:val="0"/>
          <w:sz w:val="22"/>
        </w:rPr>
        <w:t xml:space="preserve"> — all new Payouts fields are optional.</w:t>
      </w:r>
    </w:p>
    <w:p>
      <w:pPr>
        <w:pStyle w:val="ListBullet"/>
      </w:pPr>
      <w:r>
        <w:rPr>
          <w:b/>
          <w:i w:val="0"/>
          <w:sz w:val="22"/>
        </w:rPr>
        <w:t>No PII in logs or Kafka messages</w:t>
      </w:r>
      <w:r>
        <w:rPr>
          <w:b w:val="0"/>
          <w:i w:val="0"/>
          <w:sz w:val="22"/>
        </w:rPr>
        <w:t xml:space="preserve"> — PAN stored and encrypted only in Tax-Compliance.</w:t>
      </w:r>
    </w:p>
    <w:p>
      <w:pPr>
        <w:pStyle w:val="Heading3"/>
      </w:pPr>
      <w:r>
        <w:t>2.2 Relevant Resources</w:t>
      </w:r>
    </w:p>
    <w:p>
      <w:pPr>
        <w:pStyle w:val="ListBullet"/>
      </w:pPr>
      <w:r>
        <w:rPr>
          <w:b w:val="0"/>
          <w:i w:val="0"/>
          <w:color w:val="1A73E8"/>
          <w:sz w:val="22"/>
          <w:u w:val="single"/>
        </w:rPr>
        <w:t>Full Technical Specification (detailed implementation)</w:t>
      </w:r>
    </w:p>
    <w:p>
      <w:pPr>
        <w:pStyle w:val="ListBullet"/>
      </w:pPr>
      <w:r>
        <w:rPr>
          <w:b w:val="0"/>
          <w:i w:val="0"/>
          <w:color w:val="1A73E8"/>
          <w:sz w:val="22"/>
          <w:u w:val="single"/>
        </w:rPr>
        <w:t>GitHub Pages — Live Spec</w:t>
      </w:r>
    </w:p>
    <w:p>
      <w:pPr>
        <w:pStyle w:val="Heading3"/>
      </w:pPr>
      <w:r>
        <w:t>2.3 Scope</w:t>
      </w:r>
    </w:p>
    <w:p>
      <w:r>
        <w:rPr>
          <w:b w:val="0"/>
          <w:i w:val="0"/>
          <w:sz w:val="22"/>
        </w:rPr>
        <w:t>In scope for this initiative:</w:t>
      </w:r>
    </w:p>
    <w:p>
      <w:pPr>
        <w:pStyle w:val="ListBullet"/>
      </w:pPr>
      <w:r>
        <w:rPr>
          <w:b w:val="0"/>
          <w:i w:val="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b w:val="0"/>
          <w:i w:val="0"/>
          <w:sz w:val="22"/>
        </w:rPr>
        <w:t>Payouts service: add TDS fields + Kafka topic routing (source = bb_plus)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Tax-Compliance: compute API, Kafka consumer,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creation</w:t>
      </w:r>
    </w:p>
    <w:p>
      <w:pPr>
        <w:pStyle w:val="ListBullet"/>
      </w:pPr>
      <w:r>
        <w:rPr>
          <w:b w:val="0"/>
          <w:i w:val="0"/>
          <w:sz w:val="22"/>
        </w:rPr>
        <w:t>Tax-Compliance as BFF: preview flow, orchestration for UI/Bulk channels</w:t>
      </w:r>
    </w:p>
    <w:p>
      <w:pPr>
        <w:pStyle w:val="Heading3"/>
      </w:pPr>
      <w:r>
        <w:t>1.2 Product Requirement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Seamless Merchant Experience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The product requirement is to provide a </w:t>
      </w:r>
      <w:r>
        <w:rPr>
          <w:b/>
          <w:i w:val="0"/>
          <w:sz w:val="22"/>
        </w:rPr>
        <w:t>seamless experience for merchants using the Payouts API</w:t>
      </w:r>
      <w:r>
        <w:rPr>
          <w:b w:val="0"/>
          <w:i w:val="0"/>
          <w:sz w:val="22"/>
        </w:rPr>
        <w:t xml:space="preserve">, where they can pass minimal details similar to what is currently passed to the compute API.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Key Requirements: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Input:</w:t>
      </w:r>
      <w:r>
        <w:rPr>
          <w:b w:val="0"/>
          <w:i w:val="0"/>
          <w:sz w:val="22"/>
        </w:rPr>
        <w:t xml:space="preserve"> Merchants should provide basic payout details (gross amount, TDS category, contact, etc.) without needing to pre-calculate TDS values themselves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Automatic Calculation:</w:t>
      </w:r>
      <w:r>
        <w:rPr>
          <w:b w:val="0"/>
          <w:i w:val="0"/>
          <w:sz w:val="22"/>
        </w:rPr>
        <w:t xml:space="preserve"> The system should automatically compute TDS amounts based on the provided inputs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Persistence:</w:t>
      </w:r>
      <w:r>
        <w:rPr>
          <w:b w:val="0"/>
          <w:i w:val="0"/>
          <w:sz w:val="22"/>
        </w:rPr>
        <w:t xml:space="preserve"> All TDS-related data should be persisted correctly for compliance and reporting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Unified Flow:</w:t>
      </w:r>
      <w:r>
        <w:rPr>
          <w:b w:val="0"/>
          <w:i w:val="0"/>
          <w:sz w:val="22"/>
        </w:rPr>
        <w:t xml:space="preserve"> The payout should be created seamlessly after TDS calculation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Universal Applicability:</w:t>
      </w:r>
      <w:r>
        <w:rPr>
          <w:b w:val="0"/>
          <w:i w:val="0"/>
          <w:sz w:val="22"/>
        </w:rPr>
        <w:t xml:space="preserve"> This single approach should work consistently across </w:t>
      </w:r>
      <w:r>
        <w:rPr>
          <w:b/>
          <w:i w:val="0"/>
          <w:sz w:val="22"/>
        </w:rPr>
        <w:t>all three payout types</w:t>
      </w:r>
      <w:r>
        <w:rPr>
          <w:b w:val="0"/>
          <w:i w:val="0"/>
          <w:sz w:val="22"/>
        </w:rPr>
        <w:t xml:space="preserve">: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requirement drives the architectural decision to ensure merchants have a consistent, simple interface regardless of how they create payouts, while the system handles all complexity of TDS computation and compliance internally. </w:t>
      </w:r>
    </w:p>
    <w:p>
      <w:pPr>
        <w:spacing w:before="0" w:after="80"/>
      </w:pPr>
    </w:p>
    <w:p>
      <w:pPr>
        <w:pStyle w:val="Heading3"/>
      </w:pPr>
      <w:r>
        <w:t>1.1 Current Problem</w:t>
      </w: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Current State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The existing Payouts service does not support BB+ TDS computation and tracking. We need to integrate TDS functionality while: 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>Not impacting existing Vendor-Payments flows (which have their own TDS handling)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Supporting all payout types: </w:t>
      </w:r>
      <w:r>
        <w:rPr>
          <w:b/>
          <w:i w:val="0"/>
          <w:sz w:val="22"/>
        </w:rPr>
        <w:t>Single Payout (UI)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Bulk Payout (CSV)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API Payouts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>Maintaining clear separation of concerns between Payouts and Tax-Compliance services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>Ensuring data consistency between payout records and TDS filing records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3. Out of Scope</w:t>
      </w:r>
    </w:p>
    <w:p>
      <w:pPr>
        <w:pStyle w:val="ListBullet"/>
      </w:pPr>
      <w:r>
        <w:rPr>
          <w:b w:val="0"/>
          <w:i w:val="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b w:val="0"/>
          <w:i w:val="0"/>
          <w:sz w:val="22"/>
        </w:rPr>
        <w:t>Changes to Vendor-Payments TDS flows (must remain untouched)</w:t>
      </w:r>
    </w:p>
    <w:p>
      <w:pPr>
        <w:pStyle w:val="ListBullet"/>
      </w:pPr>
      <w:r>
        <w:rPr>
          <w:b w:val="0"/>
          <w:i w:val="0"/>
          <w:sz w:val="22"/>
        </w:rPr>
        <w:t>TDS support for non-BB+ merchants in this phase</w:t>
      </w:r>
    </w:p>
    <w:p>
      <w:pPr>
        <w:pStyle w:val="ListBullet"/>
      </w:pPr>
      <w:r>
        <w:rPr>
          <w:b w:val="0"/>
          <w:i w:val="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b w:val="0"/>
          <w:i w:val="0"/>
          <w:sz w:val="22"/>
        </w:rPr>
        <w:t>LDC staleness enforcement between compute and payout creation (accepted trade-off)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4. Futuristic Scope</w:t>
      </w:r>
    </w:p>
    <w:p>
      <w:pPr>
        <w:pStyle w:val="ListBullet"/>
      </w:pPr>
      <w:r>
        <w:rPr>
          <w:b w:val="0"/>
          <w:i w:val="0"/>
          <w:sz w:val="22"/>
        </w:rPr>
        <w:t>Expose TDS Payment ID in payout webhook/response (requires sync entity creation)</w:t>
      </w:r>
    </w:p>
    <w:p>
      <w:pPr>
        <w:pStyle w:val="ListBullet"/>
      </w:pPr>
      <w:r>
        <w:rPr>
          <w:b w:val="0"/>
          <w:i w:val="0"/>
          <w:sz w:val="22"/>
        </w:rPr>
        <w:t>LDC staleness check between compute and payout creation</w:t>
      </w:r>
    </w:p>
    <w:p>
      <w:pPr>
        <w:pStyle w:val="ListBullet"/>
      </w:pPr>
      <w:r>
        <w:rPr>
          <w:b w:val="0"/>
          <w:i w:val="0"/>
          <w:sz w:val="22"/>
        </w:rPr>
        <w:t>Bulk TDS filing dashboard for BB+ merchants</w:t>
      </w:r>
    </w:p>
    <w:p>
      <w:pPr>
        <w:pStyle w:val="ListBullet"/>
      </w:pPr>
      <w:r>
        <w:rPr>
          <w:b w:val="0"/>
          <w:i w:val="0"/>
          <w:sz w:val="22"/>
        </w:rPr>
        <w:t>Extend to non-BB+ merchants using the same Pre-Compute Pattern</w:t>
      </w:r>
    </w:p>
    <w:p>
      <w:pPr>
        <w:pStyle w:val="ListBullet"/>
      </w:pPr>
      <w:r>
        <w:rPr>
          <w:b w:val="0"/>
          <w:i w:val="0"/>
          <w:sz w:val="22"/>
        </w:rPr>
        <w:t>TDS compute caching per merchant/category for performance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5. Assumptions, Goals &amp; Non-Goals</w:t>
      </w:r>
    </w:p>
    <w:p>
      <w:pPr>
        <w:pStyle w:val="Heading3"/>
      </w:pPr>
      <w:r>
        <w:t>5.1 Assumptions</w:t>
      </w:r>
    </w:p>
    <w:p>
      <w:pPr>
        <w:pStyle w:val="ListBullet"/>
      </w:pPr>
      <w:r>
        <w:rPr>
          <w:b w:val="0"/>
          <w:i w:val="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b w:val="0"/>
          <w:i w:val="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b w:val="0"/>
          <w:i w:val="0"/>
          <w:sz w:val="22"/>
        </w:rPr>
        <w:t xml:space="preserve">The Kafka topic </w:t>
      </w:r>
      <w:r>
        <w:rPr>
          <w:rFonts w:ascii="Courier New" w:hAnsi="Courier New"/>
          <w:b w:val="0"/>
          <w:i w:val="0"/>
          <w:sz w:val="22"/>
        </w:rPr>
        <w:t>add-tds-entry-bb-plus</w:t>
      </w:r>
      <w:r>
        <w:rPr>
          <w:b w:val="0"/>
          <w:i w:val="0"/>
          <w:sz w:val="22"/>
        </w:rPr>
        <w:t xml:space="preserve"> is new and owned by Tax-Compliance consumer</w:t>
      </w:r>
    </w:p>
    <w:p>
      <w:pPr>
        <w:pStyle w:val="ListBullet"/>
      </w:pPr>
      <w:r>
        <w:rPr>
          <w:b w:val="0"/>
          <w:i w:val="0"/>
          <w:sz w:val="22"/>
        </w:rPr>
        <w:t xml:space="preserve">The </w:t>
      </w:r>
      <w:r>
        <w:rPr>
          <w:rFonts w:ascii="Courier New" w:hAnsi="Courier New"/>
          <w:b w:val="0"/>
          <w:i w:val="0"/>
          <w:sz w:val="22"/>
        </w:rPr>
        <w:t>source = "bb_plus"</w:t>
      </w:r>
      <w:r>
        <w:rPr>
          <w:b w:val="0"/>
          <w:i w:val="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b w:val="0"/>
          <w:i w:val="0"/>
          <w:sz w:val="22"/>
        </w:rPr>
        <w:t>LDC certificate validity between compute and payout creation is acceptable (seconds gap in practice)</w:t>
      </w:r>
    </w:p>
    <w:p>
      <w:pPr>
        <w:pStyle w:val="Heading3"/>
      </w:pPr>
      <w:r>
        <w:t>5.2 Goals</w:t>
      </w:r>
    </w:p>
    <w:p>
      <w:pPr>
        <w:pStyle w:val="ListBullet"/>
      </w:pPr>
      <w:r>
        <w:rPr>
          <w:b w:val="0"/>
          <w:i w:val="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b w:val="0"/>
          <w:i w:val="0"/>
          <w:sz w:val="22"/>
        </w:rPr>
        <w:t>Zero latency added to the Payouts API critical path</w:t>
      </w:r>
    </w:p>
    <w:p>
      <w:pPr>
        <w:pStyle w:val="ListBullet"/>
      </w:pPr>
      <w:r>
        <w:rPr>
          <w:b w:val="0"/>
          <w:i w:val="0"/>
          <w:sz w:val="22"/>
        </w:rPr>
        <w:t>Minimal, isolated changes to Payouts (fields + routing only)</w:t>
      </w:r>
    </w:p>
    <w:p>
      <w:pPr>
        <w:pStyle w:val="ListBullet"/>
      </w:pPr>
      <w:r>
        <w:rPr>
          <w:b w:val="0"/>
          <w:i w:val="0"/>
          <w:sz w:val="22"/>
        </w:rPr>
        <w:t xml:space="preserve">Clean domain ownership: Tax-Compliance owns compute and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</w:t>
      </w:r>
    </w:p>
    <w:p>
      <w:pPr>
        <w:pStyle w:val="ListBullet"/>
      </w:pPr>
      <w:r>
        <w:rPr>
          <w:b w:val="0"/>
          <w:i w:val="0"/>
          <w:sz w:val="22"/>
        </w:rPr>
        <w:t>Backward compatible — existing Payouts and Vendor-Payments flows unchanged</w:t>
      </w:r>
    </w:p>
    <w:p>
      <w:pPr>
        <w:pStyle w:val="Heading3"/>
      </w:pPr>
      <w:r>
        <w:t>5.3 Non-Goals</w:t>
      </w:r>
    </w:p>
    <w:p>
      <w:pPr>
        <w:pStyle w:val="ListBullet"/>
      </w:pPr>
      <w:r>
        <w:rPr>
          <w:b w:val="0"/>
          <w:i w:val="0"/>
          <w:sz w:val="22"/>
        </w:rPr>
        <w:t>Building TDS compute logic inside the Payouts service</w:t>
      </w:r>
    </w:p>
    <w:p>
      <w:pPr>
        <w:pStyle w:val="ListBullet"/>
      </w:pPr>
      <w:r>
        <w:rPr>
          <w:b w:val="0"/>
          <w:i w:val="0"/>
          <w:sz w:val="22"/>
        </w:rPr>
        <w:t xml:space="preserve">Synchronous creation of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at payout creation time</w:t>
      </w:r>
    </w:p>
    <w:p>
      <w:pPr>
        <w:pStyle w:val="ListBullet"/>
      </w:pPr>
      <w:r>
        <w:rPr>
          <w:b w:val="0"/>
          <w:i w:val="0"/>
          <w:sz w:val="22"/>
        </w:rPr>
        <w:t>Changing any Vendor-Payments Kafka topics or consumer logic</w:t>
      </w:r>
    </w:p>
    <w:p>
      <w:pPr>
        <w:pStyle w:val="ListBullet"/>
      </w:pPr>
      <w:r>
        <w:rPr>
          <w:b w:val="0"/>
          <w:i w:val="0"/>
          <w:sz w:val="22"/>
        </w:rPr>
        <w:t xml:space="preserve">Modifying the public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API (changes go to internal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only)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6. Domain Design</w:t>
      </w:r>
    </w:p>
    <w:p>
      <w:pPr>
        <w:pStyle w:val="Heading3"/>
      </w:pPr>
      <w:r>
        <w:t>6.1 Services Involved</w:t>
      </w:r>
    </w:p>
    <w:p>
      <w:pPr>
        <w:pStyle w:val="Heading3"/>
      </w:pPr>
      <w:r>
        <w:t>1.4 Services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 based on category, rate, and LDC status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Manages TDS Payment entities for compliance and filing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Validates TDS categories and PAN details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Creates payout records for net amount to vendor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Processes fund transfers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Emits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Stores TDS information for audit trail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 (BFF)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Acts as BFF — the only backend the UI talks to for TDS flows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TDS, orchestrates payout creation, presents data to merchants</w:t>
            </w:r>
          </w:p>
        </w:tc>
      </w:tr>
    </w:tbl>
    <w:p/>
    <w:p>
      <w:pPr>
        <w:pStyle w:val="Heading3"/>
      </w:pPr>
      <w:r>
        <w:t>6.2 Amount Relationship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Key Formula</w:t>
      </w:r>
    </w:p>
    <w:p>
      <w:pPr>
        <w:spacing w:before="0" w:after="80"/>
      </w:pPr>
    </w:p>
    <w:p>
      <w:pPr>
        <w:pStyle w:val="Heading3"/>
      </w:pPr>
      <w:r>
        <w:t>6.3 Key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The payment to vendor (net amount after TDS deduction)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payout_details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TDS information (category, amounts, breakdown) stored as JSON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record for government filing (includes deductee PAN, amounts, category details)</w:t>
            </w:r>
          </w:p>
        </w:tc>
      </w:tr>
    </w:tbl>
    <w:p/>
    <w:p>
      <w:pPr>
        <w:pStyle w:val="Heading3"/>
      </w:pPr>
      <w:r>
        <w:t>6.4 Coverage: All Payout Types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creates one payout via Tax-Compliance UI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Preview TDS breakdown before confirming; one compute call per payout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Merchant uploads CSV with multiple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integrates via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Same pattern as UI - caller computes TDS first, then creates payout with pre-computed values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7. Current Architecture / Current HLD</w:t>
      </w: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Current State — No BB+ TDS Support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sz w:val="22"/>
        </w:rPr>
        <w:t>tds</w:t>
      </w:r>
      <w:r>
        <w:rPr>
          <w:b w:val="0"/>
          <w:i w:val="0"/>
          <w:sz w:val="22"/>
        </w:rPr>
        <w:t xml:space="preserve"> struct in </w:t>
      </w:r>
      <w:r>
        <w:rPr>
          <w:rFonts w:ascii="Courier New" w:hAnsi="Courier New"/>
          <w:b w:val="0"/>
          <w:i w:val="0"/>
          <w:sz w:val="22"/>
        </w:rPr>
        <w:t>TDSDetails</w:t>
      </w:r>
      <w:r>
        <w:rPr>
          <w:b w:val="0"/>
          <w:i w:val="0"/>
          <w:sz w:val="22"/>
        </w:rPr>
        <w:t xml:space="preserve"> used exclusively by </w:t>
      </w:r>
      <w:r>
        <w:rPr>
          <w:b/>
          <w:i w:val="0"/>
          <w:sz w:val="22"/>
        </w:rPr>
        <w:t>Vendor-Payments</w:t>
      </w:r>
      <w:r>
        <w:rPr>
          <w:b w:val="0"/>
          <w:i w:val="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amount</w:t>
      </w:r>
      <w:r>
        <w:rPr>
          <w:b w:val="0"/>
          <w:i w:val="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sz w:val="22"/>
        </w:rPr>
        <w:t>source = vendor_payments</w:t>
      </w:r>
      <w:r>
        <w:rPr>
          <w:b w:val="0"/>
          <w:i w:val="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topic, consumed by Vendor-Payments to create a TDS record.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There is </w:t>
      </w:r>
      <w:r>
        <w:rPr>
          <w:b/>
          <w:i w:val="0"/>
          <w:sz w:val="22"/>
        </w:rPr>
        <w:t>no equivalent flow for BB+</w:t>
      </w:r>
      <w:r>
        <w:rPr>
          <w:b w:val="0"/>
          <w:i w:val="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creation triggered by payout events.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category_id + amount (Vendor-Payments only)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source, gross_amount, breakdown fields for BB+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Kafka routing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All TDS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BB+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Compute API exists for preview; no Kafka consumer for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Kafka consumer for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+ entity creation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BFF / UI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BB+ TDS payout creation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to orchestrate compute + payout creation for UI/Bulk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8. Final Approach — Specifications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Selected: Approach 3 — Pre-Compute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Tax-Compliance (BFF) pre-computes TDS </w:t>
      </w:r>
      <w:r>
        <w:rPr>
          <w:b w:val="0"/>
          <w:i/>
          <w:sz w:val="22"/>
        </w:rPr>
        <w:t>before</w:t>
      </w:r>
      <w:r>
        <w:rPr>
          <w:b w:val="0"/>
          <w:i w:val="0"/>
          <w:sz w:val="22"/>
        </w:rPr>
        <w:t xml:space="preserve"> calling Payouts. Payouts receives pre-computed values, stores them as primitive fields, and routes to the correct Kafka topic. Tax-Compliance creates the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asynchronously via Kafka consumer. </w:t>
      </w:r>
      <w:r>
        <w:rPr>
          <w:b/>
          <w:i w:val="0"/>
          <w:sz w:val="22"/>
        </w:rPr>
        <w:t>Payouts never calls Tax-Compliance.</w:t>
      </w:r>
    </w:p>
    <w:p>
      <w:pPr>
        <w:spacing w:before="0" w:after="80"/>
      </w:pPr>
    </w:p>
    <w:p>
      <w:pPr>
        <w:pStyle w:val="Heading2"/>
      </w:pPr>
      <w:r>
        <w:t>8.1 List of Possible Solutions</w:t>
      </w:r>
    </w:p>
    <w:p>
      <w:r>
        <w:rPr>
          <w:b w:val="0"/>
          <w:i w:val="0"/>
          <w:sz w:val="22"/>
        </w:rPr>
        <w:t>Three approaches were evaluated. Only the final selected approach (Approach 3) is detailed here. Approaches 1 and 2 are documented below for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1. Inline Compute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calls Tax-Compliance synchronously during payout creation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— Payouts→Tax-Compliance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Not Recommended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2. TC Orchestrated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calls Payouts (reversed S2S); creates TDS entity synchronously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— Tax-Compliance→Payouts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Alternative only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3. Pre-Compute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pre-computes TDS via Tax-Compliance, passes values to Payouts; no S2S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✓ Selected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Approach 1: Inline Compute Pattern (Not Recommended)</w:t>
      </w:r>
    </w:p>
    <w:p>
      <w:r>
        <w:rPr>
          <w:i/>
          <w:sz w:val="20"/>
        </w:rPr>
        <w:t>Not Recommended — Payout API accepts TDS inputs; Payouts calls Tax-Compliance internally (S2S); async TDS entity creation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The Payouts service accepts TDS computation inputs (gross amount, category, contact details) and internally calls the Tax-Compliance service to compute TDS before creating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 to merchant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Create Payout:</w:t>
      </w:r>
      <w:r>
        <w:rPr>
          <w:b w:val="0"/>
          <w:i w:val="0"/>
          <w:sz w:val="22"/>
        </w:rPr>
        <w:t xml:space="preserve"> Tax-Compliance sends TDS inputs to Payouts API with gross 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Inline Compute:</w:t>
      </w:r>
      <w:r>
        <w:rPr>
          <w:b w:val="0"/>
          <w:i w:val="0"/>
          <w:sz w:val="22"/>
        </w:rPr>
        <w:t xml:space="preserve"> Payouts makes S2S call to Tax-Compliance compute API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Amount Derivation:</w:t>
      </w:r>
      <w:r>
        <w:rPr>
          <w:b w:val="0"/>
          <w:i w:val="0"/>
          <w:sz w:val="22"/>
        </w:rPr>
        <w:t xml:space="preserve"> Payouts derives net amount (gross - TDS) and stores payout with net 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Async TDS Entity:</w:t>
      </w:r>
      <w:r>
        <w:rPr>
          <w:b w:val="0"/>
          <w:i w:val="0"/>
          <w:sz w:val="22"/>
        </w:rPr>
        <w:t xml:space="preserve"> When payout reaches terminal state, Payouts publishes to Kafka; Tax-Compliance creates TDS Payment entity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07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71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S2S call per payout (+50-200ms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S2S call for every row during payout creation (high latency for bulk operations)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API users pay latency cost; service coupling creates reliability risk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for merchant/caller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S2S call adds 50-200ms latency to every payout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 and TDS data stored atomically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fails if Tax-Compliance is down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Simple integration for frontend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Payouts must understand TDS computation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Amount mutation (gross→net) is risky and error-prone</w:t>
            </w:r>
          </w:p>
        </w:tc>
      </w:tr>
      <w:tr>
        <w:tc>
          <w:tcPr>
            <w:tcW w:type="dxa" w:w="4703"/>
            <w:shd w:val="clear" w:color="auto" w:fill="FFFFFF"/>
          </w:tcPr>
          <w:p/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Payment entity created asynchronously (not in API response)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High testing complexity (must mock Tax-Compliance in all tests)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Why Not Recommended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introduces significant technical debt: latency overhead, service coupling, domain leakage, and risky amount mutation. The synchronous S2S call in the critical path makes payouts dependent on Tax-Compliance availability.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2: Tax-Compliance Orchestrated (Alternative)</w:t>
      </w:r>
    </w:p>
    <w:p>
      <w:r>
        <w:rPr>
          <w:i/>
          <w:sz w:val="20"/>
        </w:rPr>
        <w:t>Alternative — Tax-Compliance orchestrates both TDS computation and payout creation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Tax-Compliance becomes the orchestrator. It exposes a single API endpoint that creates both the TDS Payment entity and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Single API Call:</w:t>
      </w:r>
      <w:r>
        <w:rPr>
          <w:b w:val="0"/>
          <w:i w:val="0"/>
          <w:sz w:val="22"/>
        </w:rPr>
        <w:t xml:space="preserve"> UI calls Tax-Compliance payout creation API (not Payouts directly)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Orchestration: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Status Sync:</w:t>
      </w:r>
      <w:r>
        <w:rPr>
          <w:b w:val="0"/>
          <w:i w:val="0"/>
          <w:sz w:val="22"/>
        </w:rPr>
        <w:t xml:space="preserve"> Tax-Compliance listens to payout status updates via existing Kafka topic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orchestrated call via Tax-Compliance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users call Tax-Compliance instead of Payouts (API surface change)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returns both TDS Payment ID and Payout 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Reversed S2S call (Tax-Compliance → Payouts adds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Payment entity available synchronously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depends on Payouts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owns all TDS data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Tax-Compliance must understand payout creation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new Kafka topic needed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Complex orchestration logic in Tax-Compliance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Bulk payout support requires significant Tax-Compliance work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When to Consider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is viable if having the TDS Payment ID synchronously in the API response is a hard requirement. However, it introduces orchestration complexity and reverses the natural dependency direction (Tax-Compliance calling Payouts).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3: Pre-Compute Pattern — SELECTED</w:t>
      </w:r>
    </w:p>
    <w:p>
      <w:r>
        <w:rPr>
          <w:i/>
          <w:sz w:val="20"/>
        </w:rPr>
        <w:t>RECOMMENDED - All Channels — Tax-Compliance (BFF) pre-computes TDS; Payouts receives pre-computed values; minimal changes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BFF = Tax-Compliance Only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In BB+ TDS flows, </w:t>
      </w:r>
      <w:r>
        <w:rPr>
          <w:b/>
          <w:i w:val="0"/>
          <w:sz w:val="22"/>
        </w:rPr>
        <w:t>Tax-Compliance is the only BFF</w:t>
      </w:r>
      <w:r>
        <w:rPr>
          <w:b w:val="0"/>
          <w:i w:val="0"/>
          <w:sz w:val="22"/>
        </w:rPr>
        <w:t>. There is no separate Dashboard/BFF service. The UI talks to Tax-Compliance; Tax-Compliance orchestrates compute and payout creation.</w:t>
      </w:r>
    </w:p>
    <w:p>
      <w:pPr>
        <w:spacing w:before="0" w:after="80"/>
      </w:pP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Core Principle: Keep Payouts Dumb About TDS Computation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should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call Tax-Compliance during payout creation. Instead, the caller (Tax-Compliance for UI flows, or API client for programmatic) pre-computes TDS by calling Tax-Compliance first, then passes the pre-computed values to Payouts. Payouts simply stores these values and routes to the correct Kafka topic. 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This approach separates TDS computation from payout creation, following the same pattern already used by Vendor-Payments.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Compute TDS (Before Payout):</w:t>
      </w:r>
      <w:r>
        <w:rPr>
          <w:b w:val="0"/>
          <w:i w:val="0"/>
          <w:sz w:val="22"/>
        </w:rPr>
        <w:t xml:space="preserve"> Tax-Compliance (BFF) computes TDS internally; for API clients, they call Tax-Compliance compute API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Display Preview:</w:t>
      </w:r>
      <w:r>
        <w:rPr>
          <w:b w:val="0"/>
          <w:i w:val="0"/>
          <w:sz w:val="22"/>
        </w:rPr>
        <w:t xml:space="preserve"> Tax-Compliance shows merchant the TDS breakdown (gross, TDS, net)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Create Payout:</w:t>
      </w:r>
      <w:r>
        <w:rPr>
          <w:b w:val="0"/>
          <w:i w:val="0"/>
          <w:sz w:val="22"/>
        </w:rPr>
        <w:t xml:space="preserve"> Tax-Compliance (or API client) sends pre-computed values to Payouts API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Storage:</w:t>
      </w:r>
      <w:r>
        <w:rPr>
          <w:b w:val="0"/>
          <w:i w:val="0"/>
          <w:sz w:val="22"/>
        </w:rPr>
        <w:t xml:space="preserve"> Payouts stores payout (net amount) + all TDS fields in payout_details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Kafka Routing:</w:t>
      </w:r>
      <w:r>
        <w:rPr>
          <w:b w:val="0"/>
          <w:i w:val="0"/>
          <w:sz w:val="22"/>
        </w:rPr>
        <w:t xml:space="preserve"> When payout reaches terminal state, Payouts checks </w:t>
      </w:r>
      <w:r>
        <w:rPr>
          <w:rFonts w:ascii="Courier New" w:hAnsi="Courier New"/>
          <w:b w:val="0"/>
          <w:i w:val="0"/>
          <w:sz w:val="22"/>
        </w:rPr>
        <w:t>source</w:t>
      </w:r>
      <w:r>
        <w:rPr>
          <w:b w:val="0"/>
          <w:i w:val="0"/>
          <w:sz w:val="22"/>
        </w:rPr>
        <w:t xml:space="preserve"> field: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Async TDS Entity:</w:t>
      </w:r>
      <w:r>
        <w:rPr>
          <w:b w:val="0"/>
          <w:i w:val="0"/>
          <w:sz w:val="22"/>
        </w:rPr>
        <w:t xml:space="preserve"> Tax-Compliance consumer creates TDS Payment entity from Kafka message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7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5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Key Differences from Approach 1 (Inline)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1 (Inline)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3 (Pre-Compute)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Computation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calls Tax-Compliance (S2S)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pre-computes before payout creation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S2S Call in Payout API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- blocking (+50-200ms)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- zero latency added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Amount Handling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Mutates params.Amount (gross→net)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sends NET amount directly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Failure Coupling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fails if Tax-Compliance down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separate from payout creation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Code Changes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High (client, compute logic)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 (add fields + topic routing)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Domain Separation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Leaks to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 - Tax-Compliance owns compute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Channel-by-Channel Flow</w:t>
      </w: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Core Design Tension — API Payouts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In Dashboard and Bulk flows, TDS compute values are known </w:t>
      </w:r>
      <w:r>
        <w:rPr>
          <w:b/>
          <w:i w:val="0"/>
          <w:sz w:val="22"/>
        </w:rPr>
        <w:t>before</w:t>
      </w:r>
      <w:r>
        <w:rPr>
          <w:b w:val="0"/>
          <w:i w:val="0"/>
          <w:sz w:val="22"/>
        </w:rPr>
        <w:t xml:space="preserve"> the payout request is made — Tax-Compliance (BFF) computes and passes them in. For direct </w:t>
      </w:r>
      <w:r>
        <w:rPr>
          <w:b/>
          <w:i w:val="0"/>
          <w:sz w:val="22"/>
        </w:rPr>
        <w:t>API Payouts</w:t>
      </w:r>
      <w:r>
        <w:rPr>
          <w:b w:val="0"/>
          <w:i w:val="0"/>
          <w:sz w:val="22"/>
        </w:rPr>
        <w:t xml:space="preserve">, the merchant only has raw inputs (category, PAN, amount). TDS compute values are </w:t>
      </w:r>
      <w:r>
        <w:rPr>
          <w:b w:val="0"/>
          <w:i/>
          <w:sz w:val="22"/>
        </w:rPr>
        <w:t>not</w:t>
      </w:r>
      <w:r>
        <w:rPr>
          <w:b w:val="0"/>
          <w:i w:val="0"/>
          <w:sz w:val="22"/>
        </w:rPr>
        <w:t xml:space="preserve"> yet available. 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If Payouts calls Tax-Compliance synchronously</w:t>
      </w:r>
      <w:r>
        <w:rPr>
          <w:b w:val="0"/>
          <w:i w:val="0"/>
          <w:sz w:val="22"/>
        </w:rPr>
        <w:t xml:space="preserve"> for API payouts: adds latency (+~200ms p95), creates availability coupling (Payouts fails if Tax-Compliance is down), and increases Payouts blast radius (new S2S integration). This is </w:t>
      </w:r>
      <w:r>
        <w:rPr>
          <w:b/>
          <w:i w:val="0"/>
          <w:sz w:val="22"/>
        </w:rPr>
        <w:t>rejected</w:t>
      </w:r>
      <w:r>
        <w:rPr>
          <w:b w:val="0"/>
          <w:i w:val="0"/>
          <w:sz w:val="22"/>
        </w:rPr>
        <w:t xml:space="preserve">. 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Resolution:</w:t>
      </w:r>
      <w:r>
        <w:rPr>
          <w:b w:val="0"/>
          <w:i w:val="0"/>
          <w:sz w:val="22"/>
        </w:rPr>
        <w:t xml:space="preserve"> Tax-Compliance exposes a public compute endpoint. API merchants make two calls (compute → create payout), passing pre-computed values — identical to the Dashboard/Bulk pattern. Payouts </w:t>
      </w:r>
      <w:r>
        <w:rPr>
          <w:b w:val="0"/>
          <w:i/>
          <w:sz w:val="22"/>
        </w:rPr>
        <w:t>never</w:t>
      </w:r>
      <w:r>
        <w:rPr>
          <w:b w:val="0"/>
          <w:i w:val="0"/>
          <w:sz w:val="22"/>
        </w:rPr>
        <w:t xml:space="preserve"> calls Tax-Compliance. 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TDS values available at payout time?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(UI)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— user filled form, compute shown as preview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(BFF)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Accept + store 4 fields; route to Kafka topic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— computed row-by-row during parse, preview before confirm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(BFF)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(direct merchant)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— merchant has only raw inputs (category, PAN, amount)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calls Tax-Compliance compute API first</w:t>
            </w:r>
          </w:p>
        </w:tc>
        <w:tc>
          <w:tcPr>
            <w:tcW w:type="dxa" w:w="2351"/>
          </w:tcPr>
          <w:p/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Storage Decision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Payouts stores: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Primitive fields only —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tds_category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payee_pan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source</w:t>
      </w:r>
      <w:r>
        <w:rPr>
          <w:b w:val="0"/>
          <w:i w:val="0"/>
          <w:sz w:val="22"/>
        </w:rPr>
        <w:t xml:space="preserve"> (new columns on payout row). No new entity, no Tax-Compliance integration.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created asynchronously from the Kafka event after payout completion. Kafka event carries the primitive fields.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 net payout amount is determined by the pre-computed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 at creation time, so money routing is correct before the async entity creation.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1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18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6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6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31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1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Changes Required (High-Level)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Add optional fields to TDSDetails struct: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source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gross_amount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breakdown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Add topic routing logic in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ProcessTdsForPayout()</w:t>
            </w:r>
            <w:r>
              <w:rPr>
                <w:b w:val="0"/>
                <w:i w:val="0"/>
                <w:sz w:val="22"/>
              </w:rPr>
              <w:t xml:space="preserve"> based on source field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Store BB+ fields in payout_details JSON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Build/enhance compute API endpoint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Build Kafka consumer for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topic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Create TDS Payment entities from Kafka messages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 (BFF)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 TDS before payout creation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Display TDS breakdown in preview to merchant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Pass pre-computed values to Payouts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Tax-Compliance (Bulk)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columns to CSV template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Tax-Compliance computes TDS per row during parsing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Generate preview file with TDS breakdown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Zero latency added to payout API (no S2S call)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Two separate API calls (compute, then create payout)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decoupled from Tax-Compliance availability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LDC certificate could expire between compute and payout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 Payouts changes (just fields + routing)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(BFF) must orchestrate two-step flow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amount mutation - caller sends NET directly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Clean domain separation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Backward compatible - all new fields optional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Easy testing - no Tax-Compliance mock needed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Same pattern as existing Vendor-Payments flow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Works seamlessly for all payout types (single, bulk, API)</w:t>
            </w:r>
          </w:p>
        </w:tc>
        <w:tc>
          <w:tcPr>
            <w:tcW w:type="dxa" w:w="4703"/>
            <w:shd w:val="clear" w:color="auto" w:fill="FFFFFF"/>
          </w:tcPr>
          <w:p/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Comparison of All Three Approaches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1: Inline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2: Orchestrated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3: Pre-Compute ✓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S2S call in payout creation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(Payouts→Tax)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(Tax→Payouts)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Latency added to payout API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+50-200ms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+50-200ms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0ms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Service coupling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Tight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Tight (reversed)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Loose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Amount mutation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(risky)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code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Domain separation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Leaks to 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Leaks to Tax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Testing complexity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payouts support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Complex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Very complex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Simple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version change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Maybe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 Payment ID in response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(async)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(sync)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(async)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8.2 Assumptions</w:t>
      </w:r>
    </w:p>
    <w:p>
      <w:pPr>
        <w:pStyle w:val="ListBullet"/>
      </w:pPr>
      <w:r>
        <w:rPr>
          <w:b w:val="0"/>
          <w:i w:val="0"/>
          <w:sz w:val="22"/>
        </w:rPr>
        <w:t>Tax-Compliance compute API will expose a public endpoint for BB+ merchants (Step 1 for API payout channel)</w:t>
      </w:r>
    </w:p>
    <w:p>
      <w:pPr>
        <w:pStyle w:val="ListBullet"/>
      </w:pPr>
      <w:r>
        <w:rPr>
          <w:b w:val="0"/>
          <w:i w:val="0"/>
          <w:sz w:val="22"/>
        </w:rPr>
        <w:t xml:space="preserve">The </w:t>
      </w:r>
      <w:r>
        <w:rPr>
          <w:rFonts w:ascii="Courier New" w:hAnsi="Courier New"/>
          <w:b w:val="0"/>
          <w:i w:val="0"/>
          <w:sz w:val="22"/>
        </w:rPr>
        <w:t>source = "bb_plus"</w:t>
      </w:r>
      <w:r>
        <w:rPr>
          <w:b w:val="0"/>
          <w:i w:val="0"/>
          <w:sz w:val="22"/>
        </w:rPr>
        <w:t xml:space="preserve"> field uniquely identifies BB+ payouts for Kafka routing</w:t>
      </w:r>
    </w:p>
    <w:p>
      <w:pPr>
        <w:pStyle w:val="ListBullet"/>
      </w:pPr>
      <w:r>
        <w:rPr>
          <w:b w:val="0"/>
          <w:i w:val="0"/>
          <w:sz w:val="22"/>
        </w:rPr>
        <w:t>LDC validity check between compute and payout creation is not enforced in this phase (seconds gap is acceptable)</w:t>
      </w:r>
    </w:p>
    <w:p>
      <w:pPr>
        <w:pStyle w:val="ListBullet"/>
      </w:pPr>
      <w:r>
        <w:rPr>
          <w:b w:val="0"/>
          <w:i w:val="0"/>
          <w:sz w:val="22"/>
        </w:rPr>
        <w:t xml:space="preserve">Payouts API version stays at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— all new BB+ fields are optional extensions</w:t>
      </w:r>
    </w:p>
    <w:p>
      <w:pPr>
        <w:pStyle w:val="ListBullet"/>
      </w:pPr>
      <w:r>
        <w:rPr>
          <w:b w:val="0"/>
          <w:i w:val="0"/>
          <w:sz w:val="22"/>
        </w:rPr>
        <w:t>Tax-Compliance Kafka consumer is idempotent — safe to retry on failure</w:t>
      </w:r>
    </w:p>
    <w:p>
      <w:pPr>
        <w:pStyle w:val="Heading2"/>
      </w:pPr>
      <w:r>
        <w:t>8.5 Data Model / Schema Changes</w:t>
      </w:r>
    </w:p>
    <w:p>
      <w:pPr>
        <w:pStyle w:val="Heading3"/>
      </w:pPr>
      <w:r>
        <w:t>Payouts — New Fields (Low Blast Radius)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Storage Split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Primitive fields only —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tds_category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payee_pan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source</w:t>
      </w:r>
      <w:r>
        <w:rPr>
          <w:b w:val="0"/>
          <w:i w:val="0"/>
          <w:sz w:val="22"/>
        </w:rPr>
        <w:t xml:space="preserve"> added to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JSON. No new entity, no Tax-Compliance call at creation time.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asynchronously from the Kafka event after payout completion. All audit fields carried in the Kafka message.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tds.source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"bb_plus" — Kafka routing indicator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tds.gross_amount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int64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Original gross amount before TDS deduction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tds.amount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float64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(existing)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deduction amount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tds.breakdown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JSON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Full breakdown from compute response (basic tax, surcharge, cess, rate)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entity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TDS record for government filing (PAN, amounts, category, payout ref)</w:t>
            </w:r>
          </w:p>
        </w:tc>
      </w:tr>
    </w:tbl>
    <w:p/>
    <w:p>
      <w:pPr>
        <w:pStyle w:val="Heading3"/>
      </w:pPr>
      <w:r>
        <w:t>Kafka Topic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(new)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BB+ payout reaches terminal state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  <w:r>
              <w:rPr>
                <w:b w:val="0"/>
                <w:i w:val="0"/>
                <w:sz w:val="22"/>
              </w:rPr>
              <w:t xml:space="preserve"> (existing)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Non-BB+ TDS payout (unchanged)</w:t>
            </w:r>
          </w:p>
        </w:tc>
      </w:tr>
    </w:tbl>
    <w:p/>
    <w:p>
      <w:pPr>
        <w:pStyle w:val="Heading2"/>
      </w:pPr>
      <w:r>
        <w:t>8.6 Business Logic Changes</w:t>
      </w:r>
    </w:p>
    <w:p>
      <w:pPr>
        <w:pStyle w:val="Heading2"/>
      </w:pPr>
      <w:r>
        <w:t>8.6.2 Final Recommendation Summary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RECOMMENDED: Approach 3 — Pre-Compute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3 is the recommended solution for all payout types (Single, Bulk, API).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Zero latency overhead:</w:t>
      </w:r>
      <w:r>
        <w:rPr>
          <w:b w:val="0"/>
          <w:i w:val="0"/>
          <w:sz w:val="22"/>
        </w:rPr>
        <w:t xml:space="preserve"> No S2S call in payout creation critical path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Failure isolation:</w:t>
      </w:r>
      <w:r>
        <w:rPr>
          <w:b w:val="0"/>
          <w:i w:val="0"/>
          <w:sz w:val="22"/>
        </w:rPr>
        <w:t xml:space="preserve"> Payouts doesn't fail if Tax-Compliance is down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Payouts changes:</w:t>
      </w:r>
      <w:r>
        <w:rPr>
          <w:b w:val="0"/>
          <w:i w:val="0"/>
          <w:sz w:val="22"/>
        </w:rPr>
        <w:t xml:space="preserve"> Only add fields + topic routing (low risk, low effort)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domain separation:</w:t>
      </w:r>
      <w:r>
        <w:rPr>
          <w:b w:val="0"/>
          <w:i w:val="0"/>
          <w:sz w:val="22"/>
        </w:rPr>
        <w:t xml:space="preserve"> Tax-Compliance owns computation; Payouts owns payout processing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No amount mutation:</w:t>
      </w:r>
      <w:r>
        <w:rPr>
          <w:b w:val="0"/>
          <w:i w:val="0"/>
          <w:sz w:val="22"/>
        </w:rPr>
        <w:t xml:space="preserve"> Caller sends NET amount directly (less error-prone)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Easy testing:</w:t>
      </w:r>
      <w:r>
        <w:rPr>
          <w:b w:val="0"/>
          <w:i w:val="0"/>
          <w:sz w:val="22"/>
        </w:rPr>
        <w:t xml:space="preserve"> No need to mock Tax-Compliance in Payouts tests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Proven pattern:</w:t>
      </w:r>
      <w:r>
        <w:rPr>
          <w:b w:val="0"/>
          <w:i w:val="0"/>
          <w:sz w:val="22"/>
        </w:rPr>
        <w:t xml:space="preserve"> Same approach used by existing Vendor-Payments flow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Backward compatible:</w:t>
      </w:r>
      <w:r>
        <w:rPr>
          <w:b w:val="0"/>
          <w:i w:val="0"/>
          <w:sz w:val="22"/>
        </w:rPr>
        <w:t xml:space="preserve"> All new fields are optional; no API version change needed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Scales to all channels:</w:t>
      </w:r>
      <w:r>
        <w:rPr>
          <w:b w:val="0"/>
          <w:i w:val="0"/>
          <w:sz w:val="22"/>
        </w:rPr>
        <w:t xml:space="preserve"> Works uniformly for UI, Bulk CSV, and API integrations</w:t>
      </w:r>
    </w:p>
    <w:p>
      <w:pPr>
        <w:spacing w:before="0" w:after="80"/>
      </w:pPr>
    </w:p>
    <w:p>
      <w:pPr>
        <w:pStyle w:val="Heading3"/>
      </w:pPr>
      <w:r>
        <w:t>8.6.3 Trade-offs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Two API calls required (compute, then create)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(BFF) handles orchestration; merchants see single flow in UI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Payment ID not available in payout API response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creates entity asynchronously; ID available via query API if needed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LDC certificate could expire between compute and payout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Unlikely in practice (seconds between calls); can add staleness check if needed</w:t>
            </w:r>
          </w:p>
        </w:tc>
      </w:tr>
    </w:tbl>
    <w:p/>
    <w:p>
      <w:pPr>
        <w:pStyle w:val="Heading2"/>
      </w:pPr>
      <w:r>
        <w:t>8.7 Miscellaneous Questions</w:t>
      </w:r>
    </w:p>
    <w:p>
      <w:pPr>
        <w:pStyle w:val="ListBullet"/>
      </w:pPr>
      <w:r>
        <w:rPr>
          <w:b/>
          <w:i w:val="0"/>
          <w:sz w:val="22"/>
        </w:rPr>
        <w:t>What if Tax-Compliance compute API is down?</w:t>
      </w:r>
      <w:r>
        <w:rPr>
          <w:b w:val="0"/>
          <w:i w:val="0"/>
          <w:sz w:val="22"/>
        </w:rPr>
        <w:t xml:space="preserve"> — Preview fails; no new BB+ TDS payouts can be created until it recovers. Existing non-TDS payouts are unaffected.</w:t>
      </w:r>
    </w:p>
    <w:p>
      <w:pPr>
        <w:pStyle w:val="ListBullet"/>
      </w:pPr>
      <w:r>
        <w:rPr>
          <w:b/>
          <w:i w:val="0"/>
          <w:sz w:val="22"/>
        </w:rPr>
        <w:t>What if Kafka publish fails?</w:t>
      </w:r>
      <w:r>
        <w:rPr>
          <w:b w:val="0"/>
          <w:i w:val="0"/>
          <w:sz w:val="22"/>
        </w:rPr>
        <w:t xml:space="preserve"> — Outbox pattern ensures at-least-once delivery.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is created on retry.</w:t>
      </w:r>
    </w:p>
    <w:p>
      <w:pPr>
        <w:pStyle w:val="ListBullet"/>
      </w:pPr>
      <w:r>
        <w:rPr>
          <w:b/>
          <w:i w:val="0"/>
          <w:sz w:val="22"/>
        </w:rPr>
        <w:t>How do we detect payout-to-tds_payment gaps?</w:t>
      </w:r>
      <w:r>
        <w:rPr>
          <w:b w:val="0"/>
          <w:i w:val="0"/>
          <w:sz w:val="22"/>
        </w:rPr>
        <w:t xml:space="preserve"> — Daily reconciliation job in Tax-Compliance detects BB+ payouts (via Payouts query API) that have no corresponding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entity.</w:t>
      </w:r>
    </w:p>
    <w:p>
      <w:pPr>
        <w:pStyle w:val="ListBullet"/>
      </w:pPr>
      <w:r>
        <w:rPr>
          <w:b/>
          <w:i w:val="0"/>
          <w:sz w:val="22"/>
        </w:rPr>
        <w:t>Does Payouts validate the pre-computed tds_amount?</w:t>
      </w:r>
      <w:r>
        <w:rPr>
          <w:b w:val="0"/>
          <w:i w:val="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</w:pPr>
      <w:r>
        <w:t>13.1 Production Rollout and Ramp Plan</w:t>
      </w:r>
    </w:p>
    <w:p>
      <w:pPr>
        <w:pStyle w:val="ListNumber"/>
      </w:pPr>
      <w:r>
        <w:rPr>
          <w:b/>
          <w:i w:val="0"/>
          <w:sz w:val="22"/>
        </w:rPr>
        <w:t>Phase 1:</w:t>
      </w:r>
      <w:r>
        <w:rPr>
          <w:b w:val="0"/>
          <w:i w:val="0"/>
          <w:sz w:val="22"/>
        </w:rPr>
        <w:t xml:space="preserve"> Payouts service changes (fields + topic routing) - </w:t>
      </w:r>
      <w:r>
        <w:rPr>
          <w:b w:val="0"/>
          <w:i/>
          <w:sz w:val="22"/>
        </w:rPr>
        <w:t>Low risk, high value</w:t>
      </w:r>
    </w:p>
    <w:p>
      <w:pPr>
        <w:pStyle w:val="ListNumber"/>
      </w:pPr>
      <w:r>
        <w:rPr>
          <w:b/>
          <w:i w:val="0"/>
          <w:sz w:val="22"/>
        </w:rPr>
        <w:t>Phase 2:</w:t>
      </w:r>
      <w:r>
        <w:rPr>
          <w:b w:val="0"/>
          <w:i w:val="0"/>
          <w:sz w:val="22"/>
        </w:rPr>
        <w:t xml:space="preserve"> Tax-Compliance compute API + Kafka consumer - </w:t>
      </w:r>
      <w:r>
        <w:rPr>
          <w:b w:val="0"/>
          <w:i/>
          <w:sz w:val="22"/>
        </w:rPr>
        <w:t>Independent of Payouts</w:t>
      </w:r>
    </w:p>
    <w:p>
      <w:pPr>
        <w:pStyle w:val="ListNumber"/>
      </w:pPr>
      <w:r>
        <w:rPr>
          <w:b/>
          <w:i w:val="0"/>
          <w:sz w:val="22"/>
        </w:rPr>
        <w:t>Phase 3:</w:t>
      </w:r>
      <w:r>
        <w:rPr>
          <w:b w:val="0"/>
          <w:i w:val="0"/>
          <w:sz w:val="22"/>
        </w:rPr>
        <w:t xml:space="preserve"> Tax-Compliance UI flow (single payout) - </w:t>
      </w:r>
      <w:r>
        <w:rPr>
          <w:b w:val="0"/>
          <w:i/>
          <w:sz w:val="22"/>
        </w:rPr>
        <w:t>First user-facing feature</w:t>
      </w:r>
    </w:p>
    <w:p>
      <w:pPr>
        <w:pStyle w:val="ListNumber"/>
      </w:pPr>
      <w:r>
        <w:rPr>
          <w:b/>
          <w:i w:val="0"/>
          <w:sz w:val="22"/>
        </w:rPr>
        <w:t>Phase 4:</w:t>
      </w:r>
      <w:r>
        <w:rPr>
          <w:b w:val="0"/>
          <w:i w:val="0"/>
          <w:sz w:val="22"/>
        </w:rPr>
        <w:t xml:space="preserve"> Bulk payout CSV integration - </w:t>
      </w:r>
      <w:r>
        <w:rPr>
          <w:b w:val="0"/>
          <w:i/>
          <w:sz w:val="22"/>
        </w:rPr>
        <w:t>Reuses all prior work</w:t>
      </w:r>
    </w:p>
    <w:p>
      <w:pPr>
        <w:pStyle w:val="ListNumber"/>
      </w:pPr>
      <w:r>
        <w:rPr>
          <w:b/>
          <w:i w:val="0"/>
          <w:sz w:val="22"/>
        </w:rPr>
        <w:t>Phase 5:</w:t>
      </w:r>
      <w:r>
        <w:rPr>
          <w:b w:val="0"/>
          <w:i w:val="0"/>
          <w:sz w:val="22"/>
        </w:rPr>
        <w:t xml:space="preserve"> API documentation for external integrations - </w:t>
      </w:r>
      <w:r>
        <w:rPr>
          <w:b w:val="0"/>
          <w:i/>
          <w:sz w:val="22"/>
        </w:rPr>
        <w:t>Completes all channels</w:t>
      </w:r>
    </w:p>
    <w:p>
      <w:pPr>
        <w:pBdr>
          <w:bottom w:val="single" w:sz="6" w:color="E2E8F0"/>
        </w:pBdr>
      </w:pPr>
    </w:p>
    <w:p>
      <w:pPr>
        <w:pBdr>
          <w:bottom w:val="single" w:sz="6" w:color="E2E8F0"/>
        </w:pBdr>
      </w:pPr>
    </w:p>
    <w:p>
      <w:pPr>
        <w:pStyle w:val="Heading2"/>
      </w:pPr>
      <w:r>
        <w:t>9. Non-Functional Requirements (NFRs)</w:t>
      </w:r>
    </w:p>
    <w:p>
      <w:pPr>
        <w:pStyle w:val="Heading3"/>
      </w:pPr>
      <w:r>
        <w:t>9.1 Scalability</w:t>
      </w:r>
    </w:p>
    <w:p>
      <w:pPr>
        <w:pStyle w:val="ListBullet"/>
      </w:pPr>
      <w:r>
        <w:rPr>
          <w:b w:val="0"/>
          <w:i w:val="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b w:val="0"/>
          <w:i w:val="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b w:val="0"/>
          <w:i w:val="0"/>
          <w:sz w:val="22"/>
        </w:rPr>
        <w:t>Tax-Compliance compute API: must handle peak load during bulk processing concurrently</w:t>
      </w:r>
    </w:p>
    <w:p>
      <w:pPr>
        <w:pStyle w:val="Heading3"/>
      </w:pPr>
      <w:r>
        <w:t>9.2 Availability</w:t>
      </w:r>
    </w:p>
    <w:p>
      <w:pPr>
        <w:pStyle w:val="ListBullet"/>
      </w:pPr>
      <w:r>
        <w:rPr>
          <w:b w:val="0"/>
          <w:i w:val="0"/>
          <w:sz w:val="22"/>
        </w:rPr>
        <w:t>Tax-Compliance compute API: 99.9% uptime target</w:t>
      </w:r>
    </w:p>
    <w:p>
      <w:pPr>
        <w:pStyle w:val="ListBullet"/>
      </w:pPr>
      <w:r>
        <w:rPr>
          <w:b w:val="0"/>
          <w:i w:val="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b w:val="0"/>
          <w:i w:val="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b w:val="0"/>
          <w:i w:val="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b w:val="0"/>
          <w:i w:val="0"/>
          <w:sz w:val="22"/>
        </w:rPr>
        <w:t>TDS Payment creation (async): Kafka publish → entity creation &lt; 5 seconds</w:t>
      </w:r>
    </w:p>
    <w:p>
      <w:pPr>
        <w:pStyle w:val="Heading3"/>
      </w:pPr>
      <w:r>
        <w:t>9.3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PII Handling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Deductee PAN encrypted at rest in Tax-Compliance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PAN in Payouts service (only contact_id reference)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PII in logs or Kafka messages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Access Control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Tax-Compliance compute API: Authenticated merchants only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Payouts API: Existing authentication (no change)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TDS Payment query API: Merchant can only access their own records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Kafka Security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Use existing Kafka authentication and authorization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Topic ACLs to restrict publisher/consumer access</w:t>
            </w:r>
          </w:p>
        </w:tc>
      </w:tr>
    </w:tbl>
    <w:p/>
    <w:p>
      <w:pPr>
        <w:pStyle w:val="Heading3"/>
      </w:pPr>
      <w:r>
        <w:t>9.4 Compliance</w:t>
      </w:r>
    </w:p>
    <w:p>
      <w:pPr>
        <w:pStyle w:val="ListBullet"/>
      </w:pPr>
      <w:r>
        <w:rPr>
          <w:b w:val="0"/>
          <w:i w:val="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b w:val="0"/>
          <w:i w:val="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b w:val="0"/>
          <w:i w:val="0"/>
          <w:sz w:val="22"/>
        </w:rPr>
        <w:t>Kafka messages: minimum 7-day retention</w:t>
      </w:r>
    </w:p>
    <w:p>
      <w:pPr>
        <w:pStyle w:val="ListBullet"/>
      </w:pPr>
      <w:r>
        <w:rPr>
          <w:b w:val="0"/>
          <w:i w:val="0"/>
          <w:sz w:val="22"/>
        </w:rPr>
        <w:t>PAN data: encrypted at rest in Tax-Compliance; never stored in Payouts or Kafka messages</w:t>
      </w:r>
    </w:p>
    <w:p>
      <w:pPr>
        <w:pStyle w:val="Heading3"/>
      </w:pPr>
      <w:r>
        <w:t>9.5 Reliability</w:t>
      </w:r>
    </w:p>
    <w:p>
      <w:pPr>
        <w:pStyle w:val="ListBullet"/>
      </w:pPr>
      <w:r>
        <w:rPr>
          <w:b w:val="0"/>
          <w:i w:val="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b w:val="0"/>
          <w:i w:val="0"/>
          <w:sz w:val="22"/>
        </w:rPr>
        <w:t xml:space="preserve">Daily reconciliation job: detect BB+ payouts with no corresponding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and alert ops</w:t>
      </w:r>
    </w:p>
    <w:p>
      <w:pPr>
        <w:pStyle w:val="ListBullet"/>
      </w:pPr>
      <w:r>
        <w:rPr>
          <w:b w:val="0"/>
          <w:i w:val="0"/>
          <w:sz w:val="22"/>
        </w:rPr>
        <w:t>Payouts → Tax-Compliance are fully decoupled — failure in Tax-Compliance does not affect payout creation</w:t>
      </w:r>
    </w:p>
    <w:p>
      <w:pPr>
        <w:pStyle w:val="Heading3"/>
      </w:pPr>
      <w:r>
        <w:t>9.6 Infra Cost</w:t>
      </w:r>
    </w:p>
    <w:p>
      <w:pPr>
        <w:pStyle w:val="ListBullet"/>
      </w:pPr>
      <w:r>
        <w:rPr>
          <w:b w:val="0"/>
          <w:i w:val="0"/>
          <w:sz w:val="22"/>
        </w:rPr>
        <w:t>New Kafka topic: minimal cost (messages are lightweight)</w:t>
      </w:r>
    </w:p>
    <w:p>
      <w:pPr>
        <w:pStyle w:val="ListBullet"/>
      </w:pPr>
      <w:r>
        <w:rPr>
          <w:b w:val="0"/>
          <w:i w:val="0"/>
          <w:sz w:val="22"/>
        </w:rPr>
        <w:t>Additional Tax-Compliance Kafka consumer: standard pod sizing</w:t>
      </w:r>
    </w:p>
    <w:p>
      <w:pPr>
        <w:pStyle w:val="ListBullet"/>
      </w:pPr>
      <w:r>
        <w:rPr>
          <w:b w:val="0"/>
          <w:i w:val="0"/>
          <w:sz w:val="22"/>
        </w:rPr>
        <w:t xml:space="preserve">No new database tables in Payouts — storage via existing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 column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10. Agentic Development Spec — Agentic SDLC[Mandatory]</w:t>
      </w:r>
    </w:p>
    <w:p>
      <w:pPr>
        <w:pStyle w:val="Heading3"/>
      </w:pPr>
      <w:r>
        <w:t>10.1 Agent Objective</w:t>
      </w:r>
    </w:p>
    <w:p>
      <w:r>
        <w:rPr>
          <w:b w:val="0"/>
          <w:i w:val="0"/>
          <w:sz w:val="22"/>
        </w:rPr>
        <w:t xml:space="preserve">Implement the Pre-Compute Pattern (Approach 3) end-to-end across the Payouts and Tax-Compliance services. "Done" means: BB+ merchants can create TDS payouts via UI, Bulk CSV, and API;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entities are created in Tax-Compliance; Vendor-Payments flows are unaffected.</w:t>
      </w:r>
    </w:p>
    <w:p>
      <w:pPr>
        <w:pStyle w:val="Heading3"/>
      </w:pPr>
      <w:r>
        <w:t>10.2 Repositories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razorpay/vendor-payments (Payouts service)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 TDS fields + Kafka routing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razorpay/tax-compliance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API + Kafka consumer + tds_payments entity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</w:tbl>
    <w:p/>
    <w:p>
      <w:pPr>
        <w:pStyle w:val="Heading3"/>
      </w:pPr>
      <w:r>
        <w:t>10.3 Detailed Implementation Spec</w:t>
      </w:r>
    </w:p>
    <w:p>
      <w:r>
        <w:rPr>
          <w:b w:val="0"/>
          <w:i w:val="0"/>
          <w:sz w:val="22"/>
        </w:rPr>
        <w:t xml:space="preserve">See </w:t>
      </w:r>
      <w:r>
        <w:rPr>
          <w:b w:val="0"/>
          <w:i w:val="0"/>
          <w:color w:val="1A73E8"/>
          <w:sz w:val="22"/>
          <w:u w:val="single"/>
        </w:rPr>
        <w:t>Full Technical Specification — Section 11: Codebase Analysis &amp; Implementation Plan</w:t>
      </w:r>
      <w:r>
        <w:rPr>
          <w:b w:val="0"/>
          <w:i w:val="0"/>
          <w:sz w:val="22"/>
        </w:rPr>
        <w:t xml:space="preserve"> for file-level changes, API contracts, struct definitions, and sequence of operations.</w:t>
      </w:r>
    </w:p>
    <w:p>
      <w:pPr>
        <w:pStyle w:val="Heading3"/>
      </w:pPr>
      <w:r>
        <w:t>10.4 Success Criteria</w:t>
      </w:r>
    </w:p>
    <w:p>
      <w:pPr>
        <w:pStyle w:val="ListBullet"/>
      </w:pPr>
      <w:r>
        <w:rPr>
          <w:b w:val="0"/>
          <w:i w:val="0"/>
          <w:sz w:val="22"/>
        </w:rPr>
        <w:t>Both repos boot in devstack without errors</w:t>
      </w:r>
    </w:p>
    <w:p>
      <w:pPr>
        <w:pStyle w:val="ListBullet"/>
      </w:pPr>
      <w:r>
        <w:rPr>
          <w:b w:val="0"/>
          <w:i w:val="0"/>
          <w:sz w:val="22"/>
        </w:rPr>
        <w:t>All unit tests pass (Payouts + Tax-Compliance)</w:t>
      </w:r>
    </w:p>
    <w:p>
      <w:pPr>
        <w:pStyle w:val="ListBullet"/>
      </w:pPr>
      <w:r>
        <w:rPr>
          <w:b w:val="0"/>
          <w:i w:val="0"/>
          <w:sz w:val="22"/>
        </w:rPr>
        <w:t xml:space="preserve">E2E: BB+ single payout with TDS →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in Tax-Compliance</w:t>
      </w:r>
    </w:p>
    <w:p>
      <w:pPr>
        <w:pStyle w:val="ListBullet"/>
      </w:pPr>
      <w:r>
        <w:rPr>
          <w:b w:val="0"/>
          <w:i w:val="0"/>
          <w:sz w:val="22"/>
        </w:rPr>
        <w:t>E2E: Bulk CSV with TDS → all rows processed, entities created</w:t>
      </w:r>
    </w:p>
    <w:p>
      <w:pPr>
        <w:pStyle w:val="ListBullet"/>
      </w:pPr>
      <w:r>
        <w:rPr>
          <w:b w:val="0"/>
          <w:i w:val="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b w:val="0"/>
          <w:i w:val="0"/>
          <w:sz w:val="22"/>
        </w:rPr>
        <w:t>Vendor-Payments E2E tests pass (no regression)</w:t>
      </w:r>
    </w:p>
    <w:p>
      <w:pPr>
        <w:pStyle w:val="Heading3"/>
      </w:pPr>
      <w:r>
        <w:t>10.5 Test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Unit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field handling, Kafka routing logic in Payouts; compute API, consumer in 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Per repo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Integration Tests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→ Kafka → Tax-Compliance consumer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Cross-service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E2E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flow per channel (UI, Bulk, API)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Devstack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Regression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TDS flows unchanged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suite</w:t>
            </w:r>
          </w:p>
        </w:tc>
      </w:tr>
    </w:tbl>
    <w:p/>
    <w:p>
      <w:pPr>
        <w:pStyle w:val="Heading3"/>
      </w:pPr>
      <w:r>
        <w:t>10.6 Constraints &amp; Guardrails</w:t>
      </w:r>
    </w:p>
    <w:p>
      <w:pPr>
        <w:pStyle w:val="ListBullet"/>
      </w:pPr>
      <w:r>
        <w:rPr>
          <w:b w:val="0"/>
          <w:i w:val="0"/>
          <w:sz w:val="22"/>
        </w:rPr>
        <w:t xml:space="preserve">Do not modify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b w:val="0"/>
          <w:i w:val="0"/>
          <w:sz w:val="22"/>
        </w:rPr>
        <w:t>All new Payouts fields must be optional (backward compatibility)</w:t>
      </w:r>
    </w:p>
    <w:p>
      <w:pPr>
        <w:pStyle w:val="ListBullet"/>
      </w:pPr>
      <w:r>
        <w:rPr>
          <w:b w:val="0"/>
          <w:i w:val="0"/>
          <w:sz w:val="22"/>
        </w:rPr>
        <w:t>No PAN in Kafka messages or Payouts logs</w:t>
      </w:r>
    </w:p>
    <w:p>
      <w:pPr>
        <w:pStyle w:val="ListBullet"/>
      </w:pPr>
      <w:r>
        <w:rPr>
          <w:b w:val="0"/>
          <w:i w:val="0"/>
          <w:sz w:val="22"/>
        </w:rPr>
        <w:t>Follow existing Payouts and Tax-Compliance coding standards</w:t>
      </w:r>
    </w:p>
    <w:p>
      <w:pPr>
        <w:pStyle w:val="Heading3"/>
      </w:pPr>
      <w:r>
        <w:t>10.7 Spec Location</w:t>
      </w:r>
    </w:p>
    <w:p>
      <w:r>
        <w:rPr>
          <w:b w:val="0"/>
          <w:i w:val="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sz w:val="22"/>
        </w:rPr>
        <w:t>specs/tds-payout-bb-plus.md</w:t>
      </w:r>
      <w:r>
        <w:rPr>
          <w:b w:val="0"/>
          <w:i w:val="0"/>
          <w:sz w:val="22"/>
        </w:rPr>
        <w:t xml:space="preserve"> in the Tax-Compliance repository (first deliverable before any code).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11. Feature Dependencies &amp; SLAs</w:t>
      </w:r>
    </w:p>
    <w:p>
      <w:pPr>
        <w:pStyle w:val="Heading3"/>
      </w:pPr>
      <w:r>
        <w:t>11.1 Upstream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Compute API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Required for TDS compute before payout creation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99.9% / &lt;200ms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API (/v2/payouts)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with new TDS fields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SLA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team</w:t>
            </w:r>
          </w:p>
        </w:tc>
      </w:tr>
    </w:tbl>
    <w:p/>
    <w:p>
      <w:pPr>
        <w:pStyle w:val="Heading3"/>
      </w:pPr>
      <w:r>
        <w:t>11.2 Downstream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Kafka Consumer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Creates tds_payments entity from Kafka event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&lt;5s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impact — existing topic/consumer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team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Data Hub / Analytics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New TDS fields in payout_details JSON; new tds_payments entity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Analytics team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12. Testing Plan</w:t>
      </w:r>
    </w:p>
    <w:p>
      <w:pPr>
        <w:pStyle w:val="Heading3"/>
      </w:pPr>
      <w:r>
        <w:t>12.1 Test Cases</w:t>
      </w:r>
    </w:p>
    <w:p>
      <w:pPr>
        <w:pStyle w:val="ListBullet"/>
      </w:pPr>
      <w:r>
        <w:rPr>
          <w:b w:val="0"/>
          <w:i w:val="0"/>
          <w:sz w:val="22"/>
        </w:rPr>
        <w:t xml:space="preserve">BB+ single payout with TDS: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after payout processed</w:t>
      </w:r>
    </w:p>
    <w:p>
      <w:pPr>
        <w:pStyle w:val="ListBullet"/>
      </w:pPr>
      <w:r>
        <w:rPr>
          <w:b w:val="0"/>
          <w:i w:val="0"/>
          <w:sz w:val="22"/>
        </w:rPr>
        <w:t xml:space="preserve">BB+ payout without TDS: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no event on BB+ topic</w:t>
      </w:r>
    </w:p>
    <w:p>
      <w:pPr>
        <w:pStyle w:val="ListBullet"/>
      </w:pPr>
      <w:r>
        <w:rPr>
          <w:b w:val="0"/>
          <w:i w:val="0"/>
          <w:sz w:val="22"/>
        </w:rPr>
        <w:t xml:space="preserve">Vendor-Payments TDS payout: unchanged routing to </w:t>
      </w:r>
      <w:r>
        <w:rPr>
          <w:rFonts w:ascii="Courier New" w:hAnsi="Courier New"/>
          <w:b w:val="0"/>
          <w:i w:val="0"/>
          <w:sz w:val="22"/>
        </w:rPr>
        <w:t>add-tds-entry</w:t>
      </w:r>
    </w:p>
    <w:p>
      <w:pPr>
        <w:pStyle w:val="ListBullet"/>
      </w:pPr>
      <w:r>
        <w:rPr>
          <w:b w:val="0"/>
          <w:i w:val="0"/>
          <w:sz w:val="22"/>
        </w:rPr>
        <w:t>Kafka consumer failure → retry → DLQ</w:t>
      </w:r>
    </w:p>
    <w:p>
      <w:pPr>
        <w:pStyle w:val="ListBullet"/>
      </w:pPr>
      <w:r>
        <w:rPr>
          <w:b w:val="0"/>
          <w:i w:val="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b w:val="0"/>
          <w:i w:val="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b w:val="0"/>
          <w:i w:val="0"/>
          <w:sz w:val="22"/>
        </w:rPr>
        <w:t>LDC applied: verify effective rate and breakdown stored correctly</w:t>
      </w:r>
    </w:p>
    <w:p>
      <w:pPr>
        <w:pStyle w:val="Heading3"/>
      </w:pPr>
      <w:r>
        <w:t>12.2 UAT Testing</w:t>
      </w:r>
    </w:p>
    <w:p>
      <w:r>
        <w:rPr>
          <w:b w:val="0"/>
          <w:i w:val="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accessible via Tax-Compliance query API.</w:t>
      </w:r>
    </w:p>
    <w:p>
      <w:pPr>
        <w:pStyle w:val="Heading3"/>
      </w:pPr>
      <w:r>
        <w:t>12.3 Performance / Load Testing</w:t>
      </w:r>
    </w:p>
    <w:p>
      <w:pPr>
        <w:pStyle w:val="ListBullet"/>
      </w:pPr>
      <w:r>
        <w:rPr>
          <w:b w:val="0"/>
          <w:i w:val="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b w:val="0"/>
          <w:i w:val="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b w:val="0"/>
          <w:i w:val="0"/>
          <w:sz w:val="22"/>
        </w:rPr>
        <w:t>Kafka consumer throughput: 1,000 messages/min sustained — lag &lt; 100 messages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13. Go-Live Plan</w:t>
      </w:r>
    </w:p>
    <w:p>
      <w:pPr>
        <w:pStyle w:val="Heading3"/>
      </w:pPr>
      <w:r>
        <w:t>13.1 Production Rollout and Ramp Plan</w:t>
      </w:r>
    </w:p>
    <w:p>
      <w:pPr>
        <w:pStyle w:val="Heading3"/>
      </w:pPr>
      <w:r>
        <w:t>8.2 Observability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Metrics &amp; Monitoring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 Compute API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Request count, latency (p50, p95, p99)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Error rate by error type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LDC application rate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Payouts API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TDS payout count (source = bb_plus)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Kafka publish success/failure rate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Kafka Consumer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Consumer lag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Message processing rate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DLQ message count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TDS Payment creation success/failure rate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Alerting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 API error rate &gt; 5%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Kafka consumer lag &gt; 1000 messages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DLQ messages present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Payout-to-TDS-Payment reconciliation gaps</w:t>
            </w:r>
          </w:p>
        </w:tc>
      </w:tr>
    </w:tbl>
    <w:p/>
    <w:p>
      <w:pPr>
        <w:pStyle w:val="Heading3"/>
      </w:pPr>
      <w:r>
        <w:t>13.2 Backward Compatibility</w:t>
      </w:r>
    </w:p>
    <w:p>
      <w:r>
        <w:rPr>
          <w:b w:val="0"/>
          <w:i w:val="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</w:pPr>
      <w:r>
        <w:t>13.3 Rollback Plan</w:t>
      </w:r>
    </w:p>
    <w:p>
      <w:pPr>
        <w:pStyle w:val="ListBullet"/>
      </w:pPr>
      <w:r>
        <w:rPr>
          <w:b w:val="0"/>
          <w:i w:val="0"/>
          <w:sz w:val="22"/>
        </w:rPr>
        <w:t xml:space="preserve">Feature flag to disable BB+ Kafka routing — falls back to no-op (no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created)</w:t>
      </w:r>
    </w:p>
    <w:p>
      <w:pPr>
        <w:pStyle w:val="ListBullet"/>
      </w:pPr>
      <w:r>
        <w:rPr>
          <w:b w:val="0"/>
          <w:i w:val="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b w:val="0"/>
          <w:i w:val="0"/>
          <w:sz w:val="22"/>
        </w:rPr>
        <w:t>Tax-Compliance Kafka consumer can be stopped independently with no Payouts impact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14. Monitoring &amp; Logging</w:t>
      </w:r>
    </w:p>
    <w:p>
      <w:pPr>
        <w:pStyle w:val="Heading3"/>
      </w:pPr>
      <w:r>
        <w:t>14.1 Error Handling</w:t>
      </w:r>
    </w:p>
    <w:p>
      <w:pPr>
        <w:pStyle w:val="ListBullet"/>
      </w:pPr>
      <w:r>
        <w:rPr>
          <w:b/>
          <w:i w:val="0"/>
          <w:sz w:val="22"/>
        </w:rPr>
        <w:t>Compute API errors:</w:t>
      </w:r>
      <w:r>
        <w:rPr>
          <w:b w:val="0"/>
          <w:i w:val="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b/>
          <w:i w:val="0"/>
          <w:sz w:val="22"/>
        </w:rPr>
        <w:t>Payout creation errors:</w:t>
      </w:r>
      <w:r>
        <w:rPr>
          <w:b w:val="0"/>
          <w:i w:val="0"/>
          <w:sz w:val="22"/>
        </w:rPr>
        <w:t xml:space="preserve"> Same as existing payout errors (no change)</w:t>
      </w:r>
    </w:p>
    <w:p>
      <w:pPr>
        <w:pStyle w:val="ListBullet"/>
      </w:pPr>
      <w:r>
        <w:rPr>
          <w:b/>
          <w:i w:val="0"/>
          <w:sz w:val="22"/>
        </w:rPr>
        <w:t>Kafka publish failures:</w:t>
      </w:r>
      <w:r>
        <w:rPr>
          <w:b w:val="0"/>
          <w:i w:val="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b/>
          <w:i w:val="0"/>
          <w:sz w:val="22"/>
        </w:rPr>
        <w:t>Kafka consumer failures:</w:t>
      </w:r>
      <w:r>
        <w:rPr>
          <w:b w:val="0"/>
          <w:i w:val="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b/>
          <w:i w:val="0"/>
          <w:sz w:val="22"/>
        </w:rPr>
        <w:t>Reconciliation:</w:t>
      </w:r>
      <w:r>
        <w:rPr>
          <w:b w:val="0"/>
          <w:i w:val="0"/>
          <w:sz w:val="22"/>
        </w:rPr>
        <w:t xml:space="preserve"> Daily job to detect payouts with TDS but no TDS Payment entity (alert ops team)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15. Milestones &amp; Timelines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Due Date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Phase 1: Payouts fields + Kafka routing</w:t>
            </w:r>
          </w:p>
        </w:tc>
        <w:tc>
          <w:tcPr>
            <w:tcW w:type="dxa" w:w="1881"/>
            <w:shd w:val="clear" w:color="auto" w:fill="FFFFFF"/>
          </w:tcPr>
          <w:p/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TBD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Phase 2: Tax-Compliance compute API + Kafka consumer</w:t>
            </w:r>
          </w:p>
        </w:tc>
        <w:tc>
          <w:tcPr>
            <w:tcW w:type="dxa" w:w="1881"/>
            <w:shd w:val="clear" w:color="auto" w:fill="F8FAFC"/>
          </w:tcPr>
          <w:p/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TBD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Phase 3: Tax-Compliance BFF — UI single payout flow</w:t>
            </w:r>
          </w:p>
        </w:tc>
        <w:tc>
          <w:tcPr>
            <w:tcW w:type="dxa" w:w="1881"/>
            <w:shd w:val="clear" w:color="auto" w:fill="FFFFFF"/>
          </w:tcPr>
          <w:p/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TBD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Phase 4: Bulk CSV integration</w:t>
            </w:r>
          </w:p>
        </w:tc>
        <w:tc>
          <w:tcPr>
            <w:tcW w:type="dxa" w:w="1881"/>
            <w:shd w:val="clear" w:color="auto" w:fill="F8FAFC"/>
          </w:tcPr>
          <w:p/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TBD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Phase 5: API documentation + external merchant guide</w:t>
            </w:r>
          </w:p>
        </w:tc>
        <w:tc>
          <w:tcPr>
            <w:tcW w:type="dxa" w:w="1881"/>
            <w:shd w:val="clear" w:color="auto" w:fill="FFFFFF"/>
          </w:tcPr>
          <w:p/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TBD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16.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BB+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BFF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Backend For Frontend — in this context, Tax-Compliance acts as the BFF for the BB+ payout UI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LDC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Pre-Compute Pattern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is computed before the payout creation call; Payouts receives pre-computed values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Gross Amount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Total payment before TDS deduction (e.g., ₹10,000)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Net Amount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Amount actually transferred to vendor after TDS (e.g., ₹9,000)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tds_payments entity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record for a TDS deduction event used for government filing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source = bb_plus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Routing indicator in the TDS payload that directs Payouts to publish to the BB+ Kafka topic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DLQ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Dead Letter Queue — Kafka queue for messages that failed after max retries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17. Appendix</w:t>
      </w:r>
    </w:p>
    <w:p>
      <w:pPr>
        <w:pStyle w:val="ListBullet"/>
      </w:pPr>
      <w:r>
        <w:rPr>
          <w:b w:val="0"/>
          <w:i w:val="0"/>
          <w:color w:val="1A73E8"/>
          <w:sz w:val="22"/>
          <w:u w:val="single"/>
        </w:rPr>
        <w:t>Full Technical Specification</w:t>
      </w:r>
      <w:r>
        <w:rPr>
          <w:b w:val="0"/>
          <w:i w:val="0"/>
          <w:sz w:val="22"/>
        </w:rPr>
        <w:t xml:space="preserve"> — API contracts, Go struct changes, SQL schemas, codebase reference, test plans</w:t>
      </w:r>
    </w:p>
    <w:p>
      <w:pPr>
        <w:pStyle w:val="ListBullet"/>
      </w:pPr>
      <w:r>
        <w:rPr>
          <w:b w:val="0"/>
          <w:i w:val="0"/>
          <w:color w:val="1A73E8"/>
          <w:sz w:val="22"/>
          <w:u w:val="single"/>
        </w:rPr>
        <w:t>GitHub Pages — Live Docs</w:t>
      </w:r>
    </w:p>
    <w:p>
      <w:pPr>
        <w:pStyle w:val="ListBullet"/>
      </w:pPr>
      <w:r>
        <w:rPr>
          <w:b w:val="0"/>
          <w:i w:val="0"/>
          <w:color w:val="1A73E8"/>
          <w:sz w:val="22"/>
          <w:u w:val="single"/>
        </w:rPr>
        <w:t>JIRA / Asana Project Tracker</w:t>
      </w:r>
      <w:r>
        <w:rPr>
          <w:b w:val="0"/>
          <w:i w:val="0"/>
          <w:sz w:val="22"/>
        </w:rPr>
        <w:t xml:space="preserve"> — TBD</w:t>
      </w:r>
    </w:p>
    <w:p>
      <w:pPr>
        <w:pStyle w:val="ListBullet"/>
      </w:pPr>
      <w:r>
        <w:rPr>
          <w:b w:val="0"/>
          <w:i w:val="0"/>
          <w:sz w:val="22"/>
        </w:rPr>
        <w:t>Razorpay Tech Spec Template v1.0</w:t>
      </w:r>
    </w:p>
    <w:p>
      <w:pPr>
        <w:pStyle w:val="ListBullet"/>
      </w:pPr>
      <w:r>
        <w:rPr>
          <w:b w:val="0"/>
          <w:i w:val="0"/>
          <w:sz w:val="22"/>
        </w:rPr>
        <w:t>Format and Structure Your Doc — Shashank Kumar, Dec 2020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Note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summary document covers problem statement, approach analysis, and the recommended solution. For detailed implementation specifications, API contracts, struct definitions, SQL schemas, codebase analysis, and test plans, refer to the </w:t>
      </w:r>
      <w:r>
        <w:rPr>
          <w:b w:val="0"/>
          <w:i w:val="0"/>
          <w:color w:val="1A73E8"/>
          <w:sz w:val="22"/>
          <w:u w:val="single"/>
        </w:rPr>
        <w:t>Full Technical Specification</w:t>
      </w:r>
      <w:r>
        <w:rPr>
          <w:b w:val="0"/>
          <w:i w:val="0"/>
          <w:sz w:val="22"/>
        </w:rPr>
        <w:t xml:space="preserve">. </w:t>
      </w:r>
    </w:p>
    <w:p>
      <w:pPr>
        <w:spacing w:before="0"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3415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