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0000"/>
          <w:sz w:val="52"/>
        </w:rPr>
        <w:t>TDS Payout Integration for BB+ Platform</w:t>
      </w:r>
    </w:p>
    <w:p>
      <w:pPr>
        <w:jc w:val="center"/>
      </w:pPr>
      <w:r>
        <w:rPr>
          <w:rFonts w:ascii="Arial" w:hAnsi="Arial"/>
          <w:i/>
          <w:color w:val="475569"/>
          <w:sz w:val="26"/>
        </w:rPr>
        <w:t>Technical Specification — Summary Document</w:t>
      </w:r>
    </w:p>
    <w:p>
      <w:pPr>
        <w:jc w:val="center"/>
      </w:pPr>
      <w:r>
        <w:rPr>
          <w:rFonts w:ascii="Arial" w:hAnsi="Arial"/>
          <w:color w:val="64748B"/>
          <w:sz w:val="22"/>
        </w:rPr>
        <w:t>Author: Prashant Chauhan  ·  Version: 9.0  ·  February 2026</w:t>
      </w:r>
    </w:p>
    <w:p/>
    <w:p>
      <w:pPr>
        <w:pStyle w:val="Heading1"/>
      </w:pPr>
      <w:r>
        <w:rPr>
          <w:rFonts w:ascii="Arial" w:hAnsi="Arial"/>
          <w:color w:val="1155CC"/>
          <w:sz w:val="28"/>
        </w:rPr>
        <w:t>Table of Contents</w:t>
      </w:r>
    </w:p>
    <w:p>
      <w:pPr>
        <w:spacing w:after="0"/>
      </w:pPr>
      <w:fldChar w:fldCharType="begin"/>
      <w:instrText xml:space="preserve"> TOC \o "1-3" \h \z \u </w:instrText>
      <w:fldChar w:fldCharType="end"/>
    </w:p>
    <w:p>
      <w:r>
        <w:rPr>
          <w:rFonts w:ascii="Arial" w:hAnsi="Arial"/>
          <w:i/>
          <w:color w:val="94A3B8"/>
          <w:sz w:val="18"/>
        </w:rPr>
        <w:t>Right-click the TOC above → Update Field to refresh.</w:t>
      </w:r>
    </w:p>
    <w:p>
      <w:r>
        <w:br w:type="page"/>
      </w:r>
    </w:p>
    <w:p>
      <w:pPr>
        <w:pStyle w:val="Heading1"/>
        <w:keepNext/>
        <w:spacing w:before="400" w:after="200"/>
      </w:pPr>
      <w:r>
        <w:rPr>
          <w:rFonts w:ascii="Arial" w:hAnsi="Arial"/>
          <w:b/>
          <w:i w:val="0"/>
          <w:color w:val="1155CC"/>
          <w:sz w:val="36"/>
        </w:rPr>
        <w:t>TDS Payout Integration for BB+ Platform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>Technical Specification — Summary Document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Author/s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Prashant Chauhan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Team/Pod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| BU: BB+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9.0 Summary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Published Date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February 2026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Reviewer Name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Reviewed Date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Not started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Not started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Table of Contents</w:t>
      </w:r>
    </w:p>
    <w:p>
      <w:pPr>
        <w:pStyle w:val="ListBullet"/>
      </w:pPr>
      <w:hyperlink r:id="rId9">
        <w:r>
          <w:rPr>
            <w:rFonts w:ascii="Arial" w:hAnsi="Arial"/>
            <w:color w:val="0000ee"/>
            <w:u w:val="single"/>
            <w:sz w:val="22"/>
            <w:szCs w:val="22"/>
          </w:rPr>
          <w:t>1. Problem Statement</w:t>
        </w:r>
      </w:hyperlink>
    </w:p>
    <w:p>
      <w:pPr>
        <w:pStyle w:val="ListBullet"/>
      </w:pPr>
      <w:hyperlink r:id="rId10">
        <w:r>
          <w:rPr>
            <w:rFonts w:ascii="Arial" w:hAnsi="Arial"/>
            <w:color w:val="0000ee"/>
            <w:u w:val="single"/>
            <w:sz w:val="22"/>
            <w:szCs w:val="22"/>
          </w:rPr>
          <w:t>2. Introduction &amp; Scope</w:t>
        </w:r>
      </w:hyperlink>
    </w:p>
    <w:p>
      <w:pPr>
        <w:pStyle w:val="ListBullet"/>
      </w:pPr>
      <w:hyperlink r:id="rId11">
        <w:r>
          <w:rPr>
            <w:rFonts w:ascii="Arial" w:hAnsi="Arial"/>
            <w:color w:val="0000ee"/>
            <w:u w:val="single"/>
            <w:sz w:val="22"/>
            <w:szCs w:val="22"/>
          </w:rPr>
          <w:t>3. Out of Scope</w:t>
        </w:r>
      </w:hyperlink>
    </w:p>
    <w:p>
      <w:pPr>
        <w:pStyle w:val="ListBullet"/>
      </w:pPr>
      <w:hyperlink r:id="rId12">
        <w:r>
          <w:rPr>
            <w:rFonts w:ascii="Arial" w:hAnsi="Arial"/>
            <w:color w:val="0000ee"/>
            <w:u w:val="single"/>
            <w:sz w:val="22"/>
            <w:szCs w:val="22"/>
          </w:rPr>
          <w:t>4. Futuristic Scope</w:t>
        </w:r>
      </w:hyperlink>
    </w:p>
    <w:p>
      <w:pPr>
        <w:pStyle w:val="ListBullet"/>
      </w:pPr>
      <w:hyperlink r:id="rId13">
        <w:r>
          <w:rPr>
            <w:rFonts w:ascii="Arial" w:hAnsi="Arial"/>
            <w:color w:val="0000ee"/>
            <w:u w:val="single"/>
            <w:sz w:val="22"/>
            <w:szCs w:val="22"/>
          </w:rPr>
          <w:t>5. Assumptions, Goals &amp; Non-Goals</w:t>
        </w:r>
      </w:hyperlink>
    </w:p>
    <w:p>
      <w:pPr>
        <w:pStyle w:val="ListBullet"/>
      </w:pPr>
      <w:hyperlink r:id="rId14">
        <w:r>
          <w:rPr>
            <w:rFonts w:ascii="Arial" w:hAnsi="Arial"/>
            <w:color w:val="0000ee"/>
            <w:u w:val="single"/>
            <w:sz w:val="22"/>
            <w:szCs w:val="22"/>
          </w:rPr>
          <w:t>6. Domain Design</w:t>
        </w:r>
      </w:hyperlink>
    </w:p>
    <w:p>
      <w:pPr>
        <w:pStyle w:val="ListBullet"/>
      </w:pPr>
      <w:hyperlink r:id="rId15">
        <w:r>
          <w:rPr>
            <w:rFonts w:ascii="Arial" w:hAnsi="Arial"/>
            <w:color w:val="0000ee"/>
            <w:u w:val="single"/>
            <w:sz w:val="22"/>
            <w:szCs w:val="22"/>
          </w:rPr>
          <w:t>7. Current Architecture / Current HLD</w:t>
        </w:r>
      </w:hyperlink>
    </w:p>
    <w:p>
      <w:pPr>
        <w:pStyle w:val="ListBullet"/>
      </w:pPr>
      <w:hyperlink r:id="rId16">
        <w:r>
          <w:rPr>
            <w:rFonts w:ascii="Arial" w:hAnsi="Arial"/>
            <w:color w:val="0000ee"/>
            <w:u w:val="single"/>
            <w:sz w:val="22"/>
            <w:szCs w:val="22"/>
          </w:rPr>
          <w:t>8. Final Approach — Specifications</w:t>
        </w:r>
      </w:hyperlink>
    </w:p>
    <w:p>
      <w:pPr>
        <w:pStyle w:val="ListBullet"/>
      </w:pPr>
      <w:hyperlink r:id="rId17">
        <w:r>
          <w:rPr>
            <w:rFonts w:ascii="Arial" w:hAnsi="Arial"/>
            <w:color w:val="0000ee"/>
            <w:u w:val="single"/>
            <w:sz w:val="22"/>
            <w:szCs w:val="22"/>
          </w:rPr>
          <w:t>9. Non-Functional Requirements (NFRs)</w:t>
        </w:r>
      </w:hyperlink>
    </w:p>
    <w:p>
      <w:pPr>
        <w:pStyle w:val="ListBullet"/>
      </w:pPr>
      <w:hyperlink r:id="rId18">
        <w:r>
          <w:rPr>
            <w:rFonts w:ascii="Arial" w:hAnsi="Arial"/>
            <w:color w:val="0000ee"/>
            <w:u w:val="single"/>
            <w:sz w:val="22"/>
            <w:szCs w:val="22"/>
          </w:rPr>
          <w:t>10. Agentic Development Spec</w:t>
        </w:r>
      </w:hyperlink>
    </w:p>
    <w:p>
      <w:pPr>
        <w:pStyle w:val="ListBullet"/>
      </w:pPr>
      <w:hyperlink r:id="rId19">
        <w:r>
          <w:rPr>
            <w:rFonts w:ascii="Arial" w:hAnsi="Arial"/>
            <w:color w:val="0000ee"/>
            <w:u w:val="single"/>
            <w:sz w:val="22"/>
            <w:szCs w:val="22"/>
          </w:rPr>
          <w:t>11. Feature Dependencies &amp; SLAs</w:t>
        </w:r>
      </w:hyperlink>
    </w:p>
    <w:p>
      <w:pPr>
        <w:pStyle w:val="ListBullet"/>
      </w:pPr>
      <w:hyperlink r:id="rId20">
        <w:r>
          <w:rPr>
            <w:rFonts w:ascii="Arial" w:hAnsi="Arial"/>
            <w:color w:val="0000ee"/>
            <w:u w:val="single"/>
            <w:sz w:val="22"/>
            <w:szCs w:val="22"/>
          </w:rPr>
          <w:t>12. Testing Plan</w:t>
        </w:r>
      </w:hyperlink>
    </w:p>
    <w:p>
      <w:pPr>
        <w:pStyle w:val="ListBullet"/>
      </w:pPr>
      <w:hyperlink r:id="rId21">
        <w:r>
          <w:rPr>
            <w:rFonts w:ascii="Arial" w:hAnsi="Arial"/>
            <w:color w:val="0000ee"/>
            <w:u w:val="single"/>
            <w:sz w:val="22"/>
            <w:szCs w:val="22"/>
          </w:rPr>
          <w:t>13. Go-Live Plan</w:t>
        </w:r>
      </w:hyperlink>
    </w:p>
    <w:p>
      <w:pPr>
        <w:pStyle w:val="ListBullet"/>
      </w:pPr>
      <w:hyperlink r:id="rId22">
        <w:r>
          <w:rPr>
            <w:rFonts w:ascii="Arial" w:hAnsi="Arial"/>
            <w:color w:val="0000ee"/>
            <w:u w:val="single"/>
            <w:sz w:val="22"/>
            <w:szCs w:val="22"/>
          </w:rPr>
          <w:t>14. Monitoring &amp; Logging</w:t>
        </w:r>
      </w:hyperlink>
    </w:p>
    <w:p>
      <w:pPr>
        <w:pStyle w:val="ListBullet"/>
      </w:pPr>
      <w:hyperlink r:id="rId23">
        <w:r>
          <w:rPr>
            <w:rFonts w:ascii="Arial" w:hAnsi="Arial"/>
            <w:color w:val="0000ee"/>
            <w:u w:val="single"/>
            <w:sz w:val="22"/>
            <w:szCs w:val="22"/>
          </w:rPr>
          <w:t>15. Milestones &amp; Timelines</w:t>
        </w:r>
      </w:hyperlink>
    </w:p>
    <w:p>
      <w:pPr>
        <w:pStyle w:val="ListBullet"/>
      </w:pPr>
      <w:hyperlink r:id="rId24">
        <w:r>
          <w:rPr>
            <w:rFonts w:ascii="Arial" w:hAnsi="Arial"/>
            <w:color w:val="0000ee"/>
            <w:u w:val="single"/>
            <w:sz w:val="22"/>
            <w:szCs w:val="22"/>
          </w:rPr>
          <w:t>16. Glossary</w:t>
        </w:r>
      </w:hyperlink>
    </w:p>
    <w:p>
      <w:pPr>
        <w:pStyle w:val="ListBullet"/>
      </w:pPr>
      <w:hyperlink r:id="rId25">
        <w:r>
          <w:rPr>
            <w:rFonts w:ascii="Arial" w:hAnsi="Arial"/>
            <w:color w:val="0000ee"/>
            <w:u w:val="single"/>
            <w:sz w:val="22"/>
            <w:szCs w:val="22"/>
          </w:rPr>
          <w:t>17. Appendix</w:t>
        </w:r>
      </w:hyperlink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1. Problem Statement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BB+ merchants must comply with Indian tax regulations (TDS) when making vendor payments via Payouts API.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existing Payouts service has </w:t>
      </w:r>
      <w:r>
        <w:rPr>
          <w:rFonts w:ascii="Arial" w:hAnsi="Arial"/>
          <w:b/>
          <w:i w:val="0"/>
          <w:color w:val="000000"/>
          <w:sz w:val="22"/>
        </w:rPr>
        <w:t>no TDS compute or tracking capability</w:t>
      </w:r>
      <w:r>
        <w:rPr>
          <w:rFonts w:ascii="Arial" w:hAnsi="Arial"/>
          <w:b w:val="0"/>
          <w:i w:val="0"/>
          <w:color w:val="000000"/>
          <w:sz w:val="22"/>
        </w:rPr>
        <w:t xml:space="preserve"> for BB+ flows.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Vendor-Payments already uses Payouts TDS fields — any change must not break that existing flow.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TDS deduction amount must be known </w:t>
      </w:r>
      <w:r>
        <w:rPr>
          <w:rFonts w:ascii="Arial" w:hAnsi="Arial"/>
          <w:b w:val="0"/>
          <w:i/>
          <w:color w:val="000000"/>
          <w:sz w:val="22"/>
        </w:rPr>
        <w:t>at payout creation time</w:t>
      </w:r>
      <w:r>
        <w:rPr>
          <w:rFonts w:ascii="Arial" w:hAnsi="Arial"/>
          <w:b w:val="0"/>
          <w:i w:val="0"/>
          <w:color w:val="000000"/>
          <w:sz w:val="22"/>
        </w:rPr>
        <w:t xml:space="preserve"> for correct money routing; it cannot be computed post-creation.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solution must work uniformly across all three payout channels: </w:t>
      </w:r>
      <w:r>
        <w:rPr>
          <w:rFonts w:ascii="Arial" w:hAnsi="Arial"/>
          <w:b/>
          <w:i w:val="0"/>
          <w:color w:val="000000"/>
          <w:sz w:val="22"/>
        </w:rPr>
        <w:t>Dashboard (UI)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Arial" w:hAnsi="Arial"/>
          <w:b/>
          <w:i w:val="0"/>
          <w:color w:val="000000"/>
          <w:sz w:val="22"/>
        </w:rPr>
        <w:t>Bulk CSV</w:t>
      </w:r>
      <w:r>
        <w:rPr>
          <w:rFonts w:ascii="Arial" w:hAnsi="Arial"/>
          <w:b w:val="0"/>
          <w:i w:val="0"/>
          <w:color w:val="000000"/>
          <w:sz w:val="22"/>
        </w:rPr>
        <w:t xml:space="preserve">, and </w:t>
      </w:r>
      <w:r>
        <w:rPr>
          <w:rFonts w:ascii="Arial" w:hAnsi="Arial"/>
          <w:b/>
          <w:i w:val="0"/>
          <w:color w:val="000000"/>
          <w:sz w:val="22"/>
        </w:rPr>
        <w:t>Direct API</w:t>
      </w:r>
      <w:r>
        <w:rPr>
          <w:rFonts w:ascii="Arial" w:hAnsi="Arial"/>
          <w:b w:val="0"/>
          <w:i w:val="0"/>
          <w:color w:val="000000"/>
          <w:sz w:val="22"/>
        </w:rPr>
        <w:t>.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2. Introduction &amp; Scope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This document specifies the technical approach for integrating TDS (Tax Deducted at Source)</w:t>
        <w:br/>
        <w:t xml:space="preserve">    support into the Payouts service for BB+ merchants. It covers the problem, three candidate</w:t>
        <w:br/>
        <w:t xml:space="preserve">    approaches, the recommended solution, and all downstream considerations.</w:t>
        <w:br/>
        <w:t xml:space="preserve">  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2.1 Tenets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Payouts stays dumb about TDS computation</w:t>
      </w:r>
      <w:r>
        <w:rPr>
          <w:rFonts w:ascii="Arial" w:hAnsi="Arial"/>
          <w:b w:val="0"/>
          <w:i w:val="0"/>
          <w:color w:val="000000"/>
          <w:sz w:val="22"/>
        </w:rPr>
        <w:t xml:space="preserve"> — no S2S call to Tax-Compliance inside the payout creation path.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Tax-Compliance owns TDS logic</w:t>
      </w:r>
      <w:r>
        <w:rPr>
          <w:rFonts w:ascii="Arial" w:hAnsi="Arial"/>
          <w:b w:val="0"/>
          <w:i w:val="0"/>
          <w:color w:val="000000"/>
          <w:sz w:val="22"/>
        </w:rPr>
        <w:t xml:space="preserve"> — computation, validation, entity lifecycle, and filing.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Vendor-Payments flows are never impacted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BB+ TDS events route to a separate Kafka topic.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Backward compatible by default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new Payouts fields are optional.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No PII in logs or Kafka messages</w:t>
      </w:r>
      <w:r>
        <w:rPr>
          <w:rFonts w:ascii="Arial" w:hAnsi="Arial"/>
          <w:b w:val="0"/>
          <w:i w:val="0"/>
          <w:color w:val="000000"/>
          <w:sz w:val="22"/>
        </w:rPr>
        <w:t xml:space="preserve"> — PAN stored and encrypted only in Tax-Compliance.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2.2 Relevant Resources</w:t>
      </w:r>
    </w:p>
    <w:p>
      <w:pPr>
        <w:pStyle w:val="ListBullet"/>
      </w:pP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 (detailed implementation)</w:t>
        </w:r>
      </w:hyperlink>
    </w:p>
    <w:p>
      <w:pPr>
        <w:pStyle w:val="ListBullet"/>
      </w:pPr>
      <w:hyperlink r:id="rId27">
        <w:r>
          <w:rPr>
            <w:rFonts w:ascii="Arial" w:hAnsi="Arial"/>
            <w:color w:val="0000ee"/>
            <w:u w:val="single"/>
            <w:sz w:val="22"/>
            <w:szCs w:val="22"/>
          </w:rPr>
          <w:t>GitHub Pages — Live Spec</w:t>
        </w:r>
      </w:hyperlink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2.3 Scope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>In scope for this initiative: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compute, preview, and payout creation for BB+ merchants — Single Payout (UI), Bulk CSV, and API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service: enrichment hook for TDS computation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Tax-Compliance: internal enrichment API, event listener,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management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Dashboard UI and Bulk CSV: TDS form fields and preview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2.4 Product Requirement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Seamless Merchant Experience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The product requirement is to provide a </w:t>
      </w:r>
      <w:r>
        <w:rPr>
          <w:rFonts w:ascii="Arial" w:hAnsi="Arial"/>
          <w:b/>
          <w:i w:val="0"/>
          <w:color w:val="000000"/>
          <w:sz w:val="22"/>
        </w:rPr>
        <w:t>seamless experience for merchants using the Payouts API</w:t>
      </w:r>
      <w:r>
        <w:rPr>
          <w:rFonts w:ascii="Arial" w:hAnsi="Arial"/>
          <w:b w:val="0"/>
          <w:i w:val="0"/>
          <w:color w:val="000000"/>
          <w:sz w:val="22"/>
        </w:rPr>
        <w:t>, where they can pass minimal details similar to what is currently passed to the compute API.</w:t>
        <w:br/>
        <w:t xml:space="preserve">    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Key Requirements: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Minimal Input:</w:t>
      </w:r>
      <w:r>
        <w:rPr>
          <w:rFonts w:ascii="Arial" w:hAnsi="Arial"/>
          <w:b w:val="0"/>
          <w:i w:val="0"/>
          <w:color w:val="000000"/>
          <w:sz w:val="22"/>
        </w:rPr>
        <w:t xml:space="preserve"> Merchants should provide basic payout details (gross amount, TDS category, contact, etc.) without needing to pre-calculate TDS values themselves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Automatic Calculation:</w:t>
      </w:r>
      <w:r>
        <w:rPr>
          <w:rFonts w:ascii="Arial" w:hAnsi="Arial"/>
          <w:b w:val="0"/>
          <w:i w:val="0"/>
          <w:color w:val="000000"/>
          <w:sz w:val="22"/>
        </w:rPr>
        <w:t xml:space="preserve"> The system should automatically compute TDS amounts based on the provided inputs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Persistence:</w:t>
      </w:r>
      <w:r>
        <w:rPr>
          <w:rFonts w:ascii="Arial" w:hAnsi="Arial"/>
          <w:b w:val="0"/>
          <w:i w:val="0"/>
          <w:color w:val="000000"/>
          <w:sz w:val="22"/>
        </w:rPr>
        <w:t xml:space="preserve"> All TDS-related data should be persisted correctly for compliance and reporting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Unified Flow:</w:t>
      </w:r>
      <w:r>
        <w:rPr>
          <w:rFonts w:ascii="Arial" w:hAnsi="Arial"/>
          <w:b w:val="0"/>
          <w:i w:val="0"/>
          <w:color w:val="000000"/>
          <w:sz w:val="22"/>
        </w:rPr>
        <w:t xml:space="preserve"> The payout should be created seamlessly after TDS calculation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Universal Applicability:</w:t>
      </w:r>
      <w:r>
        <w:rPr>
          <w:rFonts w:ascii="Arial" w:hAnsi="Arial"/>
          <w:b w:val="0"/>
          <w:i w:val="0"/>
          <w:color w:val="000000"/>
          <w:sz w:val="22"/>
        </w:rPr>
        <w:t xml:space="preserve"> This single approach should work consistently across </w:t>
      </w:r>
      <w:r>
        <w:rPr>
          <w:rFonts w:ascii="Arial" w:hAnsi="Arial"/>
          <w:b/>
          <w:i w:val="0"/>
          <w:color w:val="000000"/>
          <w:sz w:val="22"/>
        </w:rPr>
        <w:t>all three payout types</w:t>
      </w:r>
      <w:r>
        <w:rPr>
          <w:rFonts w:ascii="Arial" w:hAnsi="Arial"/>
          <w:b w:val="0"/>
          <w:i w:val="0"/>
          <w:color w:val="000000"/>
          <w:sz w:val="22"/>
        </w:rPr>
        <w:t>:</w:t>
        <w:br/>
        <w:t xml:space="preserve">        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requirement drives the architectural decision to ensure merchants have a consistent, simple interface regardless of how they create payouts, while the system handles all complexity of TDS computation and compliance internally.</w:t>
        <w:br/>
        <w:t xml:space="preserve">    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3. Out of Scope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filing, government remittance, or challan generation (owned by Tax-Compliance)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Changes to Vendor-Payments TDS flows (must remain untouched)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support for non-BB+ merchants in this phase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Real-time TDS Payment ID in the payout API response (entity is created asynchronously)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staleness enforcement between compute and payout creation (accepted trade-off)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4. Futuristic Scope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ID is already included in payout response (enrichment pattern creates entity synchronously)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TDS filing dashboard for BB+ merchants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Extend to non-BB+ merchants using the same Enrichment Hook Pattern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compute caching per merchant/category for enrichment performance optimization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Batch enrichment API for bulk payout optimization (enrich multiple rows in single call)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5. Assumptions, Goals &amp; Non-Goals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5.1 Assumptions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service will expose or enhance a compute API endpoint accessible by BB+ merchants (external) and by Tax-Compliance BFF (internal)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service will not integrate Tax-Compliance — all compute happens outside the payout creation path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Kafka topic </w:t>
      </w:r>
      <w:r>
        <w:rPr>
          <w:rFonts w:ascii="Arial" w:hAnsi="Arial"/>
          <w:b w:val="0"/>
          <w:i w:val="0"/>
          <w:color w:val="000000"/>
          <w:sz w:val="22"/>
        </w:rPr>
        <w:t>add-tds-entry-bb-plus</w:t>
      </w:r>
      <w:r>
        <w:rPr>
          <w:rFonts w:ascii="Arial" w:hAnsi="Arial"/>
          <w:b w:val="0"/>
          <w:i w:val="0"/>
          <w:color w:val="000000"/>
          <w:sz w:val="22"/>
        </w:rPr>
        <w:t xml:space="preserve"> is new and owned by Tax-Compliance consumer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The </w:t>
      </w:r>
      <w:r>
        <w:rPr>
          <w:rFonts w:ascii="Arial" w:hAnsi="Arial"/>
          <w:b w:val="0"/>
          <w:i w:val="0"/>
          <w:color w:val="000000"/>
          <w:sz w:val="22"/>
        </w:rPr>
        <w:t>source = "bb_plus"</w:t>
      </w:r>
      <w:r>
        <w:rPr>
          <w:rFonts w:ascii="Arial" w:hAnsi="Arial"/>
          <w:b w:val="0"/>
          <w:i w:val="0"/>
          <w:color w:val="000000"/>
          <w:sz w:val="22"/>
        </w:rPr>
        <w:t xml:space="preserve"> field in the TDS payload is the routing signal — no other routing logic needed in Payouts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certificate validity between compute and payout creation is acceptable (seconds gap in practice)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5.2 Goals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Enable TDS deduction and tracking for BB+ payouts across all three channels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Zero latency added to the Payouts API critical path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Minimal, isolated changes to Payouts (fields + routing only)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Clean domain ownership: Tax-Compliance owns compute and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Backward compatible — existing Payouts and Vendor-Payments flows unchanged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5.3 Non-Goals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Building TDS compute logic inside the Payouts service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Synchronous creation of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at payout creation time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Changing any Vendor-Payments Kafka topics or consumer logic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Modifying the public </w:t>
      </w:r>
      <w:r>
        <w:rPr>
          <w:rFonts w:ascii="Arial" w:hAnsi="Arial"/>
          <w:b w:val="0"/>
          <w:i w:val="0"/>
          <w:color w:val="000000"/>
          <w:sz w:val="22"/>
        </w:rPr>
        <w:t>/v1/payouts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API (changes go to internal </w:t>
      </w:r>
      <w:r>
        <w:rPr>
          <w:rFonts w:ascii="Arial" w:hAnsi="Arial"/>
          <w:b w:val="0"/>
          <w:i w:val="0"/>
          <w:color w:val="000000"/>
          <w:sz w:val="22"/>
        </w:rPr>
        <w:t>/v2/payouts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only)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6. Domain Design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6.1 Services Involved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Computes TDS based on category, rate, and LDC status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Manages TDS Payment entities for compliance and filing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Validates TDS categories and PAN details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Creates payout records for net amount to vendor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Processes fund transfers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Emits payout status updates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Stores TDS information for audit trail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 (BFF)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Acts as BFF — the only backend the UI talks to for TDS flows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Computes TDS, orchestrates payout creation, presents data to merchants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6.2 Amount Relationship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Key Formula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6.3 Key Entities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Entity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The payment to vendor (net amount after TDS deduction)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payout_details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Extended TDS information (category, amounts, breakdown) stored as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record for government filing (includes deductee PAN, amounts, category details)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6.4 Coverage: All Payout Types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TDS Handling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creates one payout via Tax-Compliance UI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Preview TDS breakdown before confirming; one compute call per payout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uploads CSV with multiple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TDS for all rows upfront; generate preview file; user confirms before processing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integrates via API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Same pattern as UI - caller computes TDS first, then creates payout with pre-computed values</w:t>
            </w:r>
          </w:p>
        </w:tc>
      </w:tr>
    </w:tbl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7. Current Architecture / Current HLD</w:t>
      </w:r>
    </w:p>
    <w:p>
      <w:pPr>
        <w:ind w:left="0" w:firstLine="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Current State — No BB+ TDS Support</w:t>
      </w:r>
    </w:p>
    <w:p>
      <w:pPr>
        <w:ind w:left="0" w:firstLine="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The Payouts service currently has a </w:t>
      </w:r>
      <w:r>
        <w:rPr>
          <w:rFonts w:ascii="Courier New" w:hAnsi="Courier New"/>
          <w:b w:val="0"/>
          <w:i w:val="0"/>
          <w:color w:val="000000"/>
          <w:sz w:val="22"/>
        </w:rPr>
        <w:t>tds</w:t>
      </w:r>
      <w:r>
        <w:rPr>
          <w:rFonts w:ascii="Arial" w:hAnsi="Arial"/>
          <w:b w:val="0"/>
          <w:i w:val="0"/>
          <w:color w:val="000000"/>
          <w:sz w:val="22"/>
        </w:rPr>
        <w:t xml:space="preserve"> struct in </w:t>
      </w:r>
      <w:r>
        <w:rPr>
          <w:rFonts w:ascii="Courier New" w:hAnsi="Courier New"/>
          <w:b w:val="0"/>
          <w:i w:val="0"/>
          <w:color w:val="000000"/>
          <w:sz w:val="22"/>
        </w:rPr>
        <w:t>TDSDetails</w:t>
      </w:r>
      <w:r>
        <w:rPr>
          <w:rFonts w:ascii="Arial" w:hAnsi="Arial"/>
          <w:b w:val="0"/>
          <w:i w:val="0"/>
          <w:color w:val="000000"/>
          <w:sz w:val="22"/>
        </w:rPr>
        <w:t xml:space="preserve"> used exclusively by </w:t>
      </w:r>
      <w:r>
        <w:rPr>
          <w:rFonts w:ascii="Arial" w:hAnsi="Arial"/>
          <w:b/>
          <w:i w:val="0"/>
          <w:color w:val="000000"/>
          <w:sz w:val="22"/>
        </w:rPr>
        <w:t>Vendor-Payments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. It contains </w:t>
      </w:r>
      <w:r>
        <w:rPr>
          <w:rFonts w:ascii="Courier New" w:hAnsi="Courier New"/>
          <w:b w:val="0"/>
          <w:i w:val="0"/>
          <w:color w:val="000000"/>
          <w:sz w:val="22"/>
        </w:rPr>
        <w:t>category_id</w:t>
      </w:r>
      <w:r>
        <w:rPr>
          <w:rFonts w:ascii="Arial" w:hAnsi="Arial"/>
          <w:b w:val="0"/>
          <w:i w:val="0"/>
          <w:color w:val="000000"/>
          <w:sz w:val="22"/>
        </w:rPr>
        <w:t xml:space="preserve"> and </w:t>
      </w:r>
      <w:r>
        <w:rPr>
          <w:rFonts w:ascii="Courier New" w:hAnsi="Courier New"/>
          <w:b w:val="0"/>
          <w:i w:val="0"/>
          <w:color w:val="000000"/>
          <w:sz w:val="22"/>
        </w:rPr>
        <w:t>amount</w:t>
      </w:r>
      <w:r>
        <w:rPr>
          <w:rFonts w:ascii="Arial" w:hAnsi="Arial"/>
          <w:b w:val="0"/>
          <w:i w:val="0"/>
          <w:color w:val="000000"/>
          <w:sz w:val="22"/>
        </w:rPr>
        <w:t xml:space="preserve">. When a payout with </w:t>
      </w:r>
      <w:r>
        <w:rPr>
          <w:rFonts w:ascii="Courier New" w:hAnsi="Courier New"/>
          <w:b w:val="0"/>
          <w:i w:val="0"/>
          <w:color w:val="000000"/>
          <w:sz w:val="22"/>
        </w:rPr>
        <w:t>source = vendor_payments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reaches a terminal state, Payouts publishes to </w:t>
      </w:r>
      <w:r>
        <w:rPr>
          <w:rFonts w:ascii="Courier New" w:hAnsi="Courier New"/>
          <w:b w:val="0"/>
          <w:i w:val="0"/>
          <w:color w:val="000000"/>
          <w:sz w:val="22"/>
        </w:rPr>
        <w:t>add-tds-entry</w:t>
      </w:r>
      <w:r>
        <w:rPr>
          <w:rFonts w:ascii="Arial" w:hAnsi="Arial"/>
          <w:b w:val="0"/>
          <w:i w:val="0"/>
          <w:color w:val="000000"/>
          <w:sz w:val="22"/>
        </w:rPr>
        <w:t xml:space="preserve"> Kafka topic, consumed by Vendor-Payments to create a TDS record.</w:t>
      </w:r>
    </w:p>
    <w:p>
      <w:pPr>
        <w:ind w:left="0" w:firstLine="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There is </w:t>
      </w:r>
      <w:r>
        <w:rPr>
          <w:rFonts w:ascii="Arial" w:hAnsi="Arial"/>
          <w:b/>
          <w:i w:val="0"/>
          <w:color w:val="000000"/>
          <w:sz w:val="22"/>
        </w:rPr>
        <w:t>no equivalent flow for BB+</w:t>
      </w:r>
      <w:r>
        <w:rPr>
          <w:rFonts w:ascii="Arial" w:hAnsi="Arial"/>
          <w:b w:val="0"/>
          <w:i w:val="0"/>
          <w:color w:val="000000"/>
          <w:sz w:val="22"/>
        </w:rPr>
        <w:t xml:space="preserve">. Tax-Compliance has no Kafka consumer for payouts, no TDS compute endpoint used at payout time, and no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creation triggered by payout events.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Current State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What's Missing for BB+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 TDS fields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category_id + amount (Vendor-Payments only)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source, gross_amount, breakdown fields for BB+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Kafka routing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All TDS payouts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BB+ payouts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API exists for preview; no Kafka consumer for 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Kafka consumer for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+ entity creation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BFF / UI flow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BB+ TDS payout creation flow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to orchestrate compute + payout creation for UI/Bulk</w:t>
            </w:r>
          </w:p>
        </w:tc>
      </w:tr>
    </w:tbl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 Final Approach — Specifications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Selected: Enrichment Hook Pattern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Payouts API accepts optional TDS fields (category_id, gross_amount, apply_ldc). If present, Payouts makes</w:t>
        <w:br/>
        <w:t xml:space="preserve">      a </w:t>
      </w:r>
      <w:r>
        <w:rPr>
          <w:rFonts w:ascii="Arial" w:hAnsi="Arial"/>
          <w:b/>
          <w:i w:val="0"/>
          <w:color w:val="000000"/>
          <w:sz w:val="22"/>
        </w:rPr>
        <w:t>lightweight synchronous call</w:t>
      </w:r>
      <w:r>
        <w:rPr>
          <w:rFonts w:ascii="Arial" w:hAnsi="Arial"/>
          <w:b w:val="0"/>
          <w:i w:val="0"/>
          <w:color w:val="000000"/>
          <w:sz w:val="22"/>
        </w:rPr>
        <w:t xml:space="preserve"> to Tax-Compliance enrichment endpoint (~50-100ms). Tax-Compliance</w:t>
        <w:br/>
        <w:t xml:space="preserve">      computes TDS, creates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entity, and returns enriched data (net_amount, tds_amount, rate, tds_payment_id).</w:t>
        <w:br/>
        <w:t xml:space="preserve">      Payouts uses net_amount for payout creation. </w:t>
      </w:r>
      <w:r>
        <w:rPr>
          <w:rFonts w:ascii="Arial" w:hAnsi="Arial"/>
          <w:b/>
          <w:i w:val="0"/>
          <w:color w:val="000000"/>
          <w:sz w:val="22"/>
        </w:rPr>
        <w:t>Single API call for merchants; minimal changes to Payouts.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8.1 List of Possible Solutions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>Three approaches were evaluated. The final selected approach (Approach 1: Enrichment Hook Pattern) is recommended. Approaches 2 and 3 are documented below for reference.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Summary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S2S in Payout?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Verdict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1. Enrichment Hook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calls Tax-Compliance enrichment API if TDS fields present; lightweight sync call (~50-100ms); minimal Payouts changes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— Payouts→Tax-Compliance (optional)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✓ Selected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2. TC Gateway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exposes /v2/payouts endpoint; orchestrates compute + payout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— Tax-Compliance→Payouts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Not Recommended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3. Pre-Compute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Caller pre-computes TDS via Tax-Compliance first, then calls Payouts separately; two API calls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Not Recommended (breaks one-stop requirement)</w:t>
            </w:r>
          </w:p>
        </w:tc>
      </w:tr>
    </w:tbl>
    <w:p>
      <w:pPr>
        <w:spacing w:before="240" w:after="240"/>
      </w:pP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Approach 1: Enrichment Hook Pattern — SELECTED</w:t>
      </w:r>
    </w:p>
    <w:p>
      <w:r>
        <w:rPr>
          <w:rFonts w:ascii="Arial" w:hAnsi="Arial"/>
          <w:b w:val="0"/>
          <w:i w:val="0"/>
          <w:color w:val="000000"/>
          <w:sz w:val="22"/>
        </w:rPr>
        <w:t>RECOMMENDED - All Channels</w:t>
      </w:r>
    </w:p>
    <w:p>
      <w:r>
        <w:rPr>
          <w:rFonts w:ascii="Arial" w:hAnsi="Arial"/>
          <w:b w:val="0"/>
          <w:i w:val="0"/>
          <w:color w:val="000000"/>
          <w:sz w:val="22"/>
        </w:rPr>
        <w:t>Payouts accepts optional TDS fields; makes lightweight sync enrichment call if present; single API for merchants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Core Principle: Single API Call with Minimal Payouts Changes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Payouts API accepts optional TDS fields (category_id, gross_amount, apply_ldc). If these fields are present,</w:t>
        <w:br/>
        <w:t xml:space="preserve">      Payouts makes a </w:t>
      </w:r>
      <w:r>
        <w:rPr>
          <w:rFonts w:ascii="Arial" w:hAnsi="Arial"/>
          <w:b/>
          <w:i w:val="0"/>
          <w:color w:val="000000"/>
          <w:sz w:val="22"/>
        </w:rPr>
        <w:t>lightweight synchronous call (~50-100ms)</w:t>
      </w:r>
      <w:r>
        <w:rPr>
          <w:rFonts w:ascii="Arial" w:hAnsi="Arial"/>
          <w:b w:val="0"/>
          <w:i w:val="0"/>
          <w:color w:val="000000"/>
          <w:sz w:val="22"/>
        </w:rPr>
        <w:t xml:space="preserve"> to Tax-Compliance enrichment endpoint.</w:t>
        <w:br/>
        <w:t xml:space="preserve">      Tax-Compliance computes TDS, creates tds_payments entity, and returns enriched data. Payouts uses the enriched</w:t>
        <w:br/>
        <w:t xml:space="preserve">      net_amount for payout creation. </w:t>
      </w:r>
      <w:r>
        <w:rPr>
          <w:rFonts w:ascii="Arial" w:hAnsi="Arial"/>
          <w:b/>
          <w:i w:val="0"/>
          <w:color w:val="000000"/>
          <w:sz w:val="22"/>
        </w:rPr>
        <w:t>Merchants make ONE API call; zero domain leak to Payouts.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This approach adds a minimal, optional enrichment hook in Payouts. When TDS fields are absent, Payouts behaves</w:t>
        <w:br/>
        <w:t xml:space="preserve">    exactly as before (zero impact). When TDS fields are present, Payouts delegates computation to Tax-Compliance</w:t>
        <w:br/>
        <w:t xml:space="preserve">    and uses the enriched response.</w:t>
        <w:br/>
        <w:t xml:space="preserve">  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API Request:</w:t>
      </w:r>
      <w:r>
        <w:rPr>
          <w:rFonts w:ascii="Arial" w:hAnsi="Arial"/>
          <w:b w:val="0"/>
          <w:i w:val="0"/>
          <w:color w:val="000000"/>
          <w:sz w:val="22"/>
        </w:rPr>
        <w:t xml:space="preserve"> Merchant calls Payouts API with optional TDS fields:</w:t>
        <w:br/>
        <w:t xml:space="preserve">        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Enrichment Hook (if TDS fields present):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Payouts calls Tax-Compliance internal enrichment API:</w:t>
        <w:br/>
        <w:t xml:space="preserve">        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Payout Creation: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Payouts creates payout with:</w:t>
        <w:br/>
        <w:t xml:space="preserve">        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Event Emission: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Payouts emits status change events (existing mechanism)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TDS Entity Update: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listens to payout events and updates tds_payments entity (PENDING → SUCCESS/FAILED)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79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7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Key Benefits of Enrichment Hook Pattern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Benefit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API Call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Merchants call Payouts API once; enrichment happens internally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Minimal Payouts Changes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~20 LOC enrichment hook; feature-flagged; isolated code path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 Domain Leak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doesn't know TDS logic; just calls enrichment service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Latency Impact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for TDS payouts only; zero impact for non-TDS payouts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Works for All Payout Types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Dashboard, Bulk, API - same unified approach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Clean Failure Handling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If enrichment fails, payout fails immediately; no partial state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Entity Creation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Created synchronously during enrichment; payout_id updated via events</w:t>
            </w:r>
          </w:p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Channel-by-Channel Flow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Solution to API Payouts Challenge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For </w:t>
      </w:r>
      <w:r>
        <w:rPr>
          <w:rFonts w:ascii="Arial" w:hAnsi="Arial"/>
          <w:b/>
          <w:i w:val="0"/>
          <w:color w:val="000000"/>
          <w:sz w:val="22"/>
        </w:rPr>
        <w:t>API Payouts</w:t>
      </w:r>
      <w:r>
        <w:rPr>
          <w:rFonts w:ascii="Arial" w:hAnsi="Arial"/>
          <w:b w:val="0"/>
          <w:i w:val="0"/>
          <w:color w:val="000000"/>
          <w:sz w:val="22"/>
        </w:rPr>
        <w:t>, merchants only have raw inputs (category, PAN, amount). They don't have</w:t>
        <w:br/>
        <w:t xml:space="preserve">      pre-computed TDS values. The enrichment hook pattern solves this elegantly:</w:t>
        <w:br/>
        <w:t xml:space="preserve">    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Merchants make ONE API call to 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with TDS fields (gross_amount, category_id, apply_ldc).</w:t>
        <w:br/>
        <w:t xml:space="preserve">      Payouts internally calls Tax-Compliance enrichment endpoint (~50-100ms), gets the enriched data, and creates</w:t>
        <w:br/>
        <w:t xml:space="preserve">      the payout. The latency impact (~50-100ms) is acceptable for the following reasons:</w:t>
        <w:br/>
        <w:t xml:space="preserve">    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Isolated Impact:</w:t>
      </w:r>
      <w:r>
        <w:rPr>
          <w:rFonts w:ascii="Arial" w:hAnsi="Arial"/>
          <w:b w:val="0"/>
          <w:i w:val="0"/>
          <w:color w:val="000000"/>
          <w:sz w:val="22"/>
        </w:rPr>
        <w:t xml:space="preserve"> Only affects TDS-enabled payouts; non-TDS payouts have zero latency change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Lightweight Operation:</w:t>
      </w:r>
      <w:r>
        <w:rPr>
          <w:rFonts w:ascii="Arial" w:hAnsi="Arial"/>
          <w:b w:val="0"/>
          <w:i w:val="0"/>
          <w:color w:val="000000"/>
          <w:sz w:val="22"/>
        </w:rPr>
        <w:t xml:space="preserve"> Enrichment is fast (compute + DB insert)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Scalable: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can be horizontally scaled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One-Stop Solution:</w:t>
      </w:r>
      <w:r>
        <w:rPr>
          <w:rFonts w:ascii="Arial" w:hAnsi="Arial"/>
          <w:b w:val="0"/>
          <w:i w:val="0"/>
          <w:color w:val="000000"/>
          <w:sz w:val="22"/>
        </w:rPr>
        <w:t xml:space="preserve"> Merchants get what they asked for - single API call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Channel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How It Works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Who computes?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Payouts change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Dashboard (UI)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UI calls Payouts with TDS fields → Enrichment hook triggers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Enrichment hook (~20 LOC); calls Tax-Compliance if TDS fields present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CSV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For each row: Call Payouts with TDS fields → Enrichment hook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(direct merchant)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Merchant calls Payouts with TDS fields → Enrichment hook → Creates payout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(via enrichment endpoint)</w:t>
            </w:r>
          </w:p>
        </w:tc>
        <w:tc>
          <w:tcPr>
            <w:tcW w:type="dxa" w:w="2160"/>
          </w:tcPr>
          <w:p/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Storage Decision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Payouts stores: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 with net_amount + metadata fields — </w:t>
      </w:r>
      <w:r>
        <w:rPr>
          <w:rFonts w:ascii="Courier New" w:hAnsi="Courier New"/>
          <w:b w:val="0"/>
          <w:i w:val="0"/>
          <w:color w:val="000000"/>
          <w:sz w:val="22"/>
        </w:rPr>
        <w:t>tds_payment_id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2"/>
        </w:rPr>
        <w:t>tds_amount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2"/>
        </w:rPr>
        <w:t>tds_rate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2"/>
        </w:rPr>
        <w:t>category_id</w:t>
      </w:r>
      <w:r>
        <w:rPr>
          <w:rFonts w:ascii="Arial" w:hAnsi="Arial"/>
          <w:b w:val="0"/>
          <w:i w:val="0"/>
          <w:color w:val="000000"/>
          <w:sz w:val="22"/>
        </w:rPr>
        <w:t xml:space="preserve"> (stored in payout metadata/details). No new entity in Payouts.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Tax-Compliance stores:</w:t>
      </w:r>
      <w:r>
        <w:rPr>
          <w:rFonts w:ascii="Arial" w:hAnsi="Arial"/>
          <w:b w:val="0"/>
          <w:i w:val="0"/>
          <w:color w:val="000000"/>
          <w:sz w:val="22"/>
        </w:rPr>
        <w:t xml:space="preserve"> Full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entity, created </w:t>
      </w:r>
      <w:r>
        <w:rPr>
          <w:rFonts w:ascii="Arial" w:hAnsi="Arial"/>
          <w:b/>
          <w:i w:val="0"/>
          <w:color w:val="000000"/>
          <w:sz w:val="22"/>
        </w:rPr>
        <w:t>synchronously during enrichment</w:t>
      </w:r>
      <w:r>
        <w:rPr>
          <w:rFonts w:ascii="Arial" w:hAnsi="Arial"/>
          <w:b w:val="0"/>
          <w:i w:val="0"/>
          <w:color w:val="000000"/>
          <w:sz w:val="22"/>
        </w:rPr>
        <w:t xml:space="preserve"> with status PENDING. Later updated to SUCCESS/FAILED via payout status events.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>The net payout amount is determined by the enrichment response at creation time, ensuring correct money routing immediately.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Dashboard / Single Payout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28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Bulk CSV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03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API Payout Flow (Direct Merchant Integration)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666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Changes Required (High-Level)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Changes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enrichment hook (~20 LOC) before payout creation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Add optional TDS fields to API: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tds_category_id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apply_ldc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Tax-Compliance enrichment endpoint if TDS fields present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Store metadata: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tds_rate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flag for gradual rollout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Low (~20 LOC)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Build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/internal/tds/enrich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endpoint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TDS, create tds_payments entity (status: PENDING)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Return enriched data: net_amount, tds_amount, rate, 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Build event listener for payout status updates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Update tds_payments entity (PENDING → SUCCESS/FAILED)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Dashboard UI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form fields (category, apply_ldc toggle)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Show TDS breakdown to user before confirmation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Payouts API with TDS fields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CSV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columns to CSV template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 Payouts API with TDS fields for each row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Display enriched preview before processing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Single API call for merchants (one-stop solution)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Adds 50-100ms latency for TDS payouts only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 Payouts changes (~20 LOC enrichment hook)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 dependency on Tax-Compliance during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domain leak - Payouts just calls enrichment service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Works for all payout types (Dashboard, Bulk, API)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entity created synchronously (available immediately)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 failure handling - fail fast, no partial state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Feature-flagged - can be rolled out gradually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Zero impact on non-TDS payouts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can be horizontally scaled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Backward compatible - all TDS fields optional</w:t>
            </w:r>
          </w:p>
        </w:tc>
        <w:tc>
          <w:tcPr>
            <w:tcW w:type="dxa" w:w="4320"/>
          </w:tcPr>
          <w:p/>
        </w:tc>
      </w:tr>
    </w:tbl>
    <w:p>
      <w:pPr>
        <w:spacing w:before="240" w:after="240"/>
      </w:pP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Approach 2: TC Gateway (Not Recommended)</w:t>
      </w:r>
    </w:p>
    <w:p>
      <w:r>
        <w:rPr>
          <w:rFonts w:ascii="Arial" w:hAnsi="Arial"/>
          <w:b w:val="0"/>
          <w:i w:val="0"/>
          <w:color w:val="000000"/>
          <w:sz w:val="22"/>
        </w:rPr>
        <w:t>Not Recommended</w:t>
      </w:r>
    </w:p>
    <w:p>
      <w:r>
        <w:rPr>
          <w:rFonts w:ascii="Arial" w:hAnsi="Arial"/>
          <w:b w:val="0"/>
          <w:i w:val="0"/>
          <w:color w:val="000000"/>
          <w:sz w:val="22"/>
        </w:rPr>
        <w:t>Tax-Compliance orchestrates both TDS computation and payout creation; exposes /v2/payouts endpoint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Tax-Compliance becomes the orchestrator. It exposes a single API endpoint</w:t>
        <w:br/>
        <w:t xml:space="preserve">    that creates both the TDS Payment entity and the payout.</w:t>
        <w:br/>
        <w:t xml:space="preserve">  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Preview (UI only):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(BFF) computes TDS to show breakdown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Single API Call:</w:t>
      </w:r>
      <w:r>
        <w:rPr>
          <w:rFonts w:ascii="Arial" w:hAnsi="Arial"/>
          <w:b w:val="0"/>
          <w:i w:val="0"/>
          <w:color w:val="000000"/>
          <w:sz w:val="22"/>
        </w:rPr>
        <w:t xml:space="preserve"> UI calls Tax-Compliance payout creation API (not Payouts directly)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Tax-Compliance Orchestration: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Status Sync: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listens to payout status updates via existing Kafka topic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Payout Type Considerations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One orchestrated call via Tax-Compliance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Would require new bulk orchestration API in Tax-Compliance; complex error handling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External users call Tax-Compliance instead of Payouts (API surface change)</w:t>
            </w:r>
          </w:p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Single API call returns both TDS Payment ID and Payout ID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Reversed S2S call (Tax-Compliance → Payouts adds latency)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Payment entity available synchronously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depends on Payouts (tight coupling)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owns all TDS data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Domain leakage - Tax-Compliance must understand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new Kafka topic needed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Complex orchestration logic in Tax-Compliance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 Payouts changes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payout support requires significant Tax-Compliance work</w:t>
            </w:r>
          </w:p>
        </w:tc>
      </w:tr>
    </w:tbl>
    <w:p>
      <w:pPr>
        <w:ind w:left="0" w:firstLine="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When to Consider</w:t>
      </w:r>
    </w:p>
    <w:p>
      <w:pPr>
        <w:ind w:left="0" w:firstLine="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approach is viable if having the TDS Payment ID synchronously in the API response</w:t>
        <w:br/>
        <w:t xml:space="preserve">      is a hard requirement. However, it introduces orchestration complexity and reverses</w:t>
        <w:br/>
        <w:t xml:space="preserve">      the natural dependency direction (Tax-Compliance calling Payouts).</w:t>
        <w:br/>
        <w:t xml:space="preserve">    </w:t>
      </w:r>
    </w:p>
    <w:p>
      <w:pPr>
        <w:spacing w:before="240" w:after="240"/>
      </w:pP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Approach 3: Pre-Compute Pattern (Not Recommended)</w:t>
      </w:r>
    </w:p>
    <w:p>
      <w:r>
        <w:rPr>
          <w:rFonts w:ascii="Arial" w:hAnsi="Arial"/>
          <w:b w:val="0"/>
          <w:i w:val="0"/>
          <w:color w:val="000000"/>
          <w:sz w:val="22"/>
        </w:rPr>
        <w:t>Not Recommended</w:t>
      </w:r>
    </w:p>
    <w:p>
      <w:r>
        <w:rPr>
          <w:rFonts w:ascii="Arial" w:hAnsi="Arial"/>
          <w:b w:val="0"/>
          <w:i w:val="0"/>
          <w:color w:val="000000"/>
          <w:sz w:val="22"/>
        </w:rPr>
        <w:t>Caller pre-computes TDS via Tax-Compliance first, then calls Payouts separately; two API calls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How It Works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The caller (UI/BFF or API merchant) makes TWO separate API calls: first to Tax-Compliance to compute TDS</w:t>
        <w:br/>
        <w:t xml:space="preserve">    and create the tds_payments entity, then to Payouts to create the payout with the pre-computed net amount.</w:t>
        <w:br/>
        <w:t xml:space="preserve">  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Flow Summary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Compute TDS (First API Call):</w:t>
      </w:r>
      <w:r>
        <w:rPr>
          <w:rFonts w:ascii="Arial" w:hAnsi="Arial"/>
          <w:b w:val="0"/>
          <w:i w:val="0"/>
          <w:color w:val="000000"/>
          <w:sz w:val="22"/>
        </w:rPr>
        <w:t xml:space="preserve"> Caller calls Tax-Compliance API with gross_amount, category_id, contact_id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TDS Entity Created: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computes TDS, creates tds_payments entity (status: PENDING), returns tds_payment_id, tds_amount, net_amount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Create Payout (Second API Call):</w:t>
      </w:r>
      <w:r>
        <w:rPr>
          <w:rFonts w:ascii="Arial" w:hAnsi="Arial"/>
          <w:b w:val="0"/>
          <w:i w:val="0"/>
          <w:color w:val="000000"/>
          <w:sz w:val="22"/>
        </w:rPr>
        <w:t xml:space="preserve"> Caller calls Payouts API with net_amount and tds_payment_id in metadata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Payout Creation: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Payouts creates payout with net_amount (no S2S call, no amount mutation)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TDS Update:</w:t>
      </w:r>
      <w:r>
        <w:rPr>
          <w:rFonts w:ascii="Arial" w:hAnsi="Arial"/>
          <w:b w:val="0"/>
          <w:i w:val="0"/>
          <w:color w:val="000000"/>
          <w:sz w:val="22"/>
        </w:rPr>
        <w:t xml:space="preserve"> When payout reaches terminal state, Tax-Compliance updates tds_payments entity status via payout status events</w:t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362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6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Payout Type Considerations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Single Payout (UI)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Two API calls required (TDS compute + payout creation); acceptable for single payouts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 (CSV)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Must compute TDS for all rows first, then create payouts; complex workflow with intermediate state management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merchants must make two sequential API calls; breaks one-stop solution requirement</w:t>
            </w:r>
          </w:p>
        </w:tc>
      </w:tr>
    </w:tbl>
    <w:p>
      <w:pPr>
        <w:pStyle w:val="Heading4"/>
        <w:keepNext/>
        <w:spacing w:before="280" w:after="120"/>
      </w:pPr>
      <w:r>
        <w:rPr>
          <w:rFonts w:ascii="Arial" w:hAnsi="Arial"/>
          <w:b/>
          <w:i w:val="0"/>
          <w:color w:val="1155CC"/>
          <w:sz w:val="24"/>
        </w:rPr>
        <w:t>Pros and Cons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S2S coupling between Payouts and Tax-Compliance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TWO API calls required for merchants (breaks one-stop solution)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amount mutation in Payouts (caller sends net amount directly)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Complex workflow for bulk payouts (compute all TDS first, then create payouts)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entity created synchronously in first call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Poor UX for API merchants (must orchestrate two sequential calls)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 separation of concerns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Intermediate state management required (tds_payments in PENDING between calls)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Caller must handle failures in either API call and cleanup orphaned entities</w:t>
            </w:r>
          </w:p>
        </w:tc>
      </w:tr>
    </w:tbl>
    <w:p>
      <w:pPr>
        <w:ind w:left="0" w:firstLine="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Why Not Recommended</w:t>
      </w:r>
    </w:p>
    <w:p>
      <w:pPr>
        <w:ind w:left="0" w:firstLine="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approach introduces significant technical debt: latency overhead, service coupling,</w:t>
        <w:br/>
        <w:t xml:space="preserve">      domain leakage, and risky amount mutation. The synchronous S2S call in the critical path</w:t>
        <w:br/>
        <w:t xml:space="preserve">      makes payouts dependent on Tax-Compliance availability.</w:t>
        <w:br/>
        <w:t xml:space="preserve">    </w:t>
      </w:r>
    </w:p>
    <w:p>
      <w:pPr>
        <w:spacing w:before="240" w:after="240"/>
      </w:pP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Comparison of All Three Approaches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Criteria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1: Enrichment Hook ✓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2: TC Gateway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Approach 3: Pre-Compute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Merchant API calls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1 call (Payouts)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 call (Tax-Compliance)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 calls (Tax then Payouts)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S2S call in payout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(Payouts→Tax, optional)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(Tax→Payouts)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Latency added to payout API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(TDS payouts only)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0ms (but 2 API calls)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Service coupling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 (enrichment only)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Tight (reversed)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Loose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Payouts code changes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~20 LOC hook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Minimal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 (fields only)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Domain separation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Clean (no TDS logic)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 owns payout orchestration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Clean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One-stop solution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Wrong API endpoint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(2 calls)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entity created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Synchronously (enrichment)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Synchronously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Synchronously (first call)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Bulk payouts support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Simple (same flow)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Very complex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Simple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Testing complexity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 (mock Tax-Compliance)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Risk to 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Low (isolated hook)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API version change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No (optional fields)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(new endpoint)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 Payment ID in response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Yes (in payout response)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(in payout response)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Yes (but in first call, not payout response)</w:t>
            </w:r>
          </w:p>
        </w:tc>
      </w:tr>
    </w:tbl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Final Decision: Approach 1 — Enrichment Hook Pattern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Approach 1 is selected for all channels</w:t>
      </w:r>
      <w:r>
        <w:rPr>
          <w:rFonts w:ascii="Arial" w:hAnsi="Arial"/>
          <w:b w:val="0"/>
          <w:i w:val="0"/>
          <w:color w:val="000000"/>
          <w:sz w:val="22"/>
        </w:rPr>
        <w:t xml:space="preserve"> (Dashboard, Bulk CSV, API). It provides a </w:t>
      </w:r>
      <w:r>
        <w:rPr>
          <w:rFonts w:ascii="Arial" w:hAnsi="Arial"/>
          <w:b/>
          <w:i w:val="0"/>
          <w:color w:val="000000"/>
          <w:sz w:val="22"/>
        </w:rPr>
        <w:t>one-stop solution</w:t>
      </w:r>
      <w:r>
        <w:rPr>
          <w:rFonts w:ascii="Arial" w:hAnsi="Arial"/>
          <w:b w:val="0"/>
          <w:i w:val="0"/>
          <w:color w:val="000000"/>
          <w:sz w:val="22"/>
        </w:rPr>
        <w:br/>
        <w:t xml:space="preserve">      where merchants make a single API call to Payouts with optional TDS fields. Payouts makes a lightweight enrichment call (~50-100ms)</w:t>
        <w:br/>
        <w:t xml:space="preserve">      to Tax-Compliance if TDS fields are present. This adds minimal code to Payouts (~20 LOC), maintains clean domain separation</w:t>
        <w:br/>
        <w:t xml:space="preserve">      (Payouts doesn't own TDS logic), and works uniformly across all payout types. The TDS Payment entity is created synchronously</w:t>
        <w:br/>
        <w:t xml:space="preserve">      and available immediately in the response.</w:t>
        <w:br/>
        <w:t xml:space="preserve">    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Trade-offs accepted:</w:t>
      </w:r>
      <w:r>
        <w:rPr>
          <w:rFonts w:ascii="Arial" w:hAnsi="Arial"/>
          <w:b w:val="0"/>
          <w:i w:val="0"/>
          <w:color w:val="000000"/>
          <w:sz w:val="22"/>
        </w:rPr>
        <w:t xml:space="preserve"> +50-100ms latency for TDS payouts only (zero impact on non-TDS payouts); sync dependency</w:t>
        <w:br/>
        <w:t xml:space="preserve">      on Tax-Compliance during payout creation (mitigated via timeouts, circuit breakers, and horizontal scaling).</w:t>
        <w:br/>
        <w:t xml:space="preserve">    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See </w:t>
      </w:r>
      <w:hyperlink r:id="rId16">
        <w:r>
          <w:rPr>
            <w:rFonts w:ascii="Arial" w:hAnsi="Arial"/>
            <w:color w:val="0000ee"/>
            <w:u w:val="single"/>
            <w:sz w:val="22"/>
            <w:szCs w:val="22"/>
          </w:rPr>
          <w:t>Section 8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for full implementation specification.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8.2 Assumptions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Tax-Compliance will expose an internal </w:t>
      </w:r>
      <w:r>
        <w:rPr>
          <w:rFonts w:ascii="Arial" w:hAnsi="Arial"/>
          <w:b w:val="0"/>
          <w:i w:val="0"/>
          <w:color w:val="000000"/>
          <w:sz w:val="22"/>
        </w:rPr>
        <w:t>/internal/tds/enrich</w:t>
      </w:r>
      <w:r>
        <w:rPr>
          <w:rFonts w:ascii="Arial" w:hAnsi="Arial"/>
          <w:b w:val="0"/>
          <w:i w:val="0"/>
          <w:color w:val="000000"/>
          <w:sz w:val="22"/>
        </w:rPr>
        <w:t xml:space="preserve"> endpoint for Payouts to call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Enrichment call latency is acceptable (~50-100ms) for TDS payouts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can be horizontally scaled to handle enrichment load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Payouts API version stays at </w:t>
      </w:r>
      <w:r>
        <w:rPr>
          <w:rFonts w:ascii="Arial" w:hAnsi="Arial"/>
          <w:b w:val="0"/>
          <w:i w:val="0"/>
          <w:color w:val="000000"/>
          <w:sz w:val="22"/>
        </w:rPr>
        <w:t>/v1/payouts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— all TDS fields (</w:t>
      </w:r>
      <w:r>
        <w:rPr>
          <w:rFonts w:ascii="Arial" w:hAnsi="Arial"/>
          <w:b w:val="0"/>
          <w:i w:val="0"/>
          <w:color w:val="000000"/>
          <w:sz w:val="22"/>
        </w:rPr>
        <w:t>tds_category_id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Arial" w:hAnsi="Arial"/>
          <w:b w:val="0"/>
          <w:i w:val="0"/>
          <w:color w:val="000000"/>
          <w:sz w:val="22"/>
        </w:rPr>
        <w:t>apply_ldc</w:t>
      </w:r>
      <w:r>
        <w:rPr>
          <w:rFonts w:ascii="Arial" w:hAnsi="Arial"/>
          <w:b w:val="0"/>
          <w:i w:val="0"/>
          <w:color w:val="000000"/>
          <w:sz w:val="22"/>
        </w:rPr>
        <w:t>) are optional extensions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Enrichment hook is feature-flagged and can be rolled out gradually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event listener is idempotent — safe to retry on failure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Timeouts and circuit breakers will be implemented to handle Tax-Compliance failures gracefully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8.5 Data Model / Schema Changes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Payouts — New Fields (Low Blast Radius)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Storage Split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Payouts stores:</w:t>
      </w:r>
      <w:r>
        <w:rPr>
          <w:rFonts w:ascii="Arial" w:hAnsi="Arial"/>
          <w:b w:val="0"/>
          <w:i w:val="0"/>
          <w:color w:val="000000"/>
          <w:sz w:val="22"/>
        </w:rPr>
        <w:t xml:space="preserve"> Primitive fields only — </w:t>
      </w:r>
      <w:r>
        <w:rPr>
          <w:rFonts w:ascii="Courier New" w:hAnsi="Courier New"/>
          <w:b w:val="0"/>
          <w:i w:val="0"/>
          <w:color w:val="000000"/>
          <w:sz w:val="22"/>
        </w:rPr>
        <w:t>tds_amount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2"/>
        </w:rPr>
        <w:t>tds_rate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2"/>
        </w:rPr>
        <w:t>tds_category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2"/>
        </w:rPr>
        <w:t>payee_pan</w:t>
      </w:r>
      <w:r>
        <w:rPr>
          <w:rFonts w:ascii="Arial" w:hAnsi="Arial"/>
          <w:b w:val="0"/>
          <w:i w:val="0"/>
          <w:color w:val="00000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2"/>
        </w:rPr>
        <w:t>source</w:t>
      </w:r>
      <w:r>
        <w:rPr>
          <w:rFonts w:ascii="Arial" w:hAnsi="Arial"/>
          <w:b w:val="0"/>
          <w:i w:val="0"/>
          <w:color w:val="000000"/>
          <w:sz w:val="22"/>
        </w:rPr>
        <w:t xml:space="preserve"> added to </w:t>
      </w:r>
      <w:r>
        <w:rPr>
          <w:rFonts w:ascii="Courier New" w:hAnsi="Courier New"/>
          <w:b w:val="0"/>
          <w:i w:val="0"/>
          <w:color w:val="000000"/>
          <w:sz w:val="22"/>
        </w:rPr>
        <w:t>payout_details</w:t>
      </w:r>
      <w:r>
        <w:rPr>
          <w:rFonts w:ascii="Arial" w:hAnsi="Arial"/>
          <w:b w:val="0"/>
          <w:i w:val="0"/>
          <w:color w:val="000000"/>
          <w:sz w:val="22"/>
        </w:rPr>
        <w:t xml:space="preserve"> JSON. No new entity, no Tax-Compliance call at creation time.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Tax-Compliance stores:</w:t>
      </w:r>
      <w:r>
        <w:rPr>
          <w:rFonts w:ascii="Arial" w:hAnsi="Arial"/>
          <w:b w:val="0"/>
          <w:i w:val="0"/>
          <w:color w:val="000000"/>
          <w:sz w:val="22"/>
        </w:rPr>
        <w:t xml:space="preserve"> Full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 asynchronously from the Kafka event after payout completion. All audit fields carried in the Kafka message.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Type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Owner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tds.source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"bb_plus" — Kafka routing indicator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tds.gross_amount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int64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Original gross amount before TDS deduction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tds.amount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float64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(existing)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deduction amount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tds.breakdown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breakdown from compute response (basic tax, surcharge, cess, rate)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entity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TDS record for government filing (PAN, amounts, category, payout ref)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Kafka Topic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Topic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Publisher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Consumer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When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(new)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BB+ payout reaches terminal state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(existing)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Non-BB+ TDS payout (unchanged)</w:t>
            </w:r>
          </w:p>
        </w:tc>
      </w:tr>
    </w:tbl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8.6 Business Logic Changes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8.6.1 Payouts Service — Enrichment Hook Logic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 xml:space="preserve">The key business logic change in Payouts is the </w:t>
      </w:r>
      <w:r>
        <w:rPr>
          <w:rFonts w:ascii="Arial" w:hAnsi="Arial"/>
          <w:b/>
          <w:i w:val="0"/>
          <w:color w:val="000000"/>
          <w:sz w:val="22"/>
        </w:rPr>
        <w:t>enrichment hook</w:t>
      </w:r>
      <w:r>
        <w:rPr>
          <w:rFonts w:ascii="Arial" w:hAnsi="Arial"/>
          <w:b w:val="0"/>
          <w:i w:val="0"/>
          <w:color w:val="000000"/>
          <w:sz w:val="22"/>
        </w:rPr>
        <w:t xml:space="preserve"> that calls Tax-Compliance when TDS fields are present in the payout request. This is implemented as a lightweight, optional hook (~20 LOC) that runs BEFORE payout creation.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Enrichment Flow in Payout Creation Handler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Check for TDS fields:</w:t>
      </w:r>
      <w:r>
        <w:rPr>
          <w:rFonts w:ascii="Arial" w:hAnsi="Arial"/>
          <w:b w:val="0"/>
          <w:i w:val="0"/>
          <w:color w:val="000000"/>
          <w:sz w:val="22"/>
        </w:rPr>
        <w:t xml:space="preserve"> If request contains </w:t>
      </w:r>
      <w:r>
        <w:rPr>
          <w:rFonts w:ascii="Courier New" w:hAnsi="Courier New"/>
          <w:b w:val="0"/>
          <w:i w:val="0"/>
          <w:color w:val="000000"/>
          <w:sz w:val="22"/>
        </w:rPr>
        <w:t>tds_category_id</w:t>
      </w:r>
      <w:r>
        <w:rPr>
          <w:rFonts w:ascii="Arial" w:hAnsi="Arial"/>
          <w:b w:val="0"/>
          <w:i w:val="0"/>
          <w:color w:val="000000"/>
          <w:sz w:val="22"/>
        </w:rPr>
        <w:t xml:space="preserve"> and </w:t>
      </w:r>
      <w:r>
        <w:rPr>
          <w:rFonts w:ascii="Courier New" w:hAnsi="Courier New"/>
          <w:b w:val="0"/>
          <w:i w:val="0"/>
          <w:color w:val="000000"/>
          <w:sz w:val="22"/>
        </w:rPr>
        <w:t>amount</w:t>
      </w:r>
      <w:r>
        <w:rPr>
          <w:rFonts w:ascii="Arial" w:hAnsi="Arial"/>
          <w:b w:val="0"/>
          <w:i w:val="0"/>
          <w:color w:val="000000"/>
          <w:sz w:val="22"/>
        </w:rPr>
        <w:t>, trigger enrichment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Call Tax-Compliance:</w:t>
      </w:r>
      <w:r>
        <w:rPr>
          <w:rFonts w:ascii="Arial" w:hAnsi="Arial"/>
          <w:b w:val="0"/>
          <w:i w:val="0"/>
          <w:color w:val="000000"/>
          <w:sz w:val="22"/>
        </w:rPr>
        <w:t xml:space="preserve"> Sync HTTP call to </w:t>
      </w:r>
      <w:r>
        <w:rPr>
          <w:rFonts w:ascii="Courier New" w:hAnsi="Courier New"/>
          <w:b w:val="0"/>
          <w:i w:val="0"/>
          <w:color w:val="000000"/>
          <w:sz w:val="22"/>
        </w:rPr>
        <w:t>/internal/tds/enrich</w:t>
      </w:r>
      <w:r>
        <w:rPr>
          <w:rFonts w:ascii="Arial" w:hAnsi="Arial"/>
          <w:b w:val="0"/>
          <w:i w:val="0"/>
          <w:color w:val="000000"/>
          <w:sz w:val="22"/>
        </w:rPr>
        <w:t xml:space="preserve"> with contact_id, gross_amount, category_id, apply_ldc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Receive enriched data: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returns {net_amount, tds_amount, rate, tds_payment_id}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Create payout:</w:t>
      </w:r>
      <w:r>
        <w:rPr>
          <w:rFonts w:ascii="Arial" w:hAnsi="Arial"/>
          <w:b w:val="0"/>
          <w:i w:val="0"/>
          <w:color w:val="000000"/>
          <w:sz w:val="22"/>
        </w:rPr>
        <w:t xml:space="preserve"> Use enriched net_amount as the payout amount; store TDS metadata</w:t>
      </w:r>
    </w:p>
    <w:p>
      <w:pPr>
        <w:pStyle w:val="ListNumber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Emit events:</w:t>
      </w:r>
      <w:r>
        <w:rPr>
          <w:rFonts w:ascii="Arial" w:hAnsi="Arial"/>
          <w:b w:val="0"/>
          <w:i w:val="0"/>
          <w:color w:val="000000"/>
          <w:sz w:val="22"/>
        </w:rPr>
        <w:t xml:space="preserve"> Standard payout status events (Tax-Compliance listens and updates tds_payments entity)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Change Area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What Changes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 API handler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enrichment hook: if TDS fields present, call Tax-Compliance /internal/tds/enrich before creating payout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~20 LOC hook; optional (only runs if TDS fields present)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TDSDetails struct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Add fields: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(string),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(int64),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rate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(float),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category_id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(string)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Additive — no existing code affected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Payout creation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Use enriched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net_amount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from Tax-Compliance response; store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tds_payment_id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in metadata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amount mutation in Payouts — Tax-Compliance computes and returns net amount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Event emission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payout status events carry TDS metadata (tds_payment_id, tds_amount) for Tax-Compliance listener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new events or topics; reuses existing event infrastructure</w:t>
            </w:r>
          </w:p>
        </w:tc>
      </w:tr>
    </w:tbl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What Payouts DOES in Enrichment Hook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Payouts </w:t>
      </w:r>
      <w:r>
        <w:rPr>
          <w:rFonts w:ascii="Arial" w:hAnsi="Arial"/>
          <w:b/>
          <w:i w:val="0"/>
          <w:color w:val="000000"/>
          <w:sz w:val="22"/>
        </w:rPr>
        <w:t>calls Tax-Compliance /internal/tds/enrich</w:t>
      </w:r>
      <w:r>
        <w:rPr>
          <w:rFonts w:ascii="Arial" w:hAnsi="Arial"/>
          <w:b w:val="0"/>
          <w:i w:val="0"/>
          <w:color w:val="000000"/>
          <w:sz w:val="22"/>
        </w:rPr>
        <w:t xml:space="preserve"> synchronously (~50-100ms) if TDS fields present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Payouts </w:t>
      </w:r>
      <w:r>
        <w:rPr>
          <w:rFonts w:ascii="Arial" w:hAnsi="Arial"/>
          <w:b/>
          <w:i w:val="0"/>
          <w:color w:val="000000"/>
          <w:sz w:val="22"/>
        </w:rPr>
        <w:t>uses enriched net_amount</w:t>
      </w:r>
      <w:r>
        <w:rPr>
          <w:rFonts w:ascii="Arial" w:hAnsi="Arial"/>
          <w:b w:val="0"/>
          <w:i w:val="0"/>
          <w:color w:val="000000"/>
          <w:sz w:val="22"/>
        </w:rPr>
        <w:t xml:space="preserve"> from Tax-Compliance for payout creation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Payouts </w:t>
      </w:r>
      <w:r>
        <w:rPr>
          <w:rFonts w:ascii="Arial" w:hAnsi="Arial"/>
          <w:b/>
          <w:i w:val="0"/>
          <w:color w:val="000000"/>
          <w:sz w:val="22"/>
        </w:rPr>
        <w:t>stores TDS metadata</w:t>
      </w:r>
      <w:r>
        <w:rPr>
          <w:rFonts w:ascii="Arial" w:hAnsi="Arial"/>
          <w:b w:val="0"/>
          <w:i w:val="0"/>
          <w:color w:val="000000"/>
          <w:sz w:val="22"/>
        </w:rPr>
        <w:t xml:space="preserve"> (tds_payment_id, tds_amount, rate) in payout_details</w:t>
      </w:r>
    </w:p>
    <w:p>
      <w:pPr>
        <w:pStyle w:val="ListBullet"/>
        <w:ind w:left="720" w:hanging="36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Payouts </w:t>
      </w:r>
      <w:r>
        <w:rPr>
          <w:rFonts w:ascii="Arial" w:hAnsi="Arial"/>
          <w:b/>
          <w:i w:val="0"/>
          <w:color w:val="000000"/>
          <w:sz w:val="22"/>
        </w:rPr>
        <w:t>emits standard status events</w:t>
      </w:r>
      <w:r>
        <w:rPr>
          <w:rFonts w:ascii="Arial" w:hAnsi="Arial"/>
          <w:b w:val="0"/>
          <w:i w:val="0"/>
          <w:color w:val="000000"/>
          <w:sz w:val="22"/>
        </w:rPr>
        <w:t xml:space="preserve"> that Tax-Compliance consumes to update tds_payments entity</w:t>
      </w:r>
    </w:p>
    <w:p>
      <w:pPr>
        <w:ind w:left="0" w:firstLine="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What Payouts Does NOT Do</w:t>
      </w:r>
    </w:p>
    <w:p>
      <w:pPr>
        <w:pStyle w:val="ListBullet"/>
        <w:ind w:left="720" w:hanging="36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Payouts does </w:t>
      </w:r>
      <w:r>
        <w:rPr>
          <w:rFonts w:ascii="Arial" w:hAnsi="Arial"/>
          <w:b/>
          <w:i w:val="0"/>
          <w:color w:val="000000"/>
          <w:sz w:val="22"/>
        </w:rPr>
        <w:t>not</w:t>
      </w:r>
      <w:r>
        <w:rPr>
          <w:rFonts w:ascii="Arial" w:hAnsi="Arial"/>
          <w:b w:val="0"/>
          <w:i w:val="0"/>
          <w:color w:val="000000"/>
          <w:sz w:val="22"/>
        </w:rPr>
        <w:t xml:space="preserve"> compute TDS — Tax-Compliance handles all computation logic</w:t>
      </w:r>
    </w:p>
    <w:p>
      <w:pPr>
        <w:pStyle w:val="ListBullet"/>
        <w:ind w:left="720" w:hanging="36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Payouts does </w:t>
      </w:r>
      <w:r>
        <w:rPr>
          <w:rFonts w:ascii="Arial" w:hAnsi="Arial"/>
          <w:b/>
          <w:i w:val="0"/>
          <w:color w:val="000000"/>
          <w:sz w:val="22"/>
        </w:rPr>
        <w:t>not</w:t>
      </w:r>
      <w:r>
        <w:rPr>
          <w:rFonts w:ascii="Arial" w:hAnsi="Arial"/>
          <w:b w:val="0"/>
          <w:i w:val="0"/>
          <w:color w:val="000000"/>
          <w:sz w:val="22"/>
        </w:rPr>
        <w:t xml:space="preserve"> validate TDS category rules — Tax-Compliance validates and returns errors if invalid</w:t>
      </w:r>
    </w:p>
    <w:p>
      <w:pPr>
        <w:pStyle w:val="ListBullet"/>
        <w:ind w:left="720" w:hanging="36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Payouts does </w:t>
      </w:r>
      <w:r>
        <w:rPr>
          <w:rFonts w:ascii="Arial" w:hAnsi="Arial"/>
          <w:b/>
          <w:i w:val="0"/>
          <w:color w:val="000000"/>
          <w:sz w:val="22"/>
        </w:rPr>
        <w:t>not</w:t>
      </w:r>
      <w:r>
        <w:rPr>
          <w:rFonts w:ascii="Arial" w:hAnsi="Arial"/>
          <w:b w:val="0"/>
          <w:i w:val="0"/>
          <w:color w:val="000000"/>
          <w:sz w:val="22"/>
        </w:rPr>
        <w:t xml:space="preserve"> create tds_payments entity — Tax-Compliance creates it during enrichment call</w:t>
      </w:r>
    </w:p>
    <w:p>
      <w:pPr>
        <w:pStyle w:val="ListBullet"/>
        <w:ind w:left="720" w:hanging="360"/>
        <w:jc w:val="left"/>
        <w:shd w:val="clear" w:color="auto" w:fill="FFFBEB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 xml:space="preserve">Payouts does </w:t>
      </w:r>
      <w:r>
        <w:rPr>
          <w:rFonts w:ascii="Arial" w:hAnsi="Arial"/>
          <w:b/>
          <w:i w:val="0"/>
          <w:color w:val="000000"/>
          <w:sz w:val="22"/>
        </w:rPr>
        <w:t>not</w:t>
      </w:r>
      <w:r>
        <w:rPr>
          <w:rFonts w:ascii="Arial" w:hAnsi="Arial"/>
          <w:b w:val="0"/>
          <w:i w:val="0"/>
          <w:color w:val="000000"/>
          <w:sz w:val="22"/>
        </w:rPr>
        <w:t xml:space="preserve"> have domain knowledge of TDS — zero domain leak; Payouts is a thin orchestrator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8.6.2 Final Recommendation Summary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RECOMMENDED: Approach 1 — Enrichment Hook Pattern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Approach 1 is the recommended solution for all payout types (Single, Bulk, API).</w:t>
      </w:r>
    </w:p>
    <w:p>
      <w:pPr>
        <w:ind w:left="0" w:firstLine="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Key Reasons: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One-stop solution:</w:t>
      </w:r>
      <w:r>
        <w:rPr>
          <w:rFonts w:ascii="Arial" w:hAnsi="Arial"/>
          <w:b w:val="0"/>
          <w:i w:val="0"/>
          <w:color w:val="000000"/>
          <w:sz w:val="22"/>
        </w:rPr>
        <w:t xml:space="preserve"> Merchants make single API call to Payouts; enrichment happens internally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Minimal Payouts changes:</w:t>
      </w:r>
      <w:r>
        <w:rPr>
          <w:rFonts w:ascii="Arial" w:hAnsi="Arial"/>
          <w:b w:val="0"/>
          <w:i w:val="0"/>
          <w:color w:val="000000"/>
          <w:sz w:val="22"/>
        </w:rPr>
        <w:t xml:space="preserve"> ~20 LOC enrichment hook; feature-flagged; isolated code path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Clean domain separation: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Payouts doesn't own TDS logic; just calls enrichment service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Works for all payout types:</w:t>
      </w:r>
      <w:r>
        <w:rPr>
          <w:rFonts w:ascii="Arial" w:hAnsi="Arial"/>
          <w:b w:val="0"/>
          <w:i w:val="0"/>
          <w:color w:val="000000"/>
          <w:sz w:val="22"/>
        </w:rPr>
        <w:t xml:space="preserve"> Dashboard, Bulk, API - unified approach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TDS entity available immediately:</w:t>
      </w:r>
      <w:r>
        <w:rPr>
          <w:rFonts w:ascii="Arial" w:hAnsi="Arial"/>
          <w:b w:val="0"/>
          <w:i w:val="0"/>
          <w:color w:val="000000"/>
          <w:sz w:val="22"/>
        </w:rPr>
        <w:t xml:space="preserve"> Created synchronously during enrichment; returned in response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Clean failure handling:</w:t>
      </w:r>
      <w:r>
        <w:rPr>
          <w:rFonts w:ascii="Arial" w:hAnsi="Arial"/>
          <w:b w:val="0"/>
          <w:i w:val="0"/>
          <w:color w:val="000000"/>
          <w:sz w:val="22"/>
        </w:rPr>
        <w:t xml:space="preserve"> Fail fast if enrichment fails; no partial state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Low risk:</w:t>
      </w:r>
      <w:r>
        <w:rPr>
          <w:rFonts w:ascii="Arial" w:hAnsi="Arial"/>
          <w:b w:val="0"/>
          <w:i w:val="0"/>
          <w:color w:val="000000"/>
          <w:sz w:val="22"/>
        </w:rPr>
        <w:t xml:space="preserve"> Feature-flagged; zero impact on non-TDS payouts; can be rolled out gradually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Scalable: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enrichment is lightweight and can be horizontally scaled</w:t>
      </w:r>
    </w:p>
    <w:p>
      <w:pPr>
        <w:pStyle w:val="ListBullet"/>
        <w:ind w:left="720" w:hanging="360"/>
        <w:jc w:val="left"/>
        <w:shd w:val="clear" w:color="auto" w:fill="F0FDF4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2"/>
        </w:rPr>
        <w:t>Backward compatible:</w:t>
      </w:r>
      <w:r>
        <w:rPr>
          <w:rFonts w:ascii="Arial" w:hAnsi="Arial"/>
          <w:b w:val="0"/>
          <w:i w:val="0"/>
          <w:color w:val="000000"/>
          <w:sz w:val="22"/>
        </w:rPr>
        <w:t xml:space="preserve"> All TDS fields are optional; no API version change needed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8.6.3 Trade-offs Accepted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Trade-off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+50-100ms latency for TDS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Isolated to TDS payouts only; zero impact on non-TDS payouts; Tax-Compliance enrichment is lightweight (compute + DB insert)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Sync dependency on Tax-Compliance during payout creation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Timeouts (~2s), circuit breakers, retry logic; Tax-Compliance horizontally scalable; fail-fast if unavailable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Enrichment call adds S2S integration to Payouts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Isolated behind feature flag; can be disabled; only ~20 LOC; does not affect core payout logic</w:t>
            </w:r>
          </w:p>
        </w:tc>
      </w:tr>
    </w:tbl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8.7 Miscellaneous Questions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Tax-Compliance enrichment API is down?</w:t>
      </w:r>
      <w:r>
        <w:rPr>
          <w:rFonts w:ascii="Arial" w:hAnsi="Arial"/>
          <w:b w:val="0"/>
          <w:i w:val="0"/>
          <w:color w:val="000000"/>
          <w:sz w:val="22"/>
        </w:rPr>
        <w:t xml:space="preserve"> — Payout creation fails immediately with clear error message. No partial state created. Non-TDS payouts continue to work normally.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enrichment call times out?</w:t>
      </w:r>
      <w:r>
        <w:rPr>
          <w:rFonts w:ascii="Arial" w:hAnsi="Arial"/>
          <w:b w:val="0"/>
          <w:i w:val="0"/>
          <w:color w:val="000000"/>
          <w:sz w:val="22"/>
        </w:rPr>
        <w:t xml:space="preserve"> — Payout creation fails after timeout (~2s). Circuit breaker opens after repeated failures to prevent cascading issues. Merchants retry when Tax-Compliance is back.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payout creation fails after enrichment?</w:t>
      </w:r>
      <w:r>
        <w:rPr>
          <w:rFonts w:ascii="Arial" w:hAnsi="Arial"/>
          <w:b w:val="0"/>
          <w:i w:val="0"/>
          <w:color w:val="000000"/>
          <w:sz w:val="22"/>
        </w:rPr>
        <w:t xml:space="preserve"> — tds_payments entity remains in PENDING state. Tax-Compliance cleanup job can mark orphaned PENDING records as FAILED after timeout period.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What if payout status event is lost?</w:t>
      </w:r>
      <w:r>
        <w:rPr>
          <w:rFonts w:ascii="Arial" w:hAnsi="Arial"/>
          <w:b w:val="0"/>
          <w:i w:val="0"/>
          <w:color w:val="000000"/>
          <w:sz w:val="22"/>
        </w:rPr>
        <w:t xml:space="preserve"> — Eventual consistency: Tax-Compliance can poll Payouts API for payout status and update tds_payments entity accordingly. Daily reconciliation job detects and fixes gaps.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How do we monitor enrichment health?</w:t>
      </w:r>
      <w:r>
        <w:rPr>
          <w:rFonts w:ascii="Arial" w:hAnsi="Arial"/>
          <w:b w:val="0"/>
          <w:i w:val="0"/>
          <w:color w:val="000000"/>
          <w:sz w:val="22"/>
        </w:rPr>
        <w:t xml:space="preserve"> — Track enrichment call latency, failure rate, and timeout rate. Alert if p95 latency &gt; 150ms or failure rate &gt; 1%.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Does Payouts validate the pre-computed tds_amount?</w:t>
      </w:r>
      <w:r>
        <w:rPr>
          <w:rFonts w:ascii="Arial" w:hAnsi="Arial"/>
          <w:b w:val="0"/>
          <w:i w:val="0"/>
          <w:color w:val="000000"/>
          <w:sz w:val="22"/>
        </w:rPr>
        <w:t xml:space="preserve"> — No. Payouts trusts the caller (Tax-Compliance BFF or API merchant). Validation is the caller's responsibility.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13.1 Production Rollout and Ramp Plan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1:</w:t>
      </w:r>
      <w:r>
        <w:rPr>
          <w:rFonts w:ascii="Arial" w:hAnsi="Arial"/>
          <w:b w:val="0"/>
          <w:i w:val="0"/>
          <w:color w:val="000000"/>
          <w:sz w:val="22"/>
        </w:rPr>
        <w:t xml:space="preserve"> Payouts service changes (fields + topic routing) - </w:t>
      </w:r>
      <w:r>
        <w:rPr>
          <w:rFonts w:ascii="Arial" w:hAnsi="Arial"/>
          <w:b w:val="0"/>
          <w:i/>
          <w:color w:val="000000"/>
          <w:sz w:val="22"/>
        </w:rPr>
        <w:t>Low risk, high value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2: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compute API + Kafka consumer - </w:t>
      </w:r>
      <w:r>
        <w:rPr>
          <w:rFonts w:ascii="Arial" w:hAnsi="Arial"/>
          <w:b w:val="0"/>
          <w:i/>
          <w:color w:val="000000"/>
          <w:sz w:val="22"/>
        </w:rPr>
        <w:t>Independent of Payouts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3:</w:t>
      </w:r>
      <w:r>
        <w:rPr>
          <w:rFonts w:ascii="Arial" w:hAnsi="Arial"/>
          <w:b w:val="0"/>
          <w:i w:val="0"/>
          <w:color w:val="000000"/>
          <w:sz w:val="22"/>
        </w:rPr>
        <w:t xml:space="preserve"> Tax-Compliance UI flow (single payout) - </w:t>
      </w:r>
      <w:r>
        <w:rPr>
          <w:rFonts w:ascii="Arial" w:hAnsi="Arial"/>
          <w:b w:val="0"/>
          <w:i/>
          <w:color w:val="000000"/>
          <w:sz w:val="22"/>
        </w:rPr>
        <w:t>First user-facing feature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4:</w:t>
      </w:r>
      <w:r>
        <w:rPr>
          <w:rFonts w:ascii="Arial" w:hAnsi="Arial"/>
          <w:b w:val="0"/>
          <w:i w:val="0"/>
          <w:color w:val="000000"/>
          <w:sz w:val="22"/>
        </w:rPr>
        <w:t xml:space="preserve"> Bulk payout CSV integration - </w:t>
      </w:r>
      <w:r>
        <w:rPr>
          <w:rFonts w:ascii="Arial" w:hAnsi="Arial"/>
          <w:b w:val="0"/>
          <w:i/>
          <w:color w:val="000000"/>
          <w:sz w:val="22"/>
        </w:rPr>
        <w:t>Reuses all prior work</w:t>
      </w:r>
    </w:p>
    <w:p>
      <w:pPr>
        <w:pStyle w:val="ListNumber"/>
      </w:pPr>
      <w:r>
        <w:rPr>
          <w:rFonts w:ascii="Arial" w:hAnsi="Arial"/>
          <w:b/>
          <w:i w:val="0"/>
          <w:color w:val="000000"/>
          <w:sz w:val="22"/>
        </w:rPr>
        <w:t>Phase 5:</w:t>
      </w:r>
      <w:r>
        <w:rPr>
          <w:rFonts w:ascii="Arial" w:hAnsi="Arial"/>
          <w:b w:val="0"/>
          <w:i w:val="0"/>
          <w:color w:val="000000"/>
          <w:sz w:val="22"/>
        </w:rPr>
        <w:t xml:space="preserve"> API documentation for external integrations - </w:t>
      </w:r>
      <w:r>
        <w:rPr>
          <w:rFonts w:ascii="Arial" w:hAnsi="Arial"/>
          <w:b w:val="0"/>
          <w:i/>
          <w:color w:val="000000"/>
          <w:sz w:val="22"/>
        </w:rPr>
        <w:t>Completes all channels</w:t>
      </w:r>
    </w:p>
    <w:p>
      <w:pPr>
        <w:spacing w:before="240" w:after="240"/>
      </w:pP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9. Non-Functional Requirements (NFRs)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9.1 Scalability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Single Payouts: no degradation to existing throughput — Payouts change is additive (new fields only)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Payouts: support up to 10,000 rows per CSV file; Tax-Compliance computes TDS per row before any payout is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must handle peak load during bulk processing concurrently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9.2 Availability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99.9% uptime target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Graceful degradation: if compute API is down, preview fails; Payouts creation of non-TDS payouts is unaffected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consumer: automatic retry with exponential backoff; DLQ after max retries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 creation latency target: &lt; 500ms p95 (no change from current)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creation (async): Kafka publish → entity creation &lt; 5 seconds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9.3 Security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PII Handling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Deductee PAN encrypted at rest in Tax-Compliance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PAN in Payouts service (only contact_id reference)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PII in logs or Kafka messages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Access Control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compute API: Authenticated merchants only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API: Existing authentication (no change)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Payment query API: Merchant can only access their own records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Kafka Security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Use existing Kafka authentication and authorization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Topic ACLs to restrict publisher/consumer access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9.4 Compliance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TDS Payment entities retained indefinitely for tax filing and audit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 details (TDS fields) retained per existing Payouts retention policy (7+ years)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messages: minimum 7-day retention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PAN data: encrypted at rest in Tax-Compliance; never stored in Payouts or Kafka messages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9.5 Reliability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Outbox pattern for Kafka publish — at-least-once delivery guaranteed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Daily reconciliation job: detect BB+ payouts with no corresponding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and alert ops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Payouts → Tax-Compliance are fully decoupled — failure in Tax-Compliance does not affect payout creation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9.6 Infra Cost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New Kafka topic: minimal cost (messages are lightweight)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Additional Tax-Compliance Kafka consumer: standard pod sizing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No new database tables in Payouts — storage via existing </w:t>
      </w:r>
      <w:r>
        <w:rPr>
          <w:rFonts w:ascii="Arial" w:hAnsi="Arial"/>
          <w:b w:val="0"/>
          <w:i w:val="0"/>
          <w:color w:val="000000"/>
          <w:sz w:val="22"/>
        </w:rPr>
        <w:t>payout_details</w:t>
      </w:r>
      <w:r>
        <w:rPr>
          <w:rFonts w:ascii="Arial" w:hAnsi="Arial"/>
          <w:b w:val="0"/>
          <w:i w:val="0"/>
          <w:color w:val="000000"/>
          <w:sz w:val="22"/>
        </w:rPr>
        <w:t xml:space="preserve"> JSON column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 xml:space="preserve">10. Agentic Development Spec — Agentic SDLC </w:t>
      </w:r>
      <w:r>
        <w:rPr>
          <w:rFonts w:ascii="Arial" w:hAnsi="Arial"/>
          <w:b/>
          <w:i w:val="0"/>
          <w:color w:val="1155CC"/>
          <w:sz w:val="32"/>
        </w:rPr>
        <w:t>[Mandatory]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10.1 Agent Objective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 xml:space="preserve">Implement the Enrichment Hook Pattern (Approach 1) end-to-end across the Payouts and Tax-Compliance services. "Done" means: BB+ merchants can create TDS payouts via UI, Bulk CSV, and API with a single API call; Payouts enriches TDS data via Tax-Compliance internal endpoint;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entities are created synchronously during enrichment; payout status updates are tracked via events; Vendor-Payments flows are unaffected.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10.2 Repositories in Scope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Repo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Branch Strategy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razorpay/vendor-payments (Payouts service)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 TDS fields + Kafka routing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branch off main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razorpay/tax-compliance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Compute API + Kafka consumer + tds_payments entity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Feature branch off main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10.3 Detailed Implementation Spec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 xml:space="preserve">See </w:t>
      </w: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 — Section 11: Codebase Analysis &amp; Implementation Plan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for file-level changes, API contracts, struct definitions, and sequence of operations.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10.4 Success Criteria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Both repos boot in devstack without errors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All unit tests pass (Payouts + Tax-Compliance)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E2E: BB+ single payout with TDS →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 in Tax-Compliance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E2E: Bulk CSV with TDS → all rows processed, entities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E2E: API merchant flow (compute → create payout) → entity created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Vendor-Payments E2E tests pass (no regression)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10.5 Test Requirements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Test Type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Unit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field handling, Kafka routing logic in Payouts; compute API, consumer in Tax-Compliance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Per repo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Integration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→ Kafka → Tax-Compliance consumer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Cross-service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E2E Tests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Full flow per channel (UI, Bulk, API)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Devstack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Regression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 TDS flows unchanged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suite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10.6 Constraints &amp; Guardrails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Do not modify </w:t>
      </w:r>
      <w:r>
        <w:rPr>
          <w:rFonts w:ascii="Arial" w:hAnsi="Arial"/>
          <w:b w:val="0"/>
          <w:i w:val="0"/>
          <w:color w:val="000000"/>
          <w:sz w:val="22"/>
        </w:rPr>
        <w:t>add-tds-entry</w:t>
      </w:r>
      <w:r>
        <w:rPr>
          <w:rFonts w:ascii="Arial" w:hAnsi="Arial"/>
          <w:b w:val="0"/>
          <w:i w:val="0"/>
          <w:color w:val="000000"/>
          <w:sz w:val="22"/>
        </w:rPr>
        <w:t xml:space="preserve"> Kafka topic or its consumer (Vendor-Payments)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All new Payouts fields must be optional (backward compatibility)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No PAN in Kafka messages or Payouts logs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Follow existing Payouts and Tax-Compliance coding standards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10.7 Spec Location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 xml:space="preserve">Detailed implementation spec: </w:t>
      </w:r>
      <w:r>
        <w:rPr>
          <w:rFonts w:ascii="Courier New" w:hAnsi="Courier New"/>
          <w:b w:val="0"/>
          <w:i w:val="0"/>
          <w:color w:val="000000"/>
          <w:sz w:val="22"/>
        </w:rPr>
        <w:t>specs/tds-payout-bb-plus.md</w:t>
      </w:r>
      <w:r>
        <w:rPr>
          <w:rFonts w:ascii="Arial" w:hAnsi="Arial"/>
          <w:b w:val="0"/>
          <w:i w:val="0"/>
          <w:color w:val="000000"/>
          <w:sz w:val="22"/>
        </w:rPr>
        <w:t xml:space="preserve"> in the Tax-Compliance repository (first deliverable before any code).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11. Feature Dependencies &amp; SLAs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11.1 Upstream Dependencies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Compute API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Required for TDS compute before payout creation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99.9% / &lt;200ms p95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API (/v2/payouts)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Extended with new TDS fields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Existing SLA unchanged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team</w:t>
            </w:r>
          </w:p>
        </w:tc>
      </w:tr>
    </w:tbl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11.2 Downstream Dependencies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728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Kafka Consumer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Creates tds_payments entity from Kafka event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&lt;5s p95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impact — existing topic/consumer unchanged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Vendor-Payments team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Data Hub / Analytics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New TDS fields in payout_details JSON; new tds_payments entity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Analytics team</w:t>
            </w:r>
          </w:p>
        </w:tc>
      </w:tr>
    </w:tbl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12. Testing Plan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12.1 Test Cases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BB+ single payout with TDS: verify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 after payout processed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BB+ payout without TDS: no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entity, no event on BB+ topic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Vendor-Payments TDS payout: unchanged routing to </w:t>
      </w:r>
      <w:r>
        <w:rPr>
          <w:rFonts w:ascii="Arial" w:hAnsi="Arial"/>
          <w:b w:val="0"/>
          <w:i w:val="0"/>
          <w:color w:val="000000"/>
          <w:sz w:val="22"/>
        </w:rPr>
        <w:t>add-tds-entry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 failure → retry → DLQ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CSV: 1000-row file — all rows produce correct TDS payouts and entities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API payout: merchant calls compute → payout → entity created correctly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LDC applied: verify effective rate and breakdown stored correctly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12.2 UAT Testing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 xml:space="preserve">BB+ merchant UAT on staging: create TDS payout via UI, verify TDS breakdown preview, confirm payout, verify </w:t>
      </w:r>
      <w:r>
        <w:rPr>
          <w:rFonts w:ascii="Courier New" w:hAnsi="Courier New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accessible via Tax-Compliance query API.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12.3 Performance / Load Testing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Bulk CSV: 10,000 rows — end-to-end processing time &lt; 30 minutes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compute API: 500 concurrent requests — p95 &lt; 200ms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Kafka consumer throughput: 1,000 messages/min sustained — lag &lt; 100 messages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13. Go-Live Plan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13.1 Production Rollout and Ramp Plan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Risk</w:t>
            </w:r>
          </w:p>
        </w:tc>
        <w:tc>
          <w:tcPr>
            <w:tcW w:type="dxa" w:w="216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1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service: add optional TDS fields + Kafka topic routing (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source == "bb_plus"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→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add-tds-entry-bb-plus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No UI change; fully backward-compatible; Vendor-Payments unaffected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2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Tax-Compliance: build compute API endpoint + Kafka consumer + 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tds_payments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 xml:space="preserve"> entity creation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Independent of Payouts; can be tested in isolation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3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BFF: UI single-payout flow (preview TDS → confirm → create payout)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First user-facing feature; gated behind feature flag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CSV integration: TDS columns in CSV template, row-by-row compute, preview file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Reuses Phase 1 + 2 work; validate with 10,000-row load test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documentation + external merchant guide for two-call (compute → payout) pattern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Completes all channels; opens API Payouts to BB+ merchants</w:t>
            </w:r>
          </w:p>
        </w:tc>
      </w:tr>
    </w:tbl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Feature Flag Strategy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t>Each phase deployed behind a Splitz flag (</w:t>
      </w:r>
      <w:r>
        <w:rPr>
          <w:rFonts w:ascii="Courier New" w:hAnsi="Courier New"/>
          <w:b w:val="0"/>
          <w:i w:val="0"/>
          <w:color w:val="000000"/>
          <w:sz w:val="22"/>
        </w:rPr>
        <w:t>tds_bb_plus_enabled</w:t>
      </w:r>
      <w:r>
        <w:rPr>
          <w:rFonts w:ascii="Arial" w:hAnsi="Arial"/>
          <w:b w:val="0"/>
          <w:i w:val="0"/>
          <w:color w:val="000000"/>
          <w:sz w:val="22"/>
        </w:rPr>
        <w:t>). Phases 1–2 can be merged to main immediately — they are no-ops until the flag is enabled. Phases 3–5 ramp by merchant cohort.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13.2 Backward Compatibility</w:t>
      </w:r>
    </w:p>
    <w:p>
      <w:pPr>
        <w:spacing w:after="160" w:line="276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2"/>
        </w:rPr>
        <w:t xml:space="preserve">All new Payouts fields are optional. Existing </w:t>
      </w:r>
      <w:r>
        <w:rPr>
          <w:rFonts w:ascii="Courier New" w:hAnsi="Courier New"/>
          <w:b w:val="0"/>
          <w:i w:val="0"/>
          <w:color w:val="000000"/>
          <w:sz w:val="22"/>
        </w:rPr>
        <w:t>/v2/payouts</w:t>
      </w:r>
      <w:r>
        <w:rPr>
          <w:rFonts w:ascii="Arial" w:hAnsi="Arial"/>
          <w:b w:val="0"/>
          <w:i w:val="0"/>
          <w:color w:val="000000"/>
          <w:sz w:val="22"/>
        </w:rPr>
        <w:t xml:space="preserve"> calls without TDS fields continue to work exactly as before. Vendor-Payments flows are unaffected.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13.3 Rollback Plan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 xml:space="preserve">Feature flag to disable BB+ Kafka routing — falls back to no-op (no </w:t>
      </w:r>
      <w:r>
        <w:rPr>
          <w:rFonts w:ascii="Arial" w:hAnsi="Arial"/>
          <w:b w:val="0"/>
          <w:i w:val="0"/>
          <w:color w:val="000000"/>
          <w:sz w:val="22"/>
        </w:rPr>
        <w:t>tds_payments</w:t>
      </w:r>
      <w:r>
        <w:rPr>
          <w:rFonts w:ascii="Arial" w:hAnsi="Arial"/>
          <w:b w:val="0"/>
          <w:i w:val="0"/>
          <w:color w:val="000000"/>
          <w:sz w:val="22"/>
        </w:rPr>
        <w:t xml:space="preserve"> entity created)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New fields in Payouts are additive — rollback is deploy of previous version with no data loss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2"/>
        </w:rPr>
        <w:t>Tax-Compliance Kafka consumer can be stopped independently with no Payouts impact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14. Monitoring &amp; Logging</w:t>
      </w:r>
    </w:p>
    <w:p>
      <w:pPr>
        <w:pStyle w:val="Heading3"/>
        <w:keepNext/>
        <w:spacing w:before="320" w:after="160"/>
      </w:pPr>
      <w:r>
        <w:rPr>
          <w:rFonts w:ascii="Arial" w:hAnsi="Arial"/>
          <w:b/>
          <w:i w:val="0"/>
          <w:color w:val="1155CC"/>
          <w:sz w:val="28"/>
        </w:rPr>
        <w:t>14.1 Error Handling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Compute API errors:</w:t>
      </w:r>
      <w:r>
        <w:rPr>
          <w:rFonts w:ascii="Arial" w:hAnsi="Arial"/>
          <w:b w:val="0"/>
          <w:i w:val="0"/>
          <w:color w:val="000000"/>
          <w:sz w:val="22"/>
        </w:rPr>
        <w:t xml:space="preserve"> Return clear error messages (e.g., invalid category, PAN not found, LDC expired)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Payout creation errors:</w:t>
      </w:r>
      <w:r>
        <w:rPr>
          <w:rFonts w:ascii="Arial" w:hAnsi="Arial"/>
          <w:b w:val="0"/>
          <w:i w:val="0"/>
          <w:color w:val="000000"/>
          <w:sz w:val="22"/>
        </w:rPr>
        <w:t xml:space="preserve"> Same as existing payout errors (no change)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Kafka publish failures:</w:t>
      </w:r>
      <w:r>
        <w:rPr>
          <w:rFonts w:ascii="Arial" w:hAnsi="Arial"/>
          <w:b w:val="0"/>
          <w:i w:val="0"/>
          <w:color w:val="000000"/>
          <w:sz w:val="22"/>
        </w:rPr>
        <w:t xml:space="preserve"> Use outbox pattern for at-least-once delivery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Kafka consumer failures:</w:t>
      </w:r>
      <w:r>
        <w:rPr>
          <w:rFonts w:ascii="Arial" w:hAnsi="Arial"/>
          <w:b w:val="0"/>
          <w:i w:val="0"/>
          <w:color w:val="000000"/>
          <w:sz w:val="22"/>
        </w:rPr>
        <w:t xml:space="preserve"> Retry with exponential backoff; send to DLQ after max retries</w:t>
      </w:r>
    </w:p>
    <w:p>
      <w:pPr>
        <w:pStyle w:val="ListBullet"/>
      </w:pPr>
      <w:r>
        <w:rPr>
          <w:rFonts w:ascii="Arial" w:hAnsi="Arial"/>
          <w:b/>
          <w:i w:val="0"/>
          <w:color w:val="000000"/>
          <w:sz w:val="22"/>
        </w:rPr>
        <w:t>Reconciliation:</w:t>
      </w:r>
      <w:r>
        <w:rPr>
          <w:rFonts w:ascii="Arial" w:hAnsi="Arial"/>
          <w:b w:val="0"/>
          <w:i w:val="0"/>
          <w:color w:val="000000"/>
          <w:sz w:val="22"/>
        </w:rPr>
        <w:t xml:space="preserve"> Daily job to detect payouts with TDS but no TDS Payment entity (alert ops team)</w:t>
      </w:r>
    </w:p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15. Milestones &amp; Timelines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Milestone</w:t>
            </w:r>
          </w:p>
        </w:tc>
        <w:tc>
          <w:tcPr>
            <w:tcW w:type="dxa" w:w="288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Deliverables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Enrichment API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Internal enrichment endpoint, TDS computation, tds_payments entity creation, event listener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Enrichment Hook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Optional TDS fields in API, enrichment hook (~20 LOC), feature flag, timeout/circuit breaker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Dashboard UI Integration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form fields, preview display, Payouts API integration with TDS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Bulk CSV Integration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TDS columns in CSV template, enrichment for each row, preview with TDS breakdown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Phase 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Documentation &amp; Rollout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API docs for merchants, gradual rollout via feature flag, monitoring dashboard</w:t>
            </w:r>
          </w:p>
        </w:tc>
      </w:tr>
    </w:tbl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16. Glossary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Term</w:t>
            </w:r>
          </w:p>
        </w:tc>
        <w:tc>
          <w:tcPr>
            <w:tcW w:type="dxa" w:w="4320"/>
            <w:shd w:val="clear" w:color="auto" w:fill="1155cc"/>
          </w:tcPr>
          <w:p>
            <w:r>
              <w:rPr>
                <w:rFonts w:ascii="Arial" w:hAnsi="Arial"/>
                <w:b/>
                <w:i w:val="0"/>
                <w:color w:val="FFFFFF"/>
                <w:sz w:val="22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 Deducted at Source — a form of advance tax collected by the payer at the time of payment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BB+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Business Banking Plus — Razorpay's platform for business payouts and compliance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LDC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Lower Deduction Certificate — allows a reduced TDS rate certified by tax authorities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Enrichment Hook Pattern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Payouts calls Tax-Compliance enrichment endpoint if TDS fields present; TDS computed inline during payout creation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Enrichment Endpoint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internal API (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/internal/tds/enrich</w:t>
            </w:r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) that computes TDS, creates tds_payments entity, and returns enriched 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Gross Amount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Total payment before TDS deduction (e.g., ₹10,000)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Net Amount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Amount actually transferred to vendor after TDS (e.g., ₹9,000)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tds_payments entity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Tax-Compliance record for a TDS deduction event used for government filing; created synchronously during enrichment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tds_payment_id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Unique identifier for tds_payments entity; returned in enrichment response and stored in payout metadata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b/>
                <w:i w:val="0"/>
                <w:color w:val="000000"/>
                <w:sz w:val="20"/>
              </w:rPr>
              <w:t>DLQ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b w:val="0"/>
                <w:i w:val="0"/>
                <w:color w:val="000000"/>
                <w:sz w:val="20"/>
              </w:rPr>
              <w:t>Dead Letter Queue — Kafka queue for messages that failed after max retries</w:t>
            </w:r>
          </w:p>
        </w:tc>
      </w:tr>
    </w:tbl>
    <w:p>
      <w:pPr>
        <w:spacing w:before="240" w:after="240"/>
      </w:pPr>
    </w:p>
    <w:p>
      <w:pPr>
        <w:pStyle w:val="Heading2"/>
        <w:keepNext/>
        <w:spacing w:before="360" w:after="160"/>
      </w:pPr>
      <w:r>
        <w:rPr>
          <w:rFonts w:ascii="Arial" w:hAnsi="Arial"/>
          <w:b/>
          <w:i w:val="0"/>
          <w:color w:val="1155CC"/>
          <w:sz w:val="32"/>
        </w:rPr>
        <w:t>17. Appendix</w:t>
      </w:r>
    </w:p>
    <w:p>
      <w:pPr>
        <w:pStyle w:val="ListBullet"/>
      </w:pP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</w:t>
        </w:r>
      </w:hyperlink>
      <w:r>
        <w:rPr>
          <w:rFonts w:ascii="Arial" w:hAnsi="Arial"/>
          <w:b w:val="0"/>
          <w:i w:val="0"/>
          <w:color w:val="000000"/>
          <w:sz w:val="22"/>
        </w:rPr>
        <w:t xml:space="preserve"> — API contracts, implementation details, SQL schemas, and test plans</w:t>
      </w:r>
    </w:p>
    <w:p>
      <w:pPr>
        <w:pStyle w:val="ListBullet"/>
      </w:pPr>
      <w:hyperlink r:id="rId27">
        <w:r>
          <w:rPr>
            <w:rFonts w:ascii="Arial" w:hAnsi="Arial"/>
            <w:color w:val="0000ee"/>
            <w:u w:val="single"/>
            <w:sz w:val="22"/>
            <w:szCs w:val="22"/>
          </w:rPr>
          <w:t>GitHub Pages — Live Documentation</w:t>
        </w:r>
      </w:hyperlink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/>
          <w:i w:val="0"/>
          <w:color w:val="000000"/>
          <w:sz w:val="24"/>
        </w:rPr>
        <w:t>Note</w:t>
      </w:r>
    </w:p>
    <w:p>
      <w:pPr>
        <w:ind w:left="0" w:firstLine="0"/>
        <w:jc w:val="left"/>
        <w:shd w:val="clear" w:color="auto" w:fill="EFF6FF"/>
        <w:pBdr>
          <w:left w:val="single" w:sz="18" w:space="6" w:color="1155cc"/>
        </w:pBdr>
        <w:ind w:left="0"/>
      </w:pPr>
      <w:r>
        <w:rPr>
          <w:rFonts w:ascii="Arial" w:hAnsi="Arial"/>
          <w:b w:val="0"/>
          <w:i w:val="0"/>
          <w:color w:val="000000"/>
          <w:sz w:val="22"/>
        </w:rPr>
        <w:br/>
        <w:t xml:space="preserve">      This summary document covers problem statement, approach analysis, and the recommended solution.</w:t>
        <w:br/>
        <w:t xml:space="preserve">      For detailed implementation specifications, API contracts, struct definitions, SQL schemas, codebase analysis,</w:t>
        <w:br/>
        <w:t xml:space="preserve">      and test plans, refer to the </w:t>
      </w:r>
      <w:hyperlink r:id="rId26">
        <w:r>
          <w:rPr>
            <w:rFonts w:ascii="Arial" w:hAnsi="Arial"/>
            <w:color w:val="0000ee"/>
            <w:u w:val="single"/>
            <w:sz w:val="22"/>
            <w:szCs w:val="22"/>
          </w:rPr>
          <w:t>Full Technical Specification</w:t>
        </w:r>
      </w:hyperlink>
      <w:r>
        <w:rPr>
          <w:rFonts w:ascii="Arial" w:hAnsi="Arial"/>
          <w:b w:val="0"/>
          <w:i w:val="0"/>
          <w:color w:val="000000"/>
          <w:sz w:val="22"/>
        </w:rPr>
        <w:t>.</w:t>
        <w:br/>
        <w:t xml:space="preserve">    </w:t>
      </w:r>
    </w:p>
    <w:p>
      <w:r>
        <w:rPr>
          <w:rFonts w:ascii="Arial" w:hAnsi="Arial"/>
          <w:b w:val="0"/>
          <w:i w:val="0"/>
          <w:color w:val="000000"/>
          <w:sz w:val="22"/>
        </w:rPr>
        <w:t>mermaid.initialize({</w:t>
        <w:br/>
        <w:t xml:space="preserve">      startOnLoad: true,</w:t>
        <w:br/>
        <w:t xml:space="preserve">      theme: 'neutral',</w:t>
        <w:br/>
        <w:t xml:space="preserve">      flowchart: { useMaxWidth: true },</w:t>
        <w:br/>
        <w:t xml:space="preserve">      sequence: { useMaxWidth: true }</w:t>
        <w:br/>
        <w:t xml:space="preserve">    });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20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1155C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80" w:after="16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0" w:after="160" w:line="276" w:lineRule="auto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55CC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problem" TargetMode="External"/><Relationship Id="rId10" Type="http://schemas.openxmlformats.org/officeDocument/2006/relationships/hyperlink" Target="#intro" TargetMode="External"/><Relationship Id="rId11" Type="http://schemas.openxmlformats.org/officeDocument/2006/relationships/hyperlink" Target="#out-of-scope" TargetMode="External"/><Relationship Id="rId12" Type="http://schemas.openxmlformats.org/officeDocument/2006/relationships/hyperlink" Target="#future" TargetMode="External"/><Relationship Id="rId13" Type="http://schemas.openxmlformats.org/officeDocument/2006/relationships/hyperlink" Target="#goals" TargetMode="External"/><Relationship Id="rId14" Type="http://schemas.openxmlformats.org/officeDocument/2006/relationships/hyperlink" Target="#domain" TargetMode="External"/><Relationship Id="rId15" Type="http://schemas.openxmlformats.org/officeDocument/2006/relationships/hyperlink" Target="#current-arch" TargetMode="External"/><Relationship Id="rId16" Type="http://schemas.openxmlformats.org/officeDocument/2006/relationships/hyperlink" Target="#final-approach" TargetMode="External"/><Relationship Id="rId17" Type="http://schemas.openxmlformats.org/officeDocument/2006/relationships/hyperlink" Target="#nfrs" TargetMode="External"/><Relationship Id="rId18" Type="http://schemas.openxmlformats.org/officeDocument/2006/relationships/hyperlink" Target="#agentic" TargetMode="External"/><Relationship Id="rId19" Type="http://schemas.openxmlformats.org/officeDocument/2006/relationships/hyperlink" Target="#dependencies" TargetMode="External"/><Relationship Id="rId20" Type="http://schemas.openxmlformats.org/officeDocument/2006/relationships/hyperlink" Target="#testing" TargetMode="External"/><Relationship Id="rId21" Type="http://schemas.openxmlformats.org/officeDocument/2006/relationships/hyperlink" Target="#golive" TargetMode="External"/><Relationship Id="rId22" Type="http://schemas.openxmlformats.org/officeDocument/2006/relationships/hyperlink" Target="#monitoring" TargetMode="External"/><Relationship Id="rId23" Type="http://schemas.openxmlformats.org/officeDocument/2006/relationships/hyperlink" Target="#milestones" TargetMode="External"/><Relationship Id="rId24" Type="http://schemas.openxmlformats.org/officeDocument/2006/relationships/hyperlink" Target="#glossary" TargetMode="External"/><Relationship Id="rId25" Type="http://schemas.openxmlformats.org/officeDocument/2006/relationships/hyperlink" Target="#appendix" TargetMode="External"/><Relationship Id="rId26" Type="http://schemas.openxmlformats.org/officeDocument/2006/relationships/hyperlink" Target="TDS_Payout_Integration_Tech_Spec_Comprehensive.html" TargetMode="External"/><Relationship Id="rId27" Type="http://schemas.openxmlformats.org/officeDocument/2006/relationships/hyperlink" Target="https://flanker-23.github.io/bb-plus-tds-tech-spec/" TargetMode="External"/><Relationship Id="rId28" Type="http://schemas.openxmlformats.org/officeDocument/2006/relationships/image" Target="media/image1.png"/><Relationship Id="rId29" Type="http://schemas.openxmlformats.org/officeDocument/2006/relationships/image" Target="media/image2.png"/><Relationship Id="rId30" Type="http://schemas.openxmlformats.org/officeDocument/2006/relationships/image" Target="media/image3.png"/><Relationship Id="rId31" Type="http://schemas.openxmlformats.org/officeDocument/2006/relationships/image" Target="media/image4.png"/><Relationship Id="rId32" Type="http://schemas.openxmlformats.org/officeDocument/2006/relationships/image" Target="media/image5.png"/><Relationship Id="rId3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