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0000"/>
          <w:sz w:val="52"/>
        </w:rPr>
        <w:t>TDS Payout Integration for BB+ Platform</w:t>
      </w:r>
    </w:p>
    <w:p>
      <w:pPr>
        <w:jc w:val="center"/>
      </w:pPr>
      <w:r>
        <w:rPr>
          <w:rFonts w:ascii="Arial" w:hAnsi="Arial"/>
          <w:i/>
          <w:color w:val="475569"/>
          <w:sz w:val="26"/>
        </w:rPr>
        <w:t>Technical Specification — Summary Document</w:t>
      </w:r>
    </w:p>
    <w:p>
      <w:pPr>
        <w:jc w:val="center"/>
      </w:pPr>
      <w:r>
        <w:rPr>
          <w:rFonts w:ascii="Arial" w:hAnsi="Arial"/>
          <w:color w:val="64748B"/>
          <w:sz w:val="22"/>
        </w:rPr>
        <w:t>Author: Prashant Chauhan  ·  Version: 9.0  ·  February 2026</w:t>
      </w:r>
    </w:p>
    <w:p/>
    <w:p>
      <w:pPr>
        <w:pStyle w:val="Heading1"/>
      </w:pPr>
      <w:r>
        <w:rPr>
          <w:rFonts w:ascii="Arial" w:hAnsi="Arial"/>
          <w:color w:val="1155CC"/>
          <w:sz w:val="28"/>
        </w:rPr>
        <w:t>Table of Contents</w:t>
      </w:r>
    </w:p>
    <w:p>
      <w:pPr>
        <w:spacing w:after="0"/>
      </w:pPr>
      <w:fldChar w:fldCharType="begin"/>
      <w:instrText xml:space="preserve"> TOC \o "1-3" \h \z \u </w:instrText>
      <w:fldChar w:fldCharType="end"/>
    </w:p>
    <w:p>
      <w:r>
        <w:rPr>
          <w:rFonts w:ascii="Arial" w:hAnsi="Arial"/>
          <w:i/>
          <w:color w:val="94A3B8"/>
          <w:sz w:val="18"/>
        </w:rPr>
        <w:t>Right-click the TOC above → Update Field to refresh.</w:t>
      </w:r>
    </w:p>
    <w:p>
      <w:r>
        <w:br w:type="page"/>
      </w:r>
    </w:p>
    <w:p>
      <w:pPr>
        <w:pStyle w:val="Heading1"/>
        <w:keepNext/>
        <w:spacing w:before="400" w:after="120"/>
      </w:pPr>
      <w:r>
        <w:rPr>
          <w:rFonts w:ascii="Arial" w:hAnsi="Arial"/>
          <w:b/>
          <w:i w:val="0"/>
          <w:color w:val="1155CC"/>
          <w:sz w:val="36"/>
        </w:rPr>
        <w:t>TDS Payout Integration for BB+ Platform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Technical Specification — Summary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Author/s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Prashant Chauhan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Team/Pod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| BU: BB+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9.0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Published Date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February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Reviewer Name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Reviewed Date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started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Not started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Table of Contents</w:t>
      </w:r>
    </w:p>
    <w:p>
      <w:pPr>
        <w:pStyle w:val="ListBullet"/>
      </w:pPr>
      <w:hyperlink r:id="rId9">
        <w:r>
          <w:rPr>
            <w:rFonts w:ascii="Arial" w:hAnsi="Arial"/>
            <w:color w:val="0000ee"/>
            <w:u w:val="single"/>
            <w:sz w:val="22"/>
            <w:szCs w:val="22"/>
          </w:rPr>
          <w:t>1. Problem Statement</w:t>
        </w:r>
      </w:hyperlink>
    </w:p>
    <w:p>
      <w:pPr>
        <w:pStyle w:val="ListBullet"/>
      </w:pPr>
      <w:hyperlink r:id="rId10">
        <w:r>
          <w:rPr>
            <w:rFonts w:ascii="Arial" w:hAnsi="Arial"/>
            <w:color w:val="0000ee"/>
            <w:u w:val="single"/>
            <w:sz w:val="22"/>
            <w:szCs w:val="22"/>
          </w:rPr>
          <w:t>2. Introduction &amp; Scope</w:t>
        </w:r>
      </w:hyperlink>
    </w:p>
    <w:p>
      <w:pPr>
        <w:pStyle w:val="ListBullet"/>
      </w:pPr>
      <w:hyperlink r:id="rId11">
        <w:r>
          <w:rPr>
            <w:rFonts w:ascii="Arial" w:hAnsi="Arial"/>
            <w:color w:val="0000ee"/>
            <w:u w:val="single"/>
            <w:sz w:val="22"/>
            <w:szCs w:val="22"/>
          </w:rPr>
          <w:t>3. Out of Scope</w:t>
        </w:r>
      </w:hyperlink>
    </w:p>
    <w:p>
      <w:pPr>
        <w:pStyle w:val="ListBullet"/>
      </w:pPr>
      <w:hyperlink r:id="rId12">
        <w:r>
          <w:rPr>
            <w:rFonts w:ascii="Arial" w:hAnsi="Arial"/>
            <w:color w:val="0000ee"/>
            <w:u w:val="single"/>
            <w:sz w:val="22"/>
            <w:szCs w:val="22"/>
          </w:rPr>
          <w:t>4. Futuristic Scope</w:t>
        </w:r>
      </w:hyperlink>
    </w:p>
    <w:p>
      <w:pPr>
        <w:pStyle w:val="ListBullet"/>
      </w:pPr>
      <w:hyperlink r:id="rId13">
        <w:r>
          <w:rPr>
            <w:rFonts w:ascii="Arial" w:hAnsi="Arial"/>
            <w:color w:val="0000ee"/>
            <w:u w:val="single"/>
            <w:sz w:val="22"/>
            <w:szCs w:val="22"/>
          </w:rPr>
          <w:t>5. Assumptions, Goals &amp; Non-Goals</w:t>
        </w:r>
      </w:hyperlink>
    </w:p>
    <w:p>
      <w:pPr>
        <w:pStyle w:val="ListBullet"/>
      </w:pPr>
      <w:hyperlink r:id="rId14">
        <w:r>
          <w:rPr>
            <w:rFonts w:ascii="Arial" w:hAnsi="Arial"/>
            <w:color w:val="0000ee"/>
            <w:u w:val="single"/>
            <w:sz w:val="22"/>
            <w:szCs w:val="22"/>
          </w:rPr>
          <w:t>6. Domain Design</w:t>
        </w:r>
      </w:hyperlink>
    </w:p>
    <w:p>
      <w:pPr>
        <w:pStyle w:val="ListBullet"/>
      </w:pPr>
      <w:hyperlink r:id="rId15">
        <w:r>
          <w:rPr>
            <w:rFonts w:ascii="Arial" w:hAnsi="Arial"/>
            <w:color w:val="0000ee"/>
            <w:u w:val="single"/>
            <w:sz w:val="22"/>
            <w:szCs w:val="22"/>
          </w:rPr>
          <w:t>7. Current Architecture / Current HLD</w:t>
        </w:r>
      </w:hyperlink>
    </w:p>
    <w:p>
      <w:pPr>
        <w:pStyle w:val="ListBullet"/>
      </w:pPr>
      <w:hyperlink r:id="rId16">
        <w:r>
          <w:rPr>
            <w:rFonts w:ascii="Arial" w:hAnsi="Arial"/>
            <w:color w:val="0000ee"/>
            <w:u w:val="single"/>
            <w:sz w:val="22"/>
            <w:szCs w:val="22"/>
          </w:rPr>
          <w:t>8. Final Approach — Specifications</w:t>
        </w:r>
      </w:hyperlink>
    </w:p>
    <w:p>
      <w:pPr>
        <w:pStyle w:val="ListBullet"/>
      </w:pPr>
      <w:hyperlink r:id="rId17">
        <w:r>
          <w:rPr>
            <w:rFonts w:ascii="Arial" w:hAnsi="Arial"/>
            <w:color w:val="0000ee"/>
            <w:u w:val="single"/>
            <w:sz w:val="22"/>
            <w:szCs w:val="22"/>
          </w:rPr>
          <w:t>9. Non-Functional Requirements (NFRs)</w:t>
        </w:r>
      </w:hyperlink>
    </w:p>
    <w:p>
      <w:pPr>
        <w:pStyle w:val="ListBullet"/>
      </w:pPr>
      <w:hyperlink r:id="rId18">
        <w:r>
          <w:rPr>
            <w:rFonts w:ascii="Arial" w:hAnsi="Arial"/>
            <w:color w:val="0000ee"/>
            <w:u w:val="single"/>
            <w:sz w:val="22"/>
            <w:szCs w:val="22"/>
          </w:rPr>
          <w:t>10. Agentic Development Spec</w:t>
        </w:r>
      </w:hyperlink>
    </w:p>
    <w:p>
      <w:pPr>
        <w:pStyle w:val="ListBullet"/>
      </w:pPr>
      <w:hyperlink r:id="rId19">
        <w:r>
          <w:rPr>
            <w:rFonts w:ascii="Arial" w:hAnsi="Arial"/>
            <w:color w:val="0000ee"/>
            <w:u w:val="single"/>
            <w:sz w:val="22"/>
            <w:szCs w:val="22"/>
          </w:rPr>
          <w:t>11. Feature Dependencies &amp; SLAs</w:t>
        </w:r>
      </w:hyperlink>
    </w:p>
    <w:p>
      <w:pPr>
        <w:pStyle w:val="ListBullet"/>
      </w:pPr>
      <w:hyperlink r:id="rId20">
        <w:r>
          <w:rPr>
            <w:rFonts w:ascii="Arial" w:hAnsi="Arial"/>
            <w:color w:val="0000ee"/>
            <w:u w:val="single"/>
            <w:sz w:val="22"/>
            <w:szCs w:val="22"/>
          </w:rPr>
          <w:t>12. Testing Plan</w:t>
        </w:r>
      </w:hyperlink>
    </w:p>
    <w:p>
      <w:pPr>
        <w:pStyle w:val="ListBullet"/>
      </w:pPr>
      <w:hyperlink r:id="rId21">
        <w:r>
          <w:rPr>
            <w:rFonts w:ascii="Arial" w:hAnsi="Arial"/>
            <w:color w:val="0000ee"/>
            <w:u w:val="single"/>
            <w:sz w:val="22"/>
            <w:szCs w:val="22"/>
          </w:rPr>
          <w:t>13. Go-Live Plan</w:t>
        </w:r>
      </w:hyperlink>
    </w:p>
    <w:p>
      <w:pPr>
        <w:pStyle w:val="ListBullet"/>
      </w:pPr>
      <w:hyperlink r:id="rId22">
        <w:r>
          <w:rPr>
            <w:rFonts w:ascii="Arial" w:hAnsi="Arial"/>
            <w:color w:val="0000ee"/>
            <w:u w:val="single"/>
            <w:sz w:val="22"/>
            <w:szCs w:val="22"/>
          </w:rPr>
          <w:t>14. Monitoring &amp; Logging</w:t>
        </w:r>
      </w:hyperlink>
    </w:p>
    <w:p>
      <w:pPr>
        <w:pStyle w:val="ListBullet"/>
      </w:pPr>
      <w:hyperlink r:id="rId23">
        <w:r>
          <w:rPr>
            <w:rFonts w:ascii="Arial" w:hAnsi="Arial"/>
            <w:color w:val="0000ee"/>
            <w:u w:val="single"/>
            <w:sz w:val="22"/>
            <w:szCs w:val="22"/>
          </w:rPr>
          <w:t>15. Milestones &amp; Timelines</w:t>
        </w:r>
      </w:hyperlink>
    </w:p>
    <w:p>
      <w:pPr>
        <w:pStyle w:val="ListBullet"/>
      </w:pPr>
      <w:hyperlink r:id="rId24">
        <w:r>
          <w:rPr>
            <w:rFonts w:ascii="Arial" w:hAnsi="Arial"/>
            <w:color w:val="0000ee"/>
            <w:u w:val="single"/>
            <w:sz w:val="22"/>
            <w:szCs w:val="22"/>
          </w:rPr>
          <w:t>16. Glossary</w:t>
        </w:r>
      </w:hyperlink>
    </w:p>
    <w:p>
      <w:pPr>
        <w:pStyle w:val="ListBullet"/>
      </w:pPr>
      <w:hyperlink r:id="rId25">
        <w:r>
          <w:rPr>
            <w:rFonts w:ascii="Arial" w:hAnsi="Arial"/>
            <w:color w:val="0000ee"/>
            <w:u w:val="single"/>
            <w:sz w:val="22"/>
            <w:szCs w:val="22"/>
          </w:rPr>
          <w:t>17. Appendix</w:t>
        </w:r>
      </w:hyperlink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1. Problem Statement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BB+ merchants must comply with Indian tax regulations (TDS) when making vendor payments via Payouts API.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The existing Payouts service has </w:t>
      </w:r>
      <w:r>
        <w:rPr>
          <w:rFonts w:ascii="Arial" w:hAnsi="Arial"/>
          <w:b/>
          <w:i w:val="0"/>
          <w:color w:val="000000"/>
          <w:sz w:val="22"/>
        </w:rPr>
        <w:t>no TDS compute or tracking capability</w:t>
      </w:r>
      <w:r>
        <w:rPr>
          <w:rFonts w:ascii="Arial" w:hAnsi="Arial"/>
          <w:b w:val="0"/>
          <w:i w:val="0"/>
          <w:color w:val="000000"/>
          <w:sz w:val="22"/>
        </w:rPr>
        <w:t xml:space="preserve"> for BB+ flows.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Vendor-Payments already uses Payouts TDS fields — any change must not break that existing flow.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TDS deduction amount must be known </w:t>
      </w:r>
      <w:r>
        <w:rPr>
          <w:rFonts w:ascii="Arial" w:hAnsi="Arial"/>
          <w:b w:val="0"/>
          <w:i/>
          <w:color w:val="000000"/>
          <w:sz w:val="22"/>
        </w:rPr>
        <w:t>at payout creation time</w:t>
      </w:r>
      <w:r>
        <w:rPr>
          <w:rFonts w:ascii="Arial" w:hAnsi="Arial"/>
          <w:b w:val="0"/>
          <w:i w:val="0"/>
          <w:color w:val="000000"/>
          <w:sz w:val="22"/>
        </w:rPr>
        <w:t xml:space="preserve"> for correct money routing; it cannot be computed post-creation.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The solution must work uniformly across all three payout channels: </w:t>
      </w:r>
      <w:r>
        <w:rPr>
          <w:rFonts w:ascii="Arial" w:hAnsi="Arial"/>
          <w:b/>
          <w:i w:val="0"/>
          <w:color w:val="000000"/>
          <w:sz w:val="22"/>
        </w:rPr>
        <w:t>Dashboard (UI)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Arial" w:hAnsi="Arial"/>
          <w:b/>
          <w:i w:val="0"/>
          <w:color w:val="000000"/>
          <w:sz w:val="22"/>
        </w:rPr>
        <w:t>Bulk CSV</w:t>
      </w:r>
      <w:r>
        <w:rPr>
          <w:rFonts w:ascii="Arial" w:hAnsi="Arial"/>
          <w:b w:val="0"/>
          <w:i w:val="0"/>
          <w:color w:val="000000"/>
          <w:sz w:val="22"/>
        </w:rPr>
        <w:t xml:space="preserve">, and </w:t>
      </w:r>
      <w:r>
        <w:rPr>
          <w:rFonts w:ascii="Arial" w:hAnsi="Arial"/>
          <w:b/>
          <w:i w:val="0"/>
          <w:color w:val="000000"/>
          <w:sz w:val="22"/>
        </w:rPr>
        <w:t>Direct API</w:t>
      </w:r>
      <w:r>
        <w:rPr>
          <w:rFonts w:ascii="Arial" w:hAnsi="Arial"/>
          <w:b w:val="0"/>
          <w:i w:val="0"/>
          <w:color w:val="000000"/>
          <w:sz w:val="22"/>
        </w:rPr>
        <w:t>.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2. Introduction &amp; Scope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This document specifies the technical approach for integrating TDS (Tax Deducted at Source)</w:t>
        <w:br/>
        <w:t xml:space="preserve">    support into the Payouts service for BB+ merchants. It covers the problem, three candidate</w:t>
        <w:br/>
        <w:t xml:space="preserve">    approaches, the recommended solution, and all downstream considerations.</w:t>
        <w:br/>
        <w:t xml:space="preserve">  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2.1 Tenets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Payouts stays dumb about TDS computation</w:t>
      </w:r>
      <w:r>
        <w:rPr>
          <w:rFonts w:ascii="Arial" w:hAnsi="Arial"/>
          <w:b w:val="0"/>
          <w:i w:val="0"/>
          <w:color w:val="000000"/>
          <w:sz w:val="22"/>
        </w:rPr>
        <w:t xml:space="preserve"> — no S2S call to Tax-Compliance inside the payout creation path.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Tax-Compliance owns TDS logic</w:t>
      </w:r>
      <w:r>
        <w:rPr>
          <w:rFonts w:ascii="Arial" w:hAnsi="Arial"/>
          <w:b w:val="0"/>
          <w:i w:val="0"/>
          <w:color w:val="000000"/>
          <w:sz w:val="22"/>
        </w:rPr>
        <w:t xml:space="preserve"> — computation, validation, entity lifecycle, and filing.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Vendor-Payments flows are never impacted</w:t>
      </w:r>
      <w:r>
        <w:rPr>
          <w:rFonts w:ascii="Arial" w:hAnsi="Arial"/>
          <w:b w:val="0"/>
          <w:i w:val="0"/>
          <w:color w:val="000000"/>
          <w:sz w:val="22"/>
        </w:rPr>
        <w:t xml:space="preserve"> — all BB+ TDS events route to a separate Kafka topic.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Backward compatible by default</w:t>
      </w:r>
      <w:r>
        <w:rPr>
          <w:rFonts w:ascii="Arial" w:hAnsi="Arial"/>
          <w:b w:val="0"/>
          <w:i w:val="0"/>
          <w:color w:val="000000"/>
          <w:sz w:val="22"/>
        </w:rPr>
        <w:t xml:space="preserve"> — all new Payouts fields are optional.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No PII in logs or Kafka messages</w:t>
      </w:r>
      <w:r>
        <w:rPr>
          <w:rFonts w:ascii="Arial" w:hAnsi="Arial"/>
          <w:b w:val="0"/>
          <w:i w:val="0"/>
          <w:color w:val="000000"/>
          <w:sz w:val="22"/>
        </w:rPr>
        <w:t xml:space="preserve"> — PAN stored and encrypted only in Tax-Compliance.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2.2 Relevant Resources</w:t>
      </w:r>
    </w:p>
    <w:p>
      <w:pPr>
        <w:pStyle w:val="ListBullet"/>
      </w:pPr>
      <w:hyperlink r:id="rId26">
        <w:r>
          <w:rPr>
            <w:rFonts w:ascii="Arial" w:hAnsi="Arial"/>
            <w:color w:val="0000ee"/>
            <w:u w:val="single"/>
            <w:sz w:val="22"/>
            <w:szCs w:val="22"/>
          </w:rPr>
          <w:t>Full Technical Specification (detailed implementation)</w:t>
        </w:r>
      </w:hyperlink>
    </w:p>
    <w:p>
      <w:pPr>
        <w:pStyle w:val="ListBullet"/>
      </w:pPr>
      <w:hyperlink r:id="rId27">
        <w:r>
          <w:rPr>
            <w:rFonts w:ascii="Arial" w:hAnsi="Arial"/>
            <w:color w:val="0000ee"/>
            <w:u w:val="single"/>
            <w:sz w:val="22"/>
            <w:szCs w:val="22"/>
          </w:rPr>
          <w:t>GitHub Pages — Live Spec</w:t>
        </w:r>
      </w:hyperlink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2.3 Scope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 scope for this initiative: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TDS compute, preview, and payout creation for BB+ merchants — Single Payout (UI), Bulk CSV, and API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Payouts service: enrichment hook for TDS computation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Tax-Compliance: internal enrichment API, event listener,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management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Dashboard UI and Bulk CSV: TDS form fields and preview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2.4 Product Requirement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Seamless Merchant Experience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The product requirement is to provide a </w:t>
      </w:r>
      <w:r>
        <w:rPr>
          <w:rFonts w:ascii="Arial" w:hAnsi="Arial"/>
          <w:b/>
          <w:i w:val="0"/>
          <w:color w:val="000000"/>
          <w:sz w:val="22"/>
        </w:rPr>
        <w:t>seamless experience for merchants using the Payouts API</w:t>
      </w:r>
      <w:r>
        <w:rPr>
          <w:rFonts w:ascii="Arial" w:hAnsi="Arial"/>
          <w:b w:val="0"/>
          <w:i w:val="0"/>
          <w:color w:val="000000"/>
          <w:sz w:val="22"/>
        </w:rPr>
        <w:t>, where they can pass minimal details similar to what is currently passed to the compute API.</w:t>
        <w:br/>
        <w:t xml:space="preserve">    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2"/>
        </w:rPr>
        <w:t>Key Requirements: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This requirement drives the architectural decision to ensure merchants have a consistent, simple interface regardless of how they create payouts, while the system handles all complexity of TDS computation and compliance internally.</w:t>
        <w:br/>
        <w:t xml:space="preserve">    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3. Out of Scope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TDS filing, government remittance, or challan generation (owned by Tax-Compliance)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Changes to Vendor-Payments TDS flows (must remain untouched)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TDS support for non-BB+ merchants in this phase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Real-time TDS Payment ID in the payout API response (entity is created asynchronously)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LDC staleness enforcement between compute and payout creation (accepted trade-off)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4. Futuristic Scope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TDS Payment ID is already included in payout response (enrichment pattern creates entity synchronously)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Bulk TDS filing dashboard for BB+ merchants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Extend to non-BB+ merchants using the same Enrichment Hook Pattern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TDS compute caching per merchant/category for enrichment performance optimization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Batch enrichment API for bulk payout optimization (enrich multiple rows in single call)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5. Assumptions, Goals &amp; Non-Goals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5.1 Assumptions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Tax-Compliance service will expose or enhance a compute API endpoint accessible by BB+ merchants (external) and by Tax-Compliance BFF (internal)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Payouts service will not integrate Tax-Compliance — all compute happens outside the payout creation path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The Kafka topic </w:t>
      </w:r>
      <w:r>
        <w:rPr>
          <w:rFonts w:ascii="Arial" w:hAnsi="Arial"/>
          <w:b w:val="0"/>
          <w:i w:val="0"/>
          <w:color w:val="000000"/>
          <w:sz w:val="22"/>
        </w:rPr>
        <w:t>add-tds-entry-bb-plus</w:t>
      </w:r>
      <w:r>
        <w:rPr>
          <w:rFonts w:ascii="Arial" w:hAnsi="Arial"/>
          <w:b w:val="0"/>
          <w:i w:val="0"/>
          <w:color w:val="000000"/>
          <w:sz w:val="22"/>
        </w:rPr>
        <w:t xml:space="preserve"> is new and owned by Tax-Compliance consumer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The </w:t>
      </w:r>
      <w:r>
        <w:rPr>
          <w:rFonts w:ascii="Arial" w:hAnsi="Arial"/>
          <w:b w:val="0"/>
          <w:i w:val="0"/>
          <w:color w:val="000000"/>
          <w:sz w:val="22"/>
        </w:rPr>
        <w:t>source = "bb_plus"</w:t>
      </w:r>
      <w:r>
        <w:rPr>
          <w:rFonts w:ascii="Arial" w:hAnsi="Arial"/>
          <w:b w:val="0"/>
          <w:i w:val="0"/>
          <w:color w:val="000000"/>
          <w:sz w:val="22"/>
        </w:rPr>
        <w:t xml:space="preserve"> field in the TDS payload is the routing signal — no other routing logic needed in Payouts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LDC certificate validity between compute and payout creation is acceptable (seconds gap in practice)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5.2 Goals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Enable TDS deduction and tracking for BB+ payouts across all three channels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Zero latency added to the Payouts API critical path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Minimal, isolated changes to Payouts (fields + routing only)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Clean domain ownership: Tax-Compliance owns compute and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Backward compatible — existing Payouts and Vendor-Payments flows unchanged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5.3 Non-Goals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Building TDS compute logic inside the Payouts service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Synchronous creation of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at payout creation time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Changing any Vendor-Payments Kafka topics or consumer logic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Modifying the public </w:t>
      </w:r>
      <w:r>
        <w:rPr>
          <w:rFonts w:ascii="Arial" w:hAnsi="Arial"/>
          <w:b w:val="0"/>
          <w:i w:val="0"/>
          <w:color w:val="000000"/>
          <w:sz w:val="22"/>
        </w:rPr>
        <w:t>/v1/payouts</w:t>
      </w:r>
      <w:r>
        <w:rPr>
          <w:rFonts w:ascii="Arial" w:hAnsi="Arial"/>
          <w:b w:val="0"/>
          <w:i w:val="0"/>
          <w:color w:val="000000"/>
          <w:sz w:val="22"/>
        </w:rPr>
        <w:t xml:space="preserve"> API (changes go to internal </w:t>
      </w:r>
      <w:r>
        <w:rPr>
          <w:rFonts w:ascii="Arial" w:hAnsi="Arial"/>
          <w:b w:val="0"/>
          <w:i w:val="0"/>
          <w:color w:val="000000"/>
          <w:sz w:val="22"/>
        </w:rPr>
        <w:t>/v2/payouts</w:t>
      </w:r>
      <w:r>
        <w:rPr>
          <w:rFonts w:ascii="Arial" w:hAnsi="Arial"/>
          <w:b w:val="0"/>
          <w:i w:val="0"/>
          <w:color w:val="000000"/>
          <w:sz w:val="22"/>
        </w:rPr>
        <w:t xml:space="preserve"> only)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6. Domain Design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6.1 Services Involved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Service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Tax-Compliance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Computes TDS based on category, rate, and LDC status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Manages TDS Payment entities for compliance and filing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Validates TDS categories and PAN 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Creates payout records for net amount to vendor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Processes fund transfers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Emits payout status updates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Stores TDS information for audit trail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Tax-Compliance (BFF)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Acts as BFF — the only backend the UI talks to for TDS flows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Computes TDS, orchestrates payout creation, presents data to merchants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6.2 Amount Relationship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Key Formula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6.3 Key Entities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Entity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Service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The payment to vendor (net amount after TDS deduction)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payout_details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Extended TDS information (category, amounts, breakdown) stored as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record for government filing (includes deductee PAN, amounts, category details)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6.4 Coverage: All Payout Types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Payout Type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TDS Handling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Single Payout (UI)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Merchant creates one payout via Tax-Compliance UI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Preview TDS breakdown before confirming; one compute call per payout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Bulk Payout (CSV)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Merchant uploads CSV with multiple payouts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Compute TDS for all rows upfront; generate preview file; user confirms before processing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API Payouts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Merchant integrates via API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Same pattern as UI - caller computes TDS first, then creates payout with pre-computed values</w:t>
            </w:r>
          </w:p>
        </w:tc>
      </w:tr>
    </w:tbl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7. Current Architecture / Current HLD</w:t>
      </w:r>
    </w:p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Current State — No BB+ TDS Support</w:t>
      </w:r>
    </w:p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t xml:space="preserve">The Payouts service currently has a </w:t>
      </w:r>
      <w:r>
        <w:rPr>
          <w:rFonts w:ascii="Courier New" w:hAnsi="Courier New"/>
          <w:b w:val="0"/>
          <w:i w:val="0"/>
          <w:color w:val="000000"/>
          <w:sz w:val="22"/>
        </w:rPr>
        <w:t>tds</w:t>
      </w:r>
      <w:r>
        <w:rPr>
          <w:rFonts w:ascii="Arial" w:hAnsi="Arial"/>
          <w:b w:val="0"/>
          <w:i w:val="0"/>
          <w:color w:val="000000"/>
          <w:sz w:val="22"/>
        </w:rPr>
        <w:t xml:space="preserve"> struct in </w:t>
      </w:r>
      <w:r>
        <w:rPr>
          <w:rFonts w:ascii="Courier New" w:hAnsi="Courier New"/>
          <w:b w:val="0"/>
          <w:i w:val="0"/>
          <w:color w:val="000000"/>
          <w:sz w:val="22"/>
        </w:rPr>
        <w:t>TDSDetails</w:t>
      </w:r>
      <w:r>
        <w:rPr>
          <w:rFonts w:ascii="Arial" w:hAnsi="Arial"/>
          <w:b w:val="0"/>
          <w:i w:val="0"/>
          <w:color w:val="000000"/>
          <w:sz w:val="22"/>
        </w:rPr>
        <w:t xml:space="preserve"> used exclusively by </w:t>
      </w:r>
      <w:r>
        <w:rPr>
          <w:rFonts w:ascii="Arial" w:hAnsi="Arial"/>
          <w:b/>
          <w:i w:val="0"/>
          <w:color w:val="000000"/>
          <w:sz w:val="22"/>
        </w:rPr>
        <w:t>Vendor-Payments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. It contains </w:t>
      </w:r>
      <w:r>
        <w:rPr>
          <w:rFonts w:ascii="Courier New" w:hAnsi="Courier New"/>
          <w:b w:val="0"/>
          <w:i w:val="0"/>
          <w:color w:val="000000"/>
          <w:sz w:val="22"/>
        </w:rPr>
        <w:t>category_id</w:t>
      </w:r>
      <w:r>
        <w:rPr>
          <w:rFonts w:ascii="Arial" w:hAnsi="Arial"/>
          <w:b w:val="0"/>
          <w:i w:val="0"/>
          <w:color w:val="000000"/>
          <w:sz w:val="22"/>
        </w:rPr>
        <w:t xml:space="preserve"> and </w:t>
      </w:r>
      <w:r>
        <w:rPr>
          <w:rFonts w:ascii="Courier New" w:hAnsi="Courier New"/>
          <w:b w:val="0"/>
          <w:i w:val="0"/>
          <w:color w:val="000000"/>
          <w:sz w:val="22"/>
        </w:rPr>
        <w:t>amount</w:t>
      </w:r>
      <w:r>
        <w:rPr>
          <w:rFonts w:ascii="Arial" w:hAnsi="Arial"/>
          <w:b w:val="0"/>
          <w:i w:val="0"/>
          <w:color w:val="000000"/>
          <w:sz w:val="22"/>
        </w:rPr>
        <w:t xml:space="preserve">. When a payout with </w:t>
      </w:r>
      <w:r>
        <w:rPr>
          <w:rFonts w:ascii="Courier New" w:hAnsi="Courier New"/>
          <w:b w:val="0"/>
          <w:i w:val="0"/>
          <w:color w:val="000000"/>
          <w:sz w:val="22"/>
        </w:rPr>
        <w:t>source = vendor_payments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reaches a terminal state, Payouts publishes to </w:t>
      </w:r>
      <w:r>
        <w:rPr>
          <w:rFonts w:ascii="Courier New" w:hAnsi="Courier New"/>
          <w:b w:val="0"/>
          <w:i w:val="0"/>
          <w:color w:val="000000"/>
          <w:sz w:val="22"/>
        </w:rPr>
        <w:t>add-tds-entry</w:t>
      </w:r>
      <w:r>
        <w:rPr>
          <w:rFonts w:ascii="Arial" w:hAnsi="Arial"/>
          <w:b w:val="0"/>
          <w:i w:val="0"/>
          <w:color w:val="000000"/>
          <w:sz w:val="22"/>
        </w:rPr>
        <w:t xml:space="preserve"> Kafka topic, consumed by Vendor-Payments to create a TDS record.</w:t>
      </w:r>
    </w:p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t xml:space="preserve">There is </w:t>
      </w:r>
      <w:r>
        <w:rPr>
          <w:rFonts w:ascii="Arial" w:hAnsi="Arial"/>
          <w:b/>
          <w:i w:val="0"/>
          <w:color w:val="000000"/>
          <w:sz w:val="22"/>
        </w:rPr>
        <w:t>no equivalent flow for BB+</w:t>
      </w:r>
      <w:r>
        <w:rPr>
          <w:rFonts w:ascii="Arial" w:hAnsi="Arial"/>
          <w:b w:val="0"/>
          <w:i w:val="0"/>
          <w:color w:val="000000"/>
          <w:sz w:val="22"/>
        </w:rPr>
        <w:t xml:space="preserve">. Tax-Compliance has no Kafka consumer for payouts, no TDS compute endpoint used at payout time, and no </w:t>
      </w:r>
      <w:r>
        <w:rPr>
          <w:rFonts w:ascii="Courier New" w:hAnsi="Courier New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creation triggered by payout events.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Component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Current State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What's Missing for BB+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Payouts TDS fields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category_id + amount (Vendor-Payments only)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source, gross_amount, breakdown fields for BB+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Kafka routing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All TDS payouts →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add-tds-entry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BB+ payouts →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add-tds-entry-bb-plus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Tax-Compliance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Compute API exists for preview; no Kafka consumer for payouts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Kafka consumer for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add-tds-entry-bb-plus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+ entity creation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BFF / UI flow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BB+ TDS payout creation flow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to orchestrate compute + payout creation for UI/Bulk</w:t>
            </w:r>
          </w:p>
        </w:tc>
      </w:tr>
    </w:tbl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8. Final Approach — Specifications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Selected: Enrichment Hook Pattern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Payouts API accepts optional TDS fields (category_id, gross_amount, apply_ldc). If present, Payouts makes</w:t>
        <w:br/>
        <w:t xml:space="preserve">      a </w:t>
      </w:r>
      <w:r>
        <w:rPr>
          <w:rFonts w:ascii="Arial" w:hAnsi="Arial"/>
          <w:b/>
          <w:i w:val="0"/>
          <w:color w:val="000000"/>
          <w:sz w:val="22"/>
        </w:rPr>
        <w:t>lightweight synchronous call</w:t>
      </w:r>
      <w:r>
        <w:rPr>
          <w:rFonts w:ascii="Arial" w:hAnsi="Arial"/>
          <w:b w:val="0"/>
          <w:i w:val="0"/>
          <w:color w:val="000000"/>
          <w:sz w:val="22"/>
        </w:rPr>
        <w:t xml:space="preserve"> to Tax-Compliance enrichment endpoint (~50-100ms). Tax-Compliance</w:t>
        <w:br/>
        <w:t xml:space="preserve">      computes TDS, creates </w:t>
      </w:r>
      <w:r>
        <w:rPr>
          <w:rFonts w:ascii="Courier New" w:hAnsi="Courier New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entity, and returns enriched data (net_amount, tds_amount, rate, tds_payment_id).</w:t>
        <w:br/>
        <w:t xml:space="preserve">      Payouts uses net_amount for payout creation. </w:t>
      </w:r>
      <w:r>
        <w:rPr>
          <w:rFonts w:ascii="Arial" w:hAnsi="Arial"/>
          <w:b/>
          <w:i w:val="0"/>
          <w:color w:val="000000"/>
          <w:sz w:val="22"/>
        </w:rPr>
        <w:t>Single API call for merchants; minimal changes to Payouts.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8.1 List of Possible Solutions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Three approaches were evaluated. The final selected approach (Approach 1: Enrichment Hook Pattern) is recommended. Approaches 2 and 3 are documented below for reference.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Approach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Summary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S2S in Payout?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1. Enrichment Hook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calls Tax-Compliance enrichment API if TDS fields present; lightweight sync call (~50-100ms); minimal Payouts changes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Yes — Payouts→Tax-Compliance (optional)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✓ Selected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2. TC Gateway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exposes /v2/payouts endpoint; orchestrates compute + payout creation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Yes — Tax-Compliance→Payouts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Not Recommended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3. Pre-Compute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Caller pre-computes TDS via Tax-Compliance first, then calls Payouts separately; two API calls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Not Recommended (breaks one-stop requirement)</w:t>
            </w:r>
          </w:p>
        </w:tc>
      </w:tr>
    </w:tbl>
    <w:p>
      <w:r>
        <w:t>____________________________________________________________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Approach 1: Enrichment Hook Pattern — SELECTED</w:t>
      </w:r>
    </w:p>
    <w:p>
      <w:r>
        <w:rPr>
          <w:rFonts w:ascii="Arial" w:hAnsi="Arial"/>
          <w:b w:val="0"/>
          <w:i w:val="0"/>
          <w:color w:val="000000"/>
          <w:sz w:val="22"/>
        </w:rPr>
        <w:t>RECOMMENDED - All Channels</w:t>
      </w:r>
    </w:p>
    <w:p>
      <w:r>
        <w:rPr>
          <w:rFonts w:ascii="Arial" w:hAnsi="Arial"/>
          <w:b w:val="0"/>
          <w:i w:val="0"/>
          <w:color w:val="000000"/>
          <w:sz w:val="22"/>
        </w:rPr>
        <w:t>Payouts accepts optional TDS fields; makes lightweight sync enrichment call if present; single API for merchants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Core Principle: Single API Call with Minimal Payouts Changes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Payouts API accepts optional TDS fields (category_id, gross_amount, apply_ldc). If these fields are present,</w:t>
        <w:br/>
        <w:t xml:space="preserve">      Payouts makes a </w:t>
      </w:r>
      <w:r>
        <w:rPr>
          <w:rFonts w:ascii="Arial" w:hAnsi="Arial"/>
          <w:b/>
          <w:i w:val="0"/>
          <w:color w:val="000000"/>
          <w:sz w:val="22"/>
        </w:rPr>
        <w:t>lightweight synchronous call (~50-100ms)</w:t>
      </w:r>
      <w:r>
        <w:rPr>
          <w:rFonts w:ascii="Arial" w:hAnsi="Arial"/>
          <w:b w:val="0"/>
          <w:i w:val="0"/>
          <w:color w:val="000000"/>
          <w:sz w:val="22"/>
        </w:rPr>
        <w:t xml:space="preserve"> to Tax-Compliance enrichment endpoint.</w:t>
        <w:br/>
        <w:t xml:space="preserve">      Tax-Compliance computes TDS, creates tds_payments entity, and returns enriched data. Payouts uses the enriched</w:t>
        <w:br/>
        <w:t xml:space="preserve">      net_amount for payout creation. </w:t>
      </w:r>
      <w:r>
        <w:rPr>
          <w:rFonts w:ascii="Arial" w:hAnsi="Arial"/>
          <w:b/>
          <w:i w:val="0"/>
          <w:color w:val="000000"/>
          <w:sz w:val="22"/>
        </w:rPr>
        <w:t>Merchants make ONE API call; zero domain leak to Payouts.</w:t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How It Works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This approach adds a minimal, optional enrichment hook in Payouts. When TDS fields are absent, Payouts behaves</w:t>
        <w:br/>
        <w:t xml:space="preserve">    exactly as before (zero impact). When TDS fields are present, Payouts delegates computation to Tax-Compliance</w:t>
        <w:br/>
        <w:t xml:space="preserve">    and uses the enriched response.</w:t>
        <w:br/>
        <w:t xml:space="preserve">  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Flow Summary</w:t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7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Key Benefits of Enrichment Hook Pattern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Aspect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Benefit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Single API Call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Merchants call Payouts API once; enrichment happens internally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Minimal Payouts Changes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~20 LOC enrichment hook; feature-flagged; isolated code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No Domain Leak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doesn't know TDS logic; just calls enrichment service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Latency Impact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+50-100ms for TDS payouts only; zero impact for non-TDS payouts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Works for All Payout Types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Dashboard, Bulk, API - same unified approach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Clean Failure Handling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If enrichment fails, payout fails immediately; no partial 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TDS Entity Creation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Created synchronously during enrichment; payout_id updated via events</w:t>
            </w:r>
          </w:p>
        </w:tc>
      </w:tr>
    </w:tbl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Channel-by-Channel Flow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Solution to API Payouts Challenge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For </w:t>
      </w:r>
      <w:r>
        <w:rPr>
          <w:rFonts w:ascii="Arial" w:hAnsi="Arial"/>
          <w:b/>
          <w:i w:val="0"/>
          <w:color w:val="000000"/>
          <w:sz w:val="22"/>
        </w:rPr>
        <w:t>API Payouts</w:t>
      </w:r>
      <w:r>
        <w:rPr>
          <w:rFonts w:ascii="Arial" w:hAnsi="Arial"/>
          <w:b w:val="0"/>
          <w:i w:val="0"/>
          <w:color w:val="000000"/>
          <w:sz w:val="22"/>
        </w:rPr>
        <w:t>, merchants only have raw inputs (category, PAN, amount). They don't have</w:t>
        <w:br/>
        <w:t xml:space="preserve">      pre-computed TDS values. The enrichment hook pattern solves this elegantly:</w:t>
        <w:br/>
        <w:t xml:space="preserve">    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2"/>
        </w:rPr>
        <w:t>Merchants make ONE API call to Payouts</w:t>
      </w:r>
      <w:r>
        <w:rPr>
          <w:rFonts w:ascii="Arial" w:hAnsi="Arial"/>
          <w:b w:val="0"/>
          <w:i w:val="0"/>
          <w:color w:val="000000"/>
          <w:sz w:val="22"/>
        </w:rPr>
        <w:t xml:space="preserve"> with TDS fields (gross_amount, category_id, apply_ldc).</w:t>
        <w:br/>
        <w:t xml:space="preserve">      Payouts internally calls Tax-Compliance enrichment endpoint (~50-100ms), gets the enriched data, and creates</w:t>
        <w:br/>
        <w:t xml:space="preserve">      the payout. The latency impact (~50-100ms) is acceptable for the following reasons:</w:t>
        <w:br/>
        <w:t xml:space="preserve">   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Channel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How It Works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Who computes?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Payouts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Dashboard (UI)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UI calls Payouts with TDS fields → Enrichment hook triggers → Creates payout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(via enrichment endpoint)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Enrichment hook (~20 LOC); calls Tax-Compliance if TDS fields present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Bulk CSV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For each row: Call Payouts with TDS fields → Enrichment hook → Creates payout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(via enrichment endpoint)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API (direct merchant)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Merchant calls Payouts with TDS fields → Enrichment hook → Creates payout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(via enrichment endpoint)</w:t>
            </w:r>
          </w:p>
        </w:tc>
        <w:tc>
          <w:tcPr>
            <w:tcW w:type="dxa" w:w="2160"/>
          </w:tcPr>
          <w:p/>
        </w:tc>
      </w:tr>
    </w:tbl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Storage Decision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t>The net payout amount is determined by the enrichment response at creation time, ensuring correct money routing immediately.</w:t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Dashboard / Single Payout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28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2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Bulk CSV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0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API Payout Flow (Direct Merchant Integration)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66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6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Changes Required (High-Level)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Service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Changes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Effort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 enrichment hook (~20 LOC) before payout creation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Add optional TDS fields to API: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tds_category_id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apply_ldc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Call Tax-Compliance enrichment endpoint if TDS fields present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Store metadata: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tds_payment_id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tds_amount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tds_rate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Feature flag for gradual rollout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Low (~20 LOC)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Tax-Compliance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Build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/internal/tds/enrich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endpoint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Compute TDS, create tds_payments entity (status: PENDING)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Return enriched data: net_amount, tds_amount, rate, tds_payment_id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Build event listener for payout status updates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Update tds_payments entity (PENDING → SUCCESS/FAILED)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Dashboard UI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 TDS form fields (category, apply_ldc toggle)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Show TDS breakdown to user before confirmation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Call Payouts API with TDS fields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Bulk CSV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 TDS columns to CSV template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Call Payouts API with TDS fields for each row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Display enriched preview before processing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</w:t>
            </w:r>
          </w:p>
        </w:tc>
      </w:tr>
    </w:tbl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Pros and Cons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Pros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Cons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Single API call for merchants (one-stop solution)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Adds 50-100ms latency for TDS payouts only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Minimal Payouts changes (~20 LOC enrichment hook)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Sync dependency on Tax-Compliance during payout creation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domain leak - Payouts just calls enrichment service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Works for all payout types (Dashboard, Bulk, API)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entity created synchronously (available immediately)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Clean failure handling - fail fast, no partial state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Feature-flagged - can be rolled out gradually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Zero impact on non-TDS payouts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can be horizontally scaled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Backward compatible - all TDS fields optional</w:t>
            </w:r>
          </w:p>
        </w:tc>
        <w:tc>
          <w:tcPr>
            <w:tcW w:type="dxa" w:w="4320"/>
          </w:tcPr>
          <w:p/>
        </w:tc>
      </w:tr>
    </w:tbl>
    <w:p>
      <w:r>
        <w:t>____________________________________________________________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Approach 2: TC Gateway (Not Recommended)</w:t>
      </w:r>
    </w:p>
    <w:p>
      <w:r>
        <w:rPr>
          <w:rFonts w:ascii="Arial" w:hAnsi="Arial"/>
          <w:b w:val="0"/>
          <w:i w:val="0"/>
          <w:color w:val="000000"/>
          <w:sz w:val="22"/>
        </w:rPr>
        <w:t>Not Recommended</w:t>
      </w:r>
    </w:p>
    <w:p>
      <w:r>
        <w:rPr>
          <w:rFonts w:ascii="Arial" w:hAnsi="Arial"/>
          <w:b w:val="0"/>
          <w:i w:val="0"/>
          <w:color w:val="000000"/>
          <w:sz w:val="22"/>
        </w:rPr>
        <w:t>Tax-Compliance orchestrates both TDS computation and payout creation; exposes /v2/payouts endpoint</w:t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How It Works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Tax-Compliance becomes the orchestrator. It exposes a single API endpoint</w:t>
        <w:br/>
        <w:t xml:space="preserve">    that creates both the TDS Payment entity and the payout.</w:t>
        <w:br/>
        <w:t xml:space="preserve">  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Flow Summary</w:t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065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6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Payout Type Considerations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Payout Type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Single Payout (UI)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One orchestrated call via Tax-Compliance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Bulk Payout (CSV)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Would require new bulk orchestration API in Tax-Compliance; complex error 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API Payouts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External users call Tax-Compliance instead of Payouts (API surface change)</w:t>
            </w:r>
          </w:p>
        </w:tc>
      </w:tr>
    </w:tbl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Pros and Cons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Pros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Cons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Single API call returns both TDS Payment ID and Payout ID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Reversed S2S call (Tax-Compliance → Payouts adds latency)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Payment entity available synchronously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depends on Payouts (tight coupling)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owns all TDS data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Domain leakage - Tax-Compliance must understand payout creation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new Kafka topic needed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Complex orchestration logic in Tax-Compliance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Minimal Payouts changes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Bulk payout support requires significant Tax-Compliance work</w:t>
            </w:r>
          </w:p>
        </w:tc>
      </w:tr>
    </w:tbl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When to Consider</w:t>
      </w:r>
    </w:p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This approach is viable if having the TDS Payment ID synchronously in the API response</w:t>
        <w:br/>
        <w:t xml:space="preserve">      is a hard requirement. However, it introduces orchestration complexity and reverses</w:t>
        <w:br/>
        <w:t xml:space="preserve">      the natural dependency direction (Tax-Compliance calling Payouts).</w:t>
        <w:br/>
        <w:t xml:space="preserve">    </w:t>
      </w:r>
    </w:p>
    <w:p>
      <w:r>
        <w:t>____________________________________________________________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Approach 3: Pre-Compute Pattern (Not Recommended)</w:t>
      </w:r>
    </w:p>
    <w:p>
      <w:r>
        <w:rPr>
          <w:rFonts w:ascii="Arial" w:hAnsi="Arial"/>
          <w:b w:val="0"/>
          <w:i w:val="0"/>
          <w:color w:val="000000"/>
          <w:sz w:val="22"/>
        </w:rPr>
        <w:t>Not Recommended</w:t>
      </w:r>
    </w:p>
    <w:p>
      <w:r>
        <w:rPr>
          <w:rFonts w:ascii="Arial" w:hAnsi="Arial"/>
          <w:b w:val="0"/>
          <w:i w:val="0"/>
          <w:color w:val="000000"/>
          <w:sz w:val="22"/>
        </w:rPr>
        <w:t>Caller pre-computes TDS via Tax-Compliance first, then calls Payouts separately; two API calls</w:t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How It Works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The caller (UI/BFF or API merchant) makes TWO separate API calls: first to Tax-Compliance to compute TDS</w:t>
        <w:br/>
        <w:t xml:space="preserve">    and create the tds_payments entity, then to Payouts to create the payout with the pre-computed net amount.</w:t>
        <w:br/>
        <w:t xml:space="preserve">  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Flow Summary</w:t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362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6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Payout Type Considerations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Payout Type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Single Payout (UI)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Two API calls required (TDS compute + payout creation); acceptable for single payouts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Bulk Payout (CSV)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Must compute TDS for all rows first, then create payouts; complex workflow with intermediate state management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API Payouts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API merchants must make two sequential API calls; breaks one-stop solution requirement</w:t>
            </w:r>
          </w:p>
        </w:tc>
      </w:tr>
    </w:tbl>
    <w:p>
      <w:pPr>
        <w:pStyle w:val="Heading4"/>
        <w:keepNext/>
        <w:spacing w:before="280" w:after="80"/>
      </w:pPr>
      <w:r>
        <w:rPr>
          <w:rFonts w:ascii="Arial" w:hAnsi="Arial"/>
          <w:b/>
          <w:i w:val="0"/>
          <w:color w:val="1155CC"/>
          <w:sz w:val="24"/>
        </w:rPr>
        <w:t>Pros and Cons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Pros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Cons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S2S coupling between Payouts and Tax-Compliance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TWO API calls required for merchants (breaks one-stop solution)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amount mutation in Payouts (caller sends net amount directly)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Complex workflow for bulk payouts (compute all TDS first, then create payouts)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entity created synchronously in first call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Poor UX for API merchants (must orchestrate two sequential calls)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Clean separation of concerns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Intermediate state management required (tds_payments in PENDING between calls)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Caller must handle failures in either API call and cleanup orphaned entities</w:t>
            </w:r>
          </w:p>
        </w:tc>
      </w:tr>
    </w:tbl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Why Not Recommended</w:t>
      </w:r>
    </w:p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This approach introduces significant technical debt: latency overhead, service coupling,</w:t>
        <w:br/>
        <w:t xml:space="preserve">      domain leakage, and risky amount mutation. The synchronous S2S call in the critical path</w:t>
        <w:br/>
        <w:t xml:space="preserve">      makes payouts dependent on Tax-Compliance availability.</w:t>
        <w:br/>
        <w:t xml:space="preserve">    </w:t>
      </w:r>
    </w:p>
    <w:p>
      <w:r>
        <w:t>____________________________________________________________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Comparison of All Three Approaches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Criteria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Approach 1: Enrichment Hook ✓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Approach 2: TC Gateway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Approach 3: Pre-Compute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Merchant API calls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1 call (Payouts)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 call (Tax-Compliance)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2 calls (Tax then Payouts)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S2S call in payout creation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Yes (Payouts→Tax, optional)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Yes (Tax→Payouts)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Latency added to payout API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+50-100ms (TDS payouts only)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+50-100ms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0ms (but 2 API calls)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Service coupling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 (enrichment only)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Tight (reversed)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Loose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Payouts code changes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~20 LOC hook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Minimal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Low (fields only)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Domain separation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Clean (no TDS logic)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 owns payout orchestration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Clean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One-stop solution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Wrong API endpoint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(2 calls)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TDS entity created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Synchronously (enrichment)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Synchronously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Synchronously (first call)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Bulk payouts support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Simple (same flow)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Very complex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Simple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Testing complexity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 (mock Tax-Compliance)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Risk to Payouts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Low (isolated hook)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Low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API version change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No (optional fields)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Yes (new endpoint)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TDS Payment ID in response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Yes (in payout response)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Yes (in payout response)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Yes (but in first call, not payout response)</w:t>
            </w:r>
          </w:p>
        </w:tc>
      </w:tr>
    </w:tbl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Final Decision: Approach 1 — Enrichment Hook Pattern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2"/>
        </w:rPr>
        <w:t>Approach 1 is selected for all channels</w:t>
      </w:r>
      <w:r>
        <w:rPr>
          <w:rFonts w:ascii="Arial" w:hAnsi="Arial"/>
          <w:b w:val="0"/>
          <w:i w:val="0"/>
          <w:color w:val="000000"/>
          <w:sz w:val="22"/>
        </w:rPr>
        <w:t xml:space="preserve"> (Dashboard, Bulk CSV, API). It provides a </w:t>
      </w:r>
      <w:r>
        <w:rPr>
          <w:rFonts w:ascii="Arial" w:hAnsi="Arial"/>
          <w:b/>
          <w:i w:val="0"/>
          <w:color w:val="000000"/>
          <w:sz w:val="22"/>
        </w:rPr>
        <w:t>one-stop solution</w:t>
      </w:r>
      <w:r>
        <w:rPr>
          <w:rFonts w:ascii="Arial" w:hAnsi="Arial"/>
          <w:b w:val="0"/>
          <w:i w:val="0"/>
          <w:color w:val="000000"/>
          <w:sz w:val="22"/>
        </w:rPr>
        <w:br/>
        <w:t xml:space="preserve">      where merchants make a single API call to Payouts with optional TDS fields. Payouts makes a lightweight enrichment call (~50-100ms)</w:t>
        <w:br/>
        <w:t xml:space="preserve">      to Tax-Compliance if TDS fields are present. This adds minimal code to Payouts (~20 LOC), maintains clean domain separation</w:t>
        <w:br/>
        <w:t xml:space="preserve">      (Payouts doesn't own TDS logic), and works uniformly across all payout types. The TDS Payment entity is created synchronously</w:t>
        <w:br/>
        <w:t xml:space="preserve">      and available immediately in the response.</w:t>
        <w:br/>
        <w:t xml:space="preserve">    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2"/>
        </w:rPr>
        <w:t>Trade-offs accepted:</w:t>
      </w:r>
      <w:r>
        <w:rPr>
          <w:rFonts w:ascii="Arial" w:hAnsi="Arial"/>
          <w:b w:val="0"/>
          <w:i w:val="0"/>
          <w:color w:val="000000"/>
          <w:sz w:val="22"/>
        </w:rPr>
        <w:t xml:space="preserve"> +50-100ms latency for TDS payouts only (zero impact on non-TDS payouts); sync dependency</w:t>
        <w:br/>
        <w:t xml:space="preserve">      on Tax-Compliance during payout creation (mitigated via timeouts, circuit breakers, and horizontal scaling).</w:t>
        <w:br/>
        <w:t xml:space="preserve">    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t xml:space="preserve">See </w:t>
      </w:r>
      <w:hyperlink r:id="rId16">
        <w:r>
          <w:rPr>
            <w:rFonts w:ascii="Arial" w:hAnsi="Arial"/>
            <w:color w:val="0000ee"/>
            <w:u w:val="single"/>
            <w:sz w:val="22"/>
            <w:szCs w:val="22"/>
          </w:rPr>
          <w:t>Section 8</w:t>
        </w:r>
      </w:hyperlink>
      <w:r>
        <w:rPr>
          <w:rFonts w:ascii="Arial" w:hAnsi="Arial"/>
          <w:b w:val="0"/>
          <w:i w:val="0"/>
          <w:color w:val="000000"/>
          <w:sz w:val="22"/>
        </w:rPr>
        <w:t xml:space="preserve"> for full implementation specification.</w:t>
      </w:r>
    </w:p>
    <w:p>
      <w:r>
        <w:t>____________________________________________________________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8.2 Assumptions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Tax-Compliance will expose an internal </w:t>
      </w:r>
      <w:r>
        <w:rPr>
          <w:rFonts w:ascii="Arial" w:hAnsi="Arial"/>
          <w:b w:val="0"/>
          <w:i w:val="0"/>
          <w:color w:val="000000"/>
          <w:sz w:val="22"/>
        </w:rPr>
        <w:t>/internal/tds/enrich</w:t>
      </w:r>
      <w:r>
        <w:rPr>
          <w:rFonts w:ascii="Arial" w:hAnsi="Arial"/>
          <w:b w:val="0"/>
          <w:i w:val="0"/>
          <w:color w:val="000000"/>
          <w:sz w:val="22"/>
        </w:rPr>
        <w:t xml:space="preserve"> endpoint for Payouts to call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Enrichment call latency is acceptable (~50-100ms) for TDS payouts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Tax-Compliance can be horizontally scaled to handle enrichment load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Payouts API version stays at </w:t>
      </w:r>
      <w:r>
        <w:rPr>
          <w:rFonts w:ascii="Arial" w:hAnsi="Arial"/>
          <w:b w:val="0"/>
          <w:i w:val="0"/>
          <w:color w:val="000000"/>
          <w:sz w:val="22"/>
        </w:rPr>
        <w:t>/v1/payouts</w:t>
      </w:r>
      <w:r>
        <w:rPr>
          <w:rFonts w:ascii="Arial" w:hAnsi="Arial"/>
          <w:b w:val="0"/>
          <w:i w:val="0"/>
          <w:color w:val="000000"/>
          <w:sz w:val="22"/>
        </w:rPr>
        <w:t xml:space="preserve"> — all TDS fields (</w:t>
      </w:r>
      <w:r>
        <w:rPr>
          <w:rFonts w:ascii="Arial" w:hAnsi="Arial"/>
          <w:b w:val="0"/>
          <w:i w:val="0"/>
          <w:color w:val="000000"/>
          <w:sz w:val="22"/>
        </w:rPr>
        <w:t>tds_category_id</w:t>
      </w:r>
      <w:r>
        <w:rPr>
          <w:rFonts w:ascii="Arial" w:hAnsi="Arial"/>
          <w:b w:val="0"/>
          <w:i w:val="0"/>
          <w:color w:val="000000"/>
          <w:sz w:val="22"/>
        </w:rPr>
        <w:t xml:space="preserve">, </w:t>
      </w:r>
      <w:r>
        <w:rPr>
          <w:rFonts w:ascii="Arial" w:hAnsi="Arial"/>
          <w:b w:val="0"/>
          <w:i w:val="0"/>
          <w:color w:val="000000"/>
          <w:sz w:val="22"/>
        </w:rPr>
        <w:t>apply_ldc</w:t>
      </w:r>
      <w:r>
        <w:rPr>
          <w:rFonts w:ascii="Arial" w:hAnsi="Arial"/>
          <w:b w:val="0"/>
          <w:i w:val="0"/>
          <w:color w:val="000000"/>
          <w:sz w:val="22"/>
        </w:rPr>
        <w:t>) are optional extensions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Enrichment hook is feature-flagged and can be rolled out gradually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Tax-Compliance event listener is idempotent — safe to retry on failure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Timeouts and circuit breakers will be implemented to handle Tax-Compliance failures gracefully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8.5 Data Model / Schema Changes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Payouts — New Fields (Low Blast Radius)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Storage Split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Owner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tds.source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"bb_plus" — Kafka routing indicator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tds.gross_amount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int64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Original gross amount before TDS deduction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tds.amount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float64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(existing)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deduction amount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tds.breakdown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Full breakdown from compute response (basic tax, surcharge, cess, rate)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tds_payments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entity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Full TDS record for government filing (PAN, amounts, category, payout ref)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Kafka Topic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Topic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Publisher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Consumer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add-tds-entry-bb-plus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(new)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BB+ payout reaches terminal state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add-tds-entry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(existing)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Vendor-Payments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Non-BB+ TDS payout (unchanged)</w:t>
            </w:r>
          </w:p>
        </w:tc>
      </w:tr>
    </w:tbl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8.6 Business Logic Changes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8.6.1 Payouts Service — Enrichment Hook Logic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The key business logic change in Payouts is the </w:t>
      </w:r>
      <w:r>
        <w:rPr>
          <w:rFonts w:ascii="Arial" w:hAnsi="Arial"/>
          <w:b/>
          <w:i w:val="0"/>
          <w:color w:val="000000"/>
          <w:sz w:val="22"/>
        </w:rPr>
        <w:t>enrichment hook</w:t>
      </w:r>
      <w:r>
        <w:rPr>
          <w:rFonts w:ascii="Arial" w:hAnsi="Arial"/>
          <w:b w:val="0"/>
          <w:i w:val="0"/>
          <w:color w:val="000000"/>
          <w:sz w:val="22"/>
        </w:rPr>
        <w:t xml:space="preserve"> that calls Tax-Compliance when TDS fields are present in the payout request. This is implemented as a lightweight, optional hook (~20 LOC) that runs BEFORE payout creation.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Enrichment Flow in Payout Creation Handler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Change Area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What Changes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Payout API handler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 enrichment hook: if TDS fields present, call Tax-Compliance /internal/tds/enrich before creating payout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~20 LOC hook; optional (only runs if TDS fields present)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TDSDetails struct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Add fields: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tds_payment_id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(string),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tds_amount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(int64),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rate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(float),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category_id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(string)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Additive — no existing code affected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Payout creation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Use enriched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net_amount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from Tax-Compliance response; store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tds_payment_id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in metadata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amount mutation in Payouts — Tax-Compliance computes and returns net amount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Event emission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Existing payout status events carry TDS metadata (tds_payment_id, tds_amount) for Tax-Compliance listener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new events or topics; reuses existing event infrastructure</w:t>
            </w:r>
          </w:p>
        </w:tc>
      </w:tr>
    </w:tbl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What Payouts DOES in Enrichment Hook</w:t>
      </w:r>
    </w:p>
    <w:p>
      <w:pPr>
        <w:shd w:val="clear" w:color="auto" w:fill="FFFBEB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What Payouts Does NOT Do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8.6.2 Final Recommendation Summary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RECOMMENDED: Approach 1 — Enrichment Hook Pattern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2"/>
        </w:rPr>
        <w:t>Approach 1 is the recommended solution for all payout types (Single, Bulk, API).</w:t>
      </w:r>
    </w:p>
    <w:p>
      <w:pPr>
        <w:shd w:val="clear" w:color="auto" w:fill="F0FDF4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Key Reasons: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8.6.3 Trade-offs Accepted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Trade-off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+50-100ms latency for TDS payouts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Isolated to TDS payouts only; zero impact on non-TDS payouts; Tax-Compliance enrichment is lightweight (compute + DB insert)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Sync dependency on Tax-Compliance during payout creation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Timeouts (~2s), circuit breakers, retry logic; Tax-Compliance horizontally scalable; fail-fast if unavailable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Enrichment call adds S2S integration to Payouts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Isolated behind feature flag; can be disabled; only ~20 LOC; does not affect core payout logic</w:t>
            </w:r>
          </w:p>
        </w:tc>
      </w:tr>
    </w:tbl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8.7 Miscellaneous Questions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What if Tax-Compliance enrichment API is down?</w:t>
      </w:r>
      <w:r>
        <w:rPr>
          <w:rFonts w:ascii="Arial" w:hAnsi="Arial"/>
          <w:b w:val="0"/>
          <w:i w:val="0"/>
          <w:color w:val="000000"/>
          <w:sz w:val="22"/>
        </w:rPr>
        <w:t xml:space="preserve"> — Payout creation fails immediately with clear error message. No partial state created. Non-TDS payouts continue to work normally.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What if enrichment call times out?</w:t>
      </w:r>
      <w:r>
        <w:rPr>
          <w:rFonts w:ascii="Arial" w:hAnsi="Arial"/>
          <w:b w:val="0"/>
          <w:i w:val="0"/>
          <w:color w:val="000000"/>
          <w:sz w:val="22"/>
        </w:rPr>
        <w:t xml:space="preserve"> — Payout creation fails after timeout (~2s). Circuit breaker opens after repeated failures to prevent cascading issues. Merchants retry when Tax-Compliance is back.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What if payout creation fails after enrichment?</w:t>
      </w:r>
      <w:r>
        <w:rPr>
          <w:rFonts w:ascii="Arial" w:hAnsi="Arial"/>
          <w:b w:val="0"/>
          <w:i w:val="0"/>
          <w:color w:val="000000"/>
          <w:sz w:val="22"/>
        </w:rPr>
        <w:t xml:space="preserve"> — tds_payments entity remains in PENDING state. Tax-Compliance cleanup job can mark orphaned PENDING records as FAILED after timeout period.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What if payout status event is lost?</w:t>
      </w:r>
      <w:r>
        <w:rPr>
          <w:rFonts w:ascii="Arial" w:hAnsi="Arial"/>
          <w:b w:val="0"/>
          <w:i w:val="0"/>
          <w:color w:val="000000"/>
          <w:sz w:val="22"/>
        </w:rPr>
        <w:t xml:space="preserve"> — Eventual consistency: Tax-Compliance can poll Payouts API for payout status and update tds_payments entity accordingly. Daily reconciliation job detects and fixes gaps.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How do we monitor enrichment health?</w:t>
      </w:r>
      <w:r>
        <w:rPr>
          <w:rFonts w:ascii="Arial" w:hAnsi="Arial"/>
          <w:b w:val="0"/>
          <w:i w:val="0"/>
          <w:color w:val="000000"/>
          <w:sz w:val="22"/>
        </w:rPr>
        <w:t xml:space="preserve"> — Track enrichment call latency, failure rate, and timeout rate. Alert if p95 latency &gt; 150ms or failure rate &gt; 1%.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Does Payouts validate the pre-computed tds_amount?</w:t>
      </w:r>
      <w:r>
        <w:rPr>
          <w:rFonts w:ascii="Arial" w:hAnsi="Arial"/>
          <w:b w:val="0"/>
          <w:i w:val="0"/>
          <w:color w:val="000000"/>
          <w:sz w:val="22"/>
        </w:rPr>
        <w:t xml:space="preserve"> — No. Payouts trusts the caller (Tax-Compliance BFF or API merchant). Validation is the caller's responsibility.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13.1 Production Rollout and Ramp Plan</w:t>
      </w:r>
    </w:p>
    <w:p>
      <w:pPr>
        <w:pStyle w:val="ListNumber"/>
      </w:pPr>
      <w:r>
        <w:rPr>
          <w:rFonts w:ascii="Arial" w:hAnsi="Arial"/>
          <w:b/>
          <w:i w:val="0"/>
          <w:color w:val="000000"/>
          <w:sz w:val="22"/>
        </w:rPr>
        <w:t>Phase 1:</w:t>
      </w:r>
      <w:r>
        <w:rPr>
          <w:rFonts w:ascii="Arial" w:hAnsi="Arial"/>
          <w:b w:val="0"/>
          <w:i w:val="0"/>
          <w:color w:val="000000"/>
          <w:sz w:val="22"/>
        </w:rPr>
        <w:t xml:space="preserve"> Payouts service changes (fields + topic routing) - </w:t>
      </w:r>
      <w:r>
        <w:rPr>
          <w:rFonts w:ascii="Arial" w:hAnsi="Arial"/>
          <w:b w:val="0"/>
          <w:i/>
          <w:color w:val="000000"/>
          <w:sz w:val="22"/>
        </w:rPr>
        <w:t>Low risk, high value</w:t>
      </w:r>
    </w:p>
    <w:p>
      <w:pPr>
        <w:pStyle w:val="ListNumber"/>
      </w:pPr>
      <w:r>
        <w:rPr>
          <w:rFonts w:ascii="Arial" w:hAnsi="Arial"/>
          <w:b/>
          <w:i w:val="0"/>
          <w:color w:val="000000"/>
          <w:sz w:val="22"/>
        </w:rPr>
        <w:t>Phase 2:</w:t>
      </w:r>
      <w:r>
        <w:rPr>
          <w:rFonts w:ascii="Arial" w:hAnsi="Arial"/>
          <w:b w:val="0"/>
          <w:i w:val="0"/>
          <w:color w:val="000000"/>
          <w:sz w:val="22"/>
        </w:rPr>
        <w:t xml:space="preserve"> Tax-Compliance compute API + Kafka consumer - </w:t>
      </w:r>
      <w:r>
        <w:rPr>
          <w:rFonts w:ascii="Arial" w:hAnsi="Arial"/>
          <w:b w:val="0"/>
          <w:i/>
          <w:color w:val="000000"/>
          <w:sz w:val="22"/>
        </w:rPr>
        <w:t>Independent of Payouts</w:t>
      </w:r>
    </w:p>
    <w:p>
      <w:pPr>
        <w:pStyle w:val="ListNumber"/>
      </w:pPr>
      <w:r>
        <w:rPr>
          <w:rFonts w:ascii="Arial" w:hAnsi="Arial"/>
          <w:b/>
          <w:i w:val="0"/>
          <w:color w:val="000000"/>
          <w:sz w:val="22"/>
        </w:rPr>
        <w:t>Phase 3:</w:t>
      </w:r>
      <w:r>
        <w:rPr>
          <w:rFonts w:ascii="Arial" w:hAnsi="Arial"/>
          <w:b w:val="0"/>
          <w:i w:val="0"/>
          <w:color w:val="000000"/>
          <w:sz w:val="22"/>
        </w:rPr>
        <w:t xml:space="preserve"> Tax-Compliance UI flow (single payout) - </w:t>
      </w:r>
      <w:r>
        <w:rPr>
          <w:rFonts w:ascii="Arial" w:hAnsi="Arial"/>
          <w:b w:val="0"/>
          <w:i/>
          <w:color w:val="000000"/>
          <w:sz w:val="22"/>
        </w:rPr>
        <w:t>First user-facing feature</w:t>
      </w:r>
    </w:p>
    <w:p>
      <w:pPr>
        <w:pStyle w:val="ListNumber"/>
      </w:pPr>
      <w:r>
        <w:rPr>
          <w:rFonts w:ascii="Arial" w:hAnsi="Arial"/>
          <w:b/>
          <w:i w:val="0"/>
          <w:color w:val="000000"/>
          <w:sz w:val="22"/>
        </w:rPr>
        <w:t>Phase 4:</w:t>
      </w:r>
      <w:r>
        <w:rPr>
          <w:rFonts w:ascii="Arial" w:hAnsi="Arial"/>
          <w:b w:val="0"/>
          <w:i w:val="0"/>
          <w:color w:val="000000"/>
          <w:sz w:val="22"/>
        </w:rPr>
        <w:t xml:space="preserve"> Bulk payout CSV integration - </w:t>
      </w:r>
      <w:r>
        <w:rPr>
          <w:rFonts w:ascii="Arial" w:hAnsi="Arial"/>
          <w:b w:val="0"/>
          <w:i/>
          <w:color w:val="000000"/>
          <w:sz w:val="22"/>
        </w:rPr>
        <w:t>Reuses all prior work</w:t>
      </w:r>
    </w:p>
    <w:p>
      <w:pPr>
        <w:pStyle w:val="ListNumber"/>
      </w:pPr>
      <w:r>
        <w:rPr>
          <w:rFonts w:ascii="Arial" w:hAnsi="Arial"/>
          <w:b/>
          <w:i w:val="0"/>
          <w:color w:val="000000"/>
          <w:sz w:val="22"/>
        </w:rPr>
        <w:t>Phase 5:</w:t>
      </w:r>
      <w:r>
        <w:rPr>
          <w:rFonts w:ascii="Arial" w:hAnsi="Arial"/>
          <w:b w:val="0"/>
          <w:i w:val="0"/>
          <w:color w:val="000000"/>
          <w:sz w:val="22"/>
        </w:rPr>
        <w:t xml:space="preserve"> API documentation for external integrations - </w:t>
      </w:r>
      <w:r>
        <w:rPr>
          <w:rFonts w:ascii="Arial" w:hAnsi="Arial"/>
          <w:b w:val="0"/>
          <w:i/>
          <w:color w:val="000000"/>
          <w:sz w:val="22"/>
        </w:rPr>
        <w:t>Completes all channels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9. Non-Functional Requirements (NFRs)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9.1 Scalability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Single Payouts: no degradation to existing throughput — Payouts change is additive (new fields only)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Bulk Payouts: support up to 10,000 rows per CSV file; Tax-Compliance computes TDS per row before any payout is created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Tax-Compliance compute API: must handle peak load during bulk processing concurrently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9.2 Availability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Tax-Compliance compute API: 99.9% uptime target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Graceful degradation: if compute API is down, preview fails; Payouts creation of non-TDS payouts is unaffected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Kafka consumer: automatic retry with exponential backoff; DLQ after max retries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Payout creation latency target: &lt; 500ms p95 (no change from current)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TDS Payment creation (async): Kafka publish → entity creation &lt; 5 seconds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9.3 Security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Aspect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PII Handling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Deductee PAN encrypted at rest in Tax-Compliance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PAN in Payouts service (only contact_id reference)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PII in logs or Kafka messages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Access Control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compute API: Authenticated merchants only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API: Existing authentication (no change)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Payment query API: Merchant can only access their own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Kafka Security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Use existing Kafka authentication and authorization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Topic ACLs to restrict publisher/consumer access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9.4 Compliance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TDS Payment entities retained indefinitely for tax filing and audit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Payout details (TDS fields) retained per existing Payouts retention policy (7+ years)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Kafka messages: minimum 7-day retention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PAN data: encrypted at rest in Tax-Compliance; never stored in Payouts or Kafka messages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9.5 Reliability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Outbox pattern for Kafka publish — at-least-once delivery guaranteed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Daily reconciliation job: detect BB+ payouts with no corresponding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and alert ops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Payouts → Tax-Compliance are fully decoupled — failure in Tax-Compliance does not affect payout creation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9.6 Infra Cost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New Kafka topic: minimal cost (messages are lightweight)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Additional Tax-Compliance Kafka consumer: standard pod sizing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No new database tables in Payouts — storage via existing </w:t>
      </w:r>
      <w:r>
        <w:rPr>
          <w:rFonts w:ascii="Arial" w:hAnsi="Arial"/>
          <w:b w:val="0"/>
          <w:i w:val="0"/>
          <w:color w:val="000000"/>
          <w:sz w:val="22"/>
        </w:rPr>
        <w:t>payout_details</w:t>
      </w:r>
      <w:r>
        <w:rPr>
          <w:rFonts w:ascii="Arial" w:hAnsi="Arial"/>
          <w:b w:val="0"/>
          <w:i w:val="0"/>
          <w:color w:val="000000"/>
          <w:sz w:val="22"/>
        </w:rPr>
        <w:t xml:space="preserve"> JSON column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 xml:space="preserve">10. Agentic Development Spec — Agentic SDLC </w:t>
      </w:r>
      <w:r>
        <w:rPr>
          <w:rFonts w:ascii="Arial" w:hAnsi="Arial"/>
          <w:b/>
          <w:i w:val="0"/>
          <w:color w:val="1155CC"/>
          <w:sz w:val="32"/>
        </w:rPr>
        <w:t>[Mandatory]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10.1 Agent Objective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Implement the Enrichment Hook Pattern (Approach 1) end-to-end across the Payouts and Tax-Compliance services. "Done" means: BB+ merchants can create TDS payouts via UI, Bulk CSV, and API with a single API call; Payouts enriches TDS data via Tax-Compliance internal endpoint; </w:t>
      </w:r>
      <w:r>
        <w:rPr>
          <w:rFonts w:ascii="Courier New" w:hAnsi="Courier New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entities are created synchronously during enrichment; payout status updates are tracked via events; Vendor-Payments flows are unaffected.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10.2 Repositories in Scope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Repo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Purpose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Branch Strategy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razorpay/vendor-payments (Payouts service)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 TDS fields + Kafka routing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Feature branch off main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razorpay/tax-compliance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Compute API + Kafka consumer + tds_payments entity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Feature branch off main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10.3 Detailed Implementation Spec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See </w:t>
      </w:r>
      <w:hyperlink r:id="rId26">
        <w:r>
          <w:rPr>
            <w:rFonts w:ascii="Arial" w:hAnsi="Arial"/>
            <w:color w:val="0000ee"/>
            <w:u w:val="single"/>
            <w:sz w:val="22"/>
            <w:szCs w:val="22"/>
          </w:rPr>
          <w:t>Full Technical Specification — Section 11: Codebase Analysis &amp; Implementation Plan</w:t>
        </w:r>
      </w:hyperlink>
      <w:r>
        <w:rPr>
          <w:rFonts w:ascii="Arial" w:hAnsi="Arial"/>
          <w:b w:val="0"/>
          <w:i w:val="0"/>
          <w:color w:val="000000"/>
          <w:sz w:val="22"/>
        </w:rPr>
        <w:t xml:space="preserve"> for file-level changes, API contracts, struct definitions, and sequence of operations.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10.4 Success Criteria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Both repos boot in devstack without errors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All unit tests pass (Payouts + Tax-Compliance)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E2E: BB+ single payout with TDS →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created in Tax-Compliance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E2E: Bulk CSV with TDS → all rows processed, entities created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E2E: API merchant flow (compute → create payout) → entity created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Vendor-Payments E2E tests pass (no regression)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10.5 Test Requirements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Test Type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Scope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Unit Tests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field handling, Kafka routing logic in Payouts; compute API, consumer in Tax-Compliance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Per repo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Integration Tests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→ Kafka → Tax-Compliance consumer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Cross-service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E2E Tests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Full flow per channel (UI, Bulk, API)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Devstack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Regression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Vendor-Payments TDS flows unchanged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Existing suite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10.6 Constraints &amp; Guardrails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Do not modify </w:t>
      </w:r>
      <w:r>
        <w:rPr>
          <w:rFonts w:ascii="Arial" w:hAnsi="Arial"/>
          <w:b w:val="0"/>
          <w:i w:val="0"/>
          <w:color w:val="000000"/>
          <w:sz w:val="22"/>
        </w:rPr>
        <w:t>add-tds-entry</w:t>
      </w:r>
      <w:r>
        <w:rPr>
          <w:rFonts w:ascii="Arial" w:hAnsi="Arial"/>
          <w:b w:val="0"/>
          <w:i w:val="0"/>
          <w:color w:val="000000"/>
          <w:sz w:val="22"/>
        </w:rPr>
        <w:t xml:space="preserve"> Kafka topic or its consumer (Vendor-Payments)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All new Payouts fields must be optional (backward compatibility)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No PAN in Kafka messages or Payouts logs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Follow existing Payouts and Tax-Compliance coding standards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10.7 Spec Location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Detailed implementation spec: </w:t>
      </w:r>
      <w:r>
        <w:rPr>
          <w:rFonts w:ascii="Courier New" w:hAnsi="Courier New"/>
          <w:b w:val="0"/>
          <w:i w:val="0"/>
          <w:color w:val="000000"/>
          <w:sz w:val="22"/>
        </w:rPr>
        <w:t>specs/tds-payout-bb-plus.md</w:t>
      </w:r>
      <w:r>
        <w:rPr>
          <w:rFonts w:ascii="Arial" w:hAnsi="Arial"/>
          <w:b w:val="0"/>
          <w:i w:val="0"/>
          <w:color w:val="000000"/>
          <w:sz w:val="22"/>
        </w:rPr>
        <w:t xml:space="preserve"> in the Tax-Compliance repository (first deliverable before any code).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11. Feature Dependencies &amp; SLAs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11.1 Upstream Dependencies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Sr. No.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Service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Impact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SLA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POC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Compute API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Required for TDS compute before payout creation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99.9% / &lt;200ms p95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team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API (/v2/payouts)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Extended with new TDS fields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Existing SLA unchanged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team</w:t>
            </w:r>
          </w:p>
        </w:tc>
      </w:tr>
    </w:tbl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11.2 Downstream Dependencies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Sr. No.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Service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Impact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SLA</w:t>
            </w:r>
          </w:p>
        </w:tc>
        <w:tc>
          <w:tcPr>
            <w:tcW w:type="dxa" w:w="1728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POC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Kafka Consumer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Creates tds_payments entity from Kafka event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&lt;5s p95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team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Vendor-Payments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impact — existing topic/consumer unchanged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Vendor-Payments team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Data Hub / Analytics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New TDS fields in payout_details JSON; new tds_payments entity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Analytics team</w:t>
            </w:r>
          </w:p>
        </w:tc>
      </w:tr>
    </w:tbl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12. Testing Plan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12.1 Test Cases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BB+ single payout with TDS: verify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created after payout processed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BB+ payout without TDS: no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entity, no event on BB+ topic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Vendor-Payments TDS payout: unchanged routing to </w:t>
      </w:r>
      <w:r>
        <w:rPr>
          <w:rFonts w:ascii="Arial" w:hAnsi="Arial"/>
          <w:b w:val="0"/>
          <w:i w:val="0"/>
          <w:color w:val="000000"/>
          <w:sz w:val="22"/>
        </w:rPr>
        <w:t>add-tds-entry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Kafka consumer failure → retry → DLQ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Bulk CSV: 1000-row file — all rows produce correct TDS payouts and entities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API payout: merchant calls compute → payout → entity created correctly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LDC applied: verify effective rate and breakdown stored correctly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12.2 UAT Testing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BB+ merchant UAT on staging: create TDS payout via UI, verify TDS breakdown preview, confirm payout, verify </w:t>
      </w:r>
      <w:r>
        <w:rPr>
          <w:rFonts w:ascii="Courier New" w:hAnsi="Courier New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accessible via Tax-Compliance query API.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12.3 Performance / Load Testing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Bulk CSV: 10,000 rows — end-to-end processing time &lt; 30 minutes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Tax-Compliance compute API: 500 concurrent requests — p95 &lt; 200ms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Kafka consumer throughput: 1,000 messages/min sustained — lag &lt; 100 messages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13. Go-Live Plan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13.1 Production Rollout and Ramp Plan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Scope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Risk</w:t>
            </w:r>
          </w:p>
        </w:tc>
        <w:tc>
          <w:tcPr>
            <w:tcW w:type="dxa" w:w="216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service: add optional TDS fields + Kafka topic routing (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source == "bb_plus"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→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add-tds-entry-bb-plus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No UI change; fully backward-compatible; Vendor-Payments unaffected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Tax-Compliance: build compute API endpoint + Kafka consumer + 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tds_payments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 xml:space="preserve"> entity creation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Independent of Payouts; can be tested in isolation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BFF: UI single-payout flow (preview TDS → confirm → create payout)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First user-facing feature; gated behind feature flag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Bulk CSV integration: TDS columns in CSV template, row-by-row compute, preview file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Reuses Phase 1 + 2 work; validate with 10,000-row load test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API documentation + external merchant guide for two-call (compute → payout) pattern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Completes all channels; opens API Payouts to BB+ merchants</w:t>
            </w:r>
          </w:p>
        </w:tc>
      </w:tr>
    </w:tbl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Feature Flag Strategy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t>Each phase deployed behind a Splitz flag (</w:t>
      </w:r>
      <w:r>
        <w:rPr>
          <w:rFonts w:ascii="Courier New" w:hAnsi="Courier New"/>
          <w:b w:val="0"/>
          <w:i w:val="0"/>
          <w:color w:val="000000"/>
          <w:sz w:val="22"/>
        </w:rPr>
        <w:t>tds_bb_plus_enabled</w:t>
      </w:r>
      <w:r>
        <w:rPr>
          <w:rFonts w:ascii="Arial" w:hAnsi="Arial"/>
          <w:b w:val="0"/>
          <w:i w:val="0"/>
          <w:color w:val="000000"/>
          <w:sz w:val="22"/>
        </w:rPr>
        <w:t>). Phases 1–2 can be merged to main immediately — they are no-ops until the flag is enabled. Phases 3–5 ramp by merchant cohort.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13.2 Backward Compatibility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 xml:space="preserve">All new Payouts fields are optional. Existing </w:t>
      </w:r>
      <w:r>
        <w:rPr>
          <w:rFonts w:ascii="Courier New" w:hAnsi="Courier New"/>
          <w:b w:val="0"/>
          <w:i w:val="0"/>
          <w:color w:val="000000"/>
          <w:sz w:val="22"/>
        </w:rPr>
        <w:t>/v2/payouts</w:t>
      </w:r>
      <w:r>
        <w:rPr>
          <w:rFonts w:ascii="Arial" w:hAnsi="Arial"/>
          <w:b w:val="0"/>
          <w:i w:val="0"/>
          <w:color w:val="000000"/>
          <w:sz w:val="22"/>
        </w:rPr>
        <w:t xml:space="preserve"> calls without TDS fields continue to work exactly as before. Vendor-Payments flows are unaffected.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13.3 Rollback Plan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 xml:space="preserve">Feature flag to disable BB+ Kafka routing — falls back to no-op (no </w:t>
      </w:r>
      <w:r>
        <w:rPr>
          <w:rFonts w:ascii="Arial" w:hAnsi="Arial"/>
          <w:b w:val="0"/>
          <w:i w:val="0"/>
          <w:color w:val="000000"/>
          <w:sz w:val="22"/>
        </w:rPr>
        <w:t>tds_payments</w:t>
      </w:r>
      <w:r>
        <w:rPr>
          <w:rFonts w:ascii="Arial" w:hAnsi="Arial"/>
          <w:b w:val="0"/>
          <w:i w:val="0"/>
          <w:color w:val="000000"/>
          <w:sz w:val="22"/>
        </w:rPr>
        <w:t xml:space="preserve"> entity created)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New fields in Payouts are additive — rollback is deploy of previous version with no data loss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Tax-Compliance Kafka consumer can be stopped independently with no Payouts impact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14. Monitoring &amp; Logging</w:t>
      </w:r>
    </w:p>
    <w:p>
      <w:pPr>
        <w:pStyle w:val="Heading3"/>
        <w:keepNext/>
        <w:spacing w:before="320" w:after="80"/>
      </w:pPr>
      <w:r>
        <w:rPr>
          <w:rFonts w:ascii="Arial" w:hAnsi="Arial"/>
          <w:b/>
          <w:i w:val="0"/>
          <w:color w:val="1155CC"/>
          <w:sz w:val="28"/>
        </w:rPr>
        <w:t>14.1 Error Handling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Compute API errors:</w:t>
      </w:r>
      <w:r>
        <w:rPr>
          <w:rFonts w:ascii="Arial" w:hAnsi="Arial"/>
          <w:b w:val="0"/>
          <w:i w:val="0"/>
          <w:color w:val="000000"/>
          <w:sz w:val="22"/>
        </w:rPr>
        <w:t xml:space="preserve"> Return clear error messages (e.g., invalid category, PAN not found, LDC expired)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Payout creation errors:</w:t>
      </w:r>
      <w:r>
        <w:rPr>
          <w:rFonts w:ascii="Arial" w:hAnsi="Arial"/>
          <w:b w:val="0"/>
          <w:i w:val="0"/>
          <w:color w:val="000000"/>
          <w:sz w:val="22"/>
        </w:rPr>
        <w:t xml:space="preserve"> Same as existing payout errors (no change)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Kafka publish failures:</w:t>
      </w:r>
      <w:r>
        <w:rPr>
          <w:rFonts w:ascii="Arial" w:hAnsi="Arial"/>
          <w:b w:val="0"/>
          <w:i w:val="0"/>
          <w:color w:val="000000"/>
          <w:sz w:val="22"/>
        </w:rPr>
        <w:t xml:space="preserve"> Use outbox pattern for at-least-once delivery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Kafka consumer failures:</w:t>
      </w:r>
      <w:r>
        <w:rPr>
          <w:rFonts w:ascii="Arial" w:hAnsi="Arial"/>
          <w:b w:val="0"/>
          <w:i w:val="0"/>
          <w:color w:val="000000"/>
          <w:sz w:val="22"/>
        </w:rPr>
        <w:t xml:space="preserve"> Retry with exponential backoff; send to DLQ after max retries</w:t>
      </w:r>
    </w:p>
    <w:p>
      <w:pPr>
        <w:pStyle w:val="ListBullet"/>
      </w:pPr>
      <w:r>
        <w:rPr>
          <w:rFonts w:ascii="Arial" w:hAnsi="Arial"/>
          <w:b/>
          <w:i w:val="0"/>
          <w:color w:val="000000"/>
          <w:sz w:val="22"/>
        </w:rPr>
        <w:t>Reconciliation:</w:t>
      </w:r>
      <w:r>
        <w:rPr>
          <w:rFonts w:ascii="Arial" w:hAnsi="Arial"/>
          <w:b w:val="0"/>
          <w:i w:val="0"/>
          <w:color w:val="000000"/>
          <w:sz w:val="22"/>
        </w:rPr>
        <w:t xml:space="preserve"> Daily job to detect payouts with TDS but no TDS Payment entity (alert ops team)</w:t>
      </w:r>
    </w:p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15. Milestones &amp; Timelines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Phase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Milestone</w:t>
            </w:r>
          </w:p>
        </w:tc>
        <w:tc>
          <w:tcPr>
            <w:tcW w:type="dxa" w:w="288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Enrichment API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Internal enrichment endpoint, TDS computation, tds_payments entity creation, event listener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Enrichment Hook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Optional TDS fields in API, enrichment hook (~20 LOC), feature flag, timeout/circuit breaker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Dashboard UI Integration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form fields, preview display, Payouts API integration with TDS fields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Bulk CSV Integration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TDS columns in CSV template, enrichment for each row, preview with TDS breakdown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API Documentation &amp; Rollout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API docs for merchants, gradual rollout via feature flag, monitoring dashboard</w:t>
            </w:r>
          </w:p>
        </w:tc>
      </w:tr>
    </w:tbl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16. Glossary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Term</w:t>
            </w:r>
          </w:p>
        </w:tc>
        <w:tc>
          <w:tcPr>
            <w:tcW w:type="dxa" w:w="4320"/>
            <w:shd w:val="clear" w:color="auto" w:fill="1155cc"/>
          </w:tcPr>
          <w:p>
            <w:r>
              <w:rPr>
                <w:rFonts w:ascii="Arial" w:hAnsi="Arial"/>
                <w:b/>
                <w:i w:val="0"/>
                <w:color w:val="FFFFFF"/>
                <w:sz w:val="22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TDS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 Deducted at Source — a form of advance tax collected by the payer at the time of payment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BB+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Business Banking Plus — Razorpay's platform for business payouts and compliance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LDC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Lower Deduction Certificate — allows a reduced TDS rate certified by tax authorities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Enrichment Hook Pattern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Payouts calls Tax-Compliance enrichment endpoint if TDS fields present; TDS computed inline during payout creation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Enrichment Endpoint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internal API (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/internal/tds/enrich</w:t>
            </w:r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) that computes TDS, creates tds_payments entity, and returns enriched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Gross Amount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Total payment before TDS deduction (e.g., ₹10,000)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Net Amount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Amount actually transferred to vendor after TDS (e.g., ₹9,000)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tds_payments entity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Tax-Compliance record for a TDS deduction event used for government filing; created synchronously during enrichment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tds_payment_id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Unique identifier for tds_payments entity; returned in enrichment response and stored in payout metadata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DLQ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Dead Letter Queue — Kafka queue for messages that failed after max retries</w:t>
            </w:r>
          </w:p>
        </w:tc>
      </w:tr>
    </w:tbl>
    <w:p>
      <w:r>
        <w:t>____________________________________________________________</w:t>
      </w:r>
    </w:p>
    <w:p>
      <w:r>
        <w:rPr>
          <w:rFonts w:ascii="Arial" w:hAnsi="Arial"/>
          <w:b w:val="0"/>
          <w:i w:val="0"/>
          <w:color w:val="000000"/>
          <w:sz w:val="22"/>
        </w:rPr>
        <w:t>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i w:val="0"/>
          <w:color w:val="1155CC"/>
          <w:sz w:val="32"/>
        </w:rPr>
        <w:t>17. Appendix</w:t>
      </w:r>
    </w:p>
    <w:p>
      <w:pPr>
        <w:pStyle w:val="ListBullet"/>
      </w:pPr>
      <w:hyperlink r:id="rId26">
        <w:r>
          <w:rPr>
            <w:rFonts w:ascii="Arial" w:hAnsi="Arial"/>
            <w:color w:val="0000ee"/>
            <w:u w:val="single"/>
            <w:sz w:val="22"/>
            <w:szCs w:val="22"/>
          </w:rPr>
          <w:t>Full Technical Specification</w:t>
        </w:r>
      </w:hyperlink>
      <w:r>
        <w:rPr>
          <w:rFonts w:ascii="Arial" w:hAnsi="Arial"/>
          <w:b w:val="0"/>
          <w:i w:val="0"/>
          <w:color w:val="000000"/>
          <w:sz w:val="22"/>
        </w:rPr>
        <w:t xml:space="preserve"> — API contracts, implementation details, SQL schemas, and test plans</w:t>
      </w:r>
    </w:p>
    <w:p>
      <w:pPr>
        <w:pStyle w:val="ListBullet"/>
      </w:pPr>
      <w:hyperlink r:id="rId27">
        <w:r>
          <w:rPr>
            <w:rFonts w:ascii="Arial" w:hAnsi="Arial"/>
            <w:color w:val="0000ee"/>
            <w:u w:val="single"/>
            <w:sz w:val="22"/>
            <w:szCs w:val="22"/>
          </w:rPr>
          <w:t>GitHub Pages — Live Documentation</w:t>
        </w:r>
      </w:hyperlink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/>
          <w:i w:val="0"/>
          <w:color w:val="000000"/>
          <w:sz w:val="24"/>
        </w:rPr>
        <w:t>Note</w:t>
      </w:r>
    </w:p>
    <w:p>
      <w:pPr>
        <w:shd w:val="clear" w:color="auto" w:fill="EFF6FF"/>
        <w:pBdr>
          <w:left w:val="single" w:sz="18" w:space="6" w:color="1155cc"/>
        </w:pBdr>
        <w:ind w:left="120"/>
      </w:pPr>
      <w:r>
        <w:rPr>
          <w:rFonts w:ascii="Arial" w:hAnsi="Arial"/>
          <w:b w:val="0"/>
          <w:i w:val="0"/>
          <w:color w:val="000000"/>
          <w:sz w:val="22"/>
        </w:rPr>
        <w:br/>
        <w:t xml:space="preserve">      This summary document covers problem statement, approach analysis, and the recommended solution.</w:t>
        <w:br/>
        <w:t xml:space="preserve">      For detailed implementation specifications, API contracts, struct definitions, SQL schemas, codebase analysis,</w:t>
        <w:br/>
        <w:t xml:space="preserve">      and test plans, refer to the </w:t>
      </w:r>
      <w:hyperlink r:id="rId26">
        <w:r>
          <w:rPr>
            <w:rFonts w:ascii="Arial" w:hAnsi="Arial"/>
            <w:color w:val="0000ee"/>
            <w:u w:val="single"/>
            <w:sz w:val="22"/>
            <w:szCs w:val="22"/>
          </w:rPr>
          <w:t>Full Technical Specification</w:t>
        </w:r>
      </w:hyperlink>
      <w:r>
        <w:rPr>
          <w:rFonts w:ascii="Arial" w:hAnsi="Arial"/>
          <w:b w:val="0"/>
          <w:i w:val="0"/>
          <w:color w:val="000000"/>
          <w:sz w:val="22"/>
        </w:rPr>
        <w:t>.</w:t>
        <w:br/>
        <w:t xml:space="preserve">    </w:t>
      </w:r>
    </w:p>
    <w:p>
      <w:r>
        <w:rPr>
          <w:rFonts w:ascii="Arial" w:hAnsi="Arial"/>
          <w:b w:val="0"/>
          <w:i w:val="0"/>
          <w:color w:val="000000"/>
          <w:sz w:val="22"/>
        </w:rPr>
        <w:t>mermaid.initialize({</w:t>
        <w:br/>
        <w:t xml:space="preserve">      startOnLoad: true,</w:t>
        <w:br/>
        <w:t xml:space="preserve">      theme: 'neutral',</w:t>
        <w:br/>
        <w:t xml:space="preserve">      flowchart: { useMaxWidth: true },</w:t>
        <w:br/>
        <w:t xml:space="preserve">      sequence: { useMaxWidth: true }</w:t>
        <w:br/>
        <w:t xml:space="preserve">    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155C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80" w:after="12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0" w:after="120" w:line="276" w:lineRule="auto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155C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problem" TargetMode="External"/><Relationship Id="rId10" Type="http://schemas.openxmlformats.org/officeDocument/2006/relationships/hyperlink" Target="#intro" TargetMode="External"/><Relationship Id="rId11" Type="http://schemas.openxmlformats.org/officeDocument/2006/relationships/hyperlink" Target="#out-of-scope" TargetMode="External"/><Relationship Id="rId12" Type="http://schemas.openxmlformats.org/officeDocument/2006/relationships/hyperlink" Target="#future" TargetMode="External"/><Relationship Id="rId13" Type="http://schemas.openxmlformats.org/officeDocument/2006/relationships/hyperlink" Target="#goals" TargetMode="External"/><Relationship Id="rId14" Type="http://schemas.openxmlformats.org/officeDocument/2006/relationships/hyperlink" Target="#domain" TargetMode="External"/><Relationship Id="rId15" Type="http://schemas.openxmlformats.org/officeDocument/2006/relationships/hyperlink" Target="#current-arch" TargetMode="External"/><Relationship Id="rId16" Type="http://schemas.openxmlformats.org/officeDocument/2006/relationships/hyperlink" Target="#final-approach" TargetMode="External"/><Relationship Id="rId17" Type="http://schemas.openxmlformats.org/officeDocument/2006/relationships/hyperlink" Target="#nfrs" TargetMode="External"/><Relationship Id="rId18" Type="http://schemas.openxmlformats.org/officeDocument/2006/relationships/hyperlink" Target="#agentic" TargetMode="External"/><Relationship Id="rId19" Type="http://schemas.openxmlformats.org/officeDocument/2006/relationships/hyperlink" Target="#dependencies" TargetMode="External"/><Relationship Id="rId20" Type="http://schemas.openxmlformats.org/officeDocument/2006/relationships/hyperlink" Target="#testing" TargetMode="External"/><Relationship Id="rId21" Type="http://schemas.openxmlformats.org/officeDocument/2006/relationships/hyperlink" Target="#golive" TargetMode="External"/><Relationship Id="rId22" Type="http://schemas.openxmlformats.org/officeDocument/2006/relationships/hyperlink" Target="#monitoring" TargetMode="External"/><Relationship Id="rId23" Type="http://schemas.openxmlformats.org/officeDocument/2006/relationships/hyperlink" Target="#milestones" TargetMode="External"/><Relationship Id="rId24" Type="http://schemas.openxmlformats.org/officeDocument/2006/relationships/hyperlink" Target="#glossary" TargetMode="External"/><Relationship Id="rId25" Type="http://schemas.openxmlformats.org/officeDocument/2006/relationships/hyperlink" Target="#appendix" TargetMode="External"/><Relationship Id="rId26" Type="http://schemas.openxmlformats.org/officeDocument/2006/relationships/hyperlink" Target="TDS_Payout_Integration_Tech_Spec_Comprehensive.html" TargetMode="External"/><Relationship Id="rId27" Type="http://schemas.openxmlformats.org/officeDocument/2006/relationships/hyperlink" Target="https://flanker-23.github.io/bb-plus-tds-tech-spec/" TargetMode="External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image" Target="media/image3.png"/><Relationship Id="rId31" Type="http://schemas.openxmlformats.org/officeDocument/2006/relationships/image" Target="media/image4.png"/><Relationship Id="rId32" Type="http://schemas.openxmlformats.org/officeDocument/2006/relationships/image" Target="media/image5.png"/><Relationship Id="rId3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