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C6E"/>
          <w:sz w:val="48"/>
        </w:rPr>
        <w:t>TDS Payout Integration for BB+ Platform</w:t>
      </w:r>
    </w:p>
    <w:p>
      <w:pPr>
        <w:jc w:val="center"/>
      </w:pPr>
      <w:r>
        <w:rPr>
          <w:i/>
          <w:color w:val="475569"/>
          <w:sz w:val="26"/>
        </w:rPr>
        <w:t>Technical Specification — Summary Document</w:t>
      </w:r>
    </w:p>
    <w:p>
      <w:pPr>
        <w:jc w:val="center"/>
      </w:pPr>
      <w:r>
        <w:rPr>
          <w:color w:val="64748B"/>
          <w:sz w:val="22"/>
        </w:rPr>
        <w:t>Author: Prashant Chauhan  ·  Version: 9.0  ·  February 2026</w:t>
      </w:r>
    </w:p>
    <w:p/>
    <w:p>
      <w:pPr>
        <w:pStyle w:val="Heading1"/>
      </w:pPr>
      <w:r>
        <w:rPr>
          <w:sz w:val="28"/>
        </w:rPr>
        <w:t>Table of Contents</w:t>
      </w:r>
    </w:p>
    <w:p>
      <w:pPr>
        <w:spacing w:after="0"/>
      </w:pPr>
      <w:fldChar w:fldCharType="begin"/>
      <w:instrText xml:space="preserve"> TOC \o "1-3" \h \z \u </w:instrText>
      <w:fldChar w:fldCharType="end"/>
    </w:p>
    <w:p>
      <w:r>
        <w:rPr>
          <w:i/>
          <w:color w:val="94A3B8"/>
          <w:sz w:val="18"/>
        </w:rPr>
        <w:t>Right-click the TOC above → Update Field to refresh page numbers.</w:t>
      </w:r>
    </w:p>
    <w:p>
      <w:r>
        <w:br w:type="page"/>
      </w:r>
    </w:p>
    <w:p>
      <w:r>
        <w:rPr>
          <w:b w:val="0"/>
          <w:i w:val="0"/>
          <w:sz w:val="22"/>
        </w:rPr>
        <w:br/>
        <w:t xml:space="preserve">    This document presents a simplified overview of the TDS (Tax Deducted at Source) integration for BB+ payouts.</w:t>
        <w:br/>
        <w:t xml:space="preserve">    It focuses on the </w:t>
      </w:r>
      <w:r>
        <w:rPr>
          <w:b/>
          <w:i w:val="0"/>
          <w:sz w:val="22"/>
        </w:rPr>
        <w:t>problem statement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three solution approaches</w:t>
      </w:r>
      <w:r>
        <w:rPr>
          <w:b w:val="0"/>
          <w:i w:val="0"/>
          <w:sz w:val="22"/>
        </w:rPr>
        <w:t xml:space="preserve">, and the </w:t>
      </w:r>
      <w:r>
        <w:rPr>
          <w:b/>
          <w:i w:val="0"/>
          <w:sz w:val="22"/>
        </w:rPr>
        <w:t>recommended approach</w:t>
      </w:r>
      <w:r>
        <w:rPr>
          <w:b w:val="0"/>
          <w:i w:val="0"/>
          <w:sz w:val="22"/>
        </w:rPr>
        <w:t>.</w:t>
        <w:br/>
        <w:t xml:space="preserve">    Implementation details, code snippets, and detailed technical specifications have been minimized.</w:t>
        <w:br/>
        <w:t xml:space="preserve">  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1.1. 1. Overview &amp; Problem Statement</w:t>
      </w:r>
    </w:p>
    <w:p>
      <w:pPr>
        <w:pStyle w:val="Heading3"/>
      </w:pPr>
      <w:r>
        <w:t>1.1.1. 1.1 Business Context: Why TDS Support?</w:t>
      </w:r>
    </w:p>
    <w:p>
      <w:r>
        <w:rPr>
          <w:b w:val="0"/>
          <w:i w:val="0"/>
          <w:sz w:val="22"/>
        </w:rPr>
        <w:br/>
        <w:t xml:space="preserve">    BB+ merchants need to comply with Indian tax regulations when making vendor payments.</w:t>
        <w:br/>
        <w:t xml:space="preserve">    When TDS (Tax Deducted at Source) applies:</w:t>
        <w:br/>
        <w:t xml:space="preserve">  </w:t>
      </w:r>
    </w:p>
    <w:p>
      <w:pPr>
        <w:pStyle w:val="ListBullet"/>
      </w:pPr>
      <w:r>
        <w:rPr>
          <w:b w:val="0"/>
          <w:i w:val="0"/>
          <w:sz w:val="22"/>
        </w:rPr>
        <w:t xml:space="preserve">Merchant enters a </w:t>
      </w:r>
      <w:r>
        <w:rPr>
          <w:b/>
          <w:i w:val="0"/>
          <w:sz w:val="22"/>
        </w:rPr>
        <w:t>gross amount</w:t>
      </w:r>
      <w:r>
        <w:rPr>
          <w:b w:val="0"/>
          <w:i w:val="0"/>
          <w:sz w:val="22"/>
        </w:rPr>
        <w:t xml:space="preserve"> (e.g., ₹10,000)</w:t>
      </w:r>
    </w:p>
    <w:p>
      <w:pPr>
        <w:pStyle w:val="ListBullet"/>
      </w:pPr>
      <w:r>
        <w:rPr>
          <w:b w:val="0"/>
          <w:i w:val="0"/>
          <w:sz w:val="22"/>
        </w:rPr>
        <w:t xml:space="preserve">Selects a </w:t>
      </w:r>
      <w:r>
        <w:rPr>
          <w:b/>
          <w:i w:val="0"/>
          <w:sz w:val="22"/>
        </w:rPr>
        <w:t>TDS category</w:t>
      </w:r>
      <w:r>
        <w:rPr>
          <w:b w:val="0"/>
          <w:i w:val="0"/>
          <w:sz w:val="22"/>
        </w:rPr>
        <w:t xml:space="preserve"> (e.g., Section 194J - Professional Services at 10%)</w:t>
      </w:r>
    </w:p>
    <w:p>
      <w:pPr>
        <w:pStyle w:val="ListBullet"/>
      </w:pPr>
      <w:r>
        <w:rPr>
          <w:b w:val="0"/>
          <w:i w:val="0"/>
          <w:sz w:val="22"/>
        </w:rPr>
        <w:t xml:space="preserve">Optionally applies </w:t>
      </w:r>
      <w:r>
        <w:rPr>
          <w:b/>
          <w:i w:val="0"/>
          <w:sz w:val="22"/>
        </w:rPr>
        <w:t>Lower Deduction Certificate (LDC)</w:t>
      </w:r>
      <w:r>
        <w:rPr>
          <w:b w:val="0"/>
          <w:i w:val="0"/>
          <w:sz w:val="22"/>
        </w:rPr>
        <w:t xml:space="preserve"> for reduced rates</w:t>
      </w:r>
    </w:p>
    <w:p>
      <w:pPr>
        <w:pStyle w:val="ListBullet"/>
      </w:pPr>
      <w:r>
        <w:rPr>
          <w:b w:val="0"/>
          <w:i w:val="0"/>
          <w:sz w:val="22"/>
        </w:rPr>
        <w:t xml:space="preserve">System calculates TDS amount (₹1,000) and creates a payout for the </w:t>
      </w:r>
      <w:r>
        <w:rPr>
          <w:b/>
          <w:i w:val="0"/>
          <w:sz w:val="22"/>
        </w:rPr>
        <w:t>net amount</w:t>
      </w:r>
      <w:r>
        <w:rPr>
          <w:b w:val="0"/>
          <w:i w:val="0"/>
          <w:sz w:val="22"/>
        </w:rPr>
        <w:t xml:space="preserve"> (₹9,000) to the vendor</w:t>
      </w:r>
    </w:p>
    <w:p>
      <w:pPr>
        <w:pStyle w:val="ListBullet"/>
      </w:pPr>
      <w:r>
        <w:rPr>
          <w:b w:val="0"/>
          <w:i w:val="0"/>
          <w:sz w:val="22"/>
        </w:rPr>
        <w:t>TDS amount is tracked for monthly filing and payment to the government</w:t>
      </w:r>
    </w:p>
    <w:p>
      <w:pPr>
        <w:pStyle w:val="Heading3"/>
      </w:pPr>
      <w:r>
        <w:t>1.1.2. 1.2 Product Requirement</w:t>
      </w:r>
    </w:p>
    <w:p>
      <w:pPr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color w:val="0F172A"/>
          <w:sz w:val="22"/>
        </w:rPr>
        <w:t>Seamless Merchant Experience</w:t>
      </w:r>
    </w:p>
    <w:p>
      <w:pPr>
        <w:shd w:val="clear" w:color="auto" w:fill="F0FDF4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br/>
        <w:t xml:space="preserve">      The product requirement is to provide a </w:t>
      </w:r>
      <w:r>
        <w:rPr>
          <w:b/>
          <w:i w:val="0"/>
          <w:sz w:val="20"/>
        </w:rPr>
        <w:t>seamless experience for merchants using the Payouts API</w:t>
      </w:r>
      <w:r>
        <w:rPr>
          <w:b w:val="0"/>
          <w:i w:val="0"/>
          <w:sz w:val="20"/>
        </w:rPr>
        <w:t>, where they can pass minimal details similar to what is currently passed to the compute API.</w:t>
        <w:br/>
        <w:t xml:space="preserve">    </w:t>
      </w:r>
    </w:p>
    <w:p>
      <w:pPr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Key Requirements:</w:t>
      </w:r>
    </w:p>
    <w:p>
      <w:pPr>
        <w:pStyle w:val="ListBullet"/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Minimal Input:</w:t>
      </w:r>
      <w:r>
        <w:rPr>
          <w:b w:val="0"/>
          <w:i w:val="0"/>
          <w:sz w:val="20"/>
        </w:rPr>
        <w:t xml:space="preserve"> Merchants should provide basic payout details (gross amount, TDS category, contact, etc.) without needing to pre-calculate TDS values themselves</w:t>
      </w:r>
    </w:p>
    <w:p>
      <w:pPr>
        <w:pStyle w:val="ListBullet"/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Automatic Calculation:</w:t>
      </w:r>
      <w:r>
        <w:rPr>
          <w:b w:val="0"/>
          <w:i w:val="0"/>
          <w:sz w:val="20"/>
        </w:rPr>
        <w:t xml:space="preserve"> The system should automatically compute TDS amounts based on the provided inputs</w:t>
      </w:r>
    </w:p>
    <w:p>
      <w:pPr>
        <w:pStyle w:val="ListBullet"/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Persistence:</w:t>
      </w:r>
      <w:r>
        <w:rPr>
          <w:b w:val="0"/>
          <w:i w:val="0"/>
          <w:sz w:val="20"/>
        </w:rPr>
        <w:t xml:space="preserve"> All TDS-related data should be persisted correctly for compliance and reporting</w:t>
      </w:r>
    </w:p>
    <w:p>
      <w:pPr>
        <w:pStyle w:val="ListBullet"/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Unified Flow:</w:t>
      </w:r>
      <w:r>
        <w:rPr>
          <w:b w:val="0"/>
          <w:i w:val="0"/>
          <w:sz w:val="20"/>
        </w:rPr>
        <w:t xml:space="preserve"> The payout should be created seamlessly after TDS calculation</w:t>
      </w:r>
    </w:p>
    <w:p>
      <w:pPr>
        <w:pStyle w:val="ListBullet"/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Universal Applicability:</w:t>
      </w:r>
      <w:r>
        <w:rPr>
          <w:b w:val="0"/>
          <w:i w:val="0"/>
          <w:sz w:val="20"/>
        </w:rPr>
        <w:t xml:space="preserve"> This single approach should work consistently across </w:t>
      </w:r>
      <w:r>
        <w:rPr>
          <w:b/>
          <w:i w:val="0"/>
          <w:sz w:val="20"/>
        </w:rPr>
        <w:t>all three payout types</w:t>
      </w:r>
      <w:r>
        <w:rPr>
          <w:b w:val="0"/>
          <w:i w:val="0"/>
          <w:sz w:val="20"/>
        </w:rPr>
        <w:t>:</w:t>
        <w:br/>
        <w:t xml:space="preserve">        </w:t>
      </w:r>
      <w:r>
        <w:rPr>
          <w:b w:val="0"/>
          <w:i w:val="0"/>
          <w:sz w:val="20"/>
        </w:rPr>
        <w:br/>
      </w:r>
      <w:r>
        <w:rPr>
          <w:b/>
          <w:i w:val="0"/>
          <w:sz w:val="20"/>
        </w:rPr>
        <w:t>Single Payout</w:t>
      </w:r>
      <w:r>
        <w:rPr>
          <w:b w:val="0"/>
          <w:i w:val="0"/>
          <w:sz w:val="20"/>
        </w:rPr>
        <w:t xml:space="preserve"> (UI-based merchant-initiated payouts)</w:t>
      </w:r>
      <w:r>
        <w:rPr>
          <w:b w:val="0"/>
          <w:i w:val="0"/>
          <w:sz w:val="20"/>
        </w:rPr>
        <w:br/>
      </w:r>
      <w:r>
        <w:rPr>
          <w:b/>
          <w:i w:val="0"/>
          <w:sz w:val="20"/>
        </w:rPr>
        <w:t>Bulk Payout</w:t>
      </w:r>
      <w:r>
        <w:rPr>
          <w:b w:val="0"/>
          <w:i w:val="0"/>
          <w:sz w:val="20"/>
        </w:rPr>
        <w:t xml:space="preserve"> (CSV file upload with multiple payout records)</w:t>
      </w:r>
      <w:r>
        <w:rPr>
          <w:b w:val="0"/>
          <w:i w:val="0"/>
          <w:sz w:val="20"/>
        </w:rPr>
        <w:br/>
      </w:r>
      <w:r>
        <w:rPr>
          <w:b/>
          <w:i w:val="0"/>
          <w:sz w:val="20"/>
        </w:rPr>
        <w:t>API Payout</w:t>
      </w:r>
      <w:r>
        <w:rPr>
          <w:b w:val="0"/>
          <w:i w:val="0"/>
          <w:sz w:val="20"/>
        </w:rPr>
        <w:t xml:space="preserve"> (Programmatic payout creation via API integration)</w:t>
      </w:r>
      <w:r>
        <w:rPr>
          <w:b w:val="0"/>
          <w:i w:val="0"/>
          <w:sz w:val="20"/>
        </w:rPr>
        <w:br/>
      </w:r>
      <w:r>
        <w:rPr>
          <w:b w:val="0"/>
          <w:i w:val="0"/>
          <w:sz w:val="20"/>
        </w:rPr>
        <w:br/>
      </w:r>
    </w:p>
    <w:p>
      <w:pPr>
        <w:shd w:val="clear" w:color="auto" w:fill="F0FDF4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br/>
        <w:t xml:space="preserve">      This requirement drives the architectural decision to ensure merchants have a consistent, simple interface regardless of how they create payouts, while the system handles all complexity of TDS computation and compliance internally.</w:t>
        <w:br/>
        <w:t xml:space="preserve">    </w:t>
      </w:r>
    </w:p>
    <w:p>
      <w:pPr>
        <w:pStyle w:val="Heading3"/>
      </w:pPr>
      <w:r>
        <w:t>1.1.3. 1.3 The Problem</w:t>
      </w:r>
    </w:p>
    <w:p>
      <w:pPr>
        <w:shd w:val="clear" w:color="auto" w:fill="FFFBEB"/>
        <w:pBdr>
          <w:left w:val="single" w:sz="24" w:space="4" w:color="1A73E8"/>
        </w:pBdr>
        <w:ind w:left="360"/>
      </w:pPr>
      <w:r>
        <w:rPr>
          <w:b/>
          <w:i w:val="0"/>
          <w:color w:val="0F172A"/>
          <w:sz w:val="22"/>
        </w:rPr>
        <w:t>Current State</w:t>
      </w:r>
    </w:p>
    <w:p>
      <w:pPr>
        <w:shd w:val="clear" w:color="auto" w:fill="FFFBEB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br/>
        <w:t xml:space="preserve">      The existing Payouts service does not support BB+ TDS computation and tracking.</w:t>
        <w:br/>
        <w:t xml:space="preserve">      We need to integrate TDS functionality while:</w:t>
        <w:br/>
        <w:t xml:space="preserve">    </w:t>
      </w:r>
    </w:p>
    <w:p>
      <w:pPr>
        <w:pStyle w:val="ListBullet"/>
        <w:shd w:val="clear" w:color="auto" w:fill="FFFBEB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t>Not impacting existing Vendor-Payments flows (which have their own TDS handling)</w:t>
      </w:r>
    </w:p>
    <w:p>
      <w:pPr>
        <w:pStyle w:val="ListBullet"/>
        <w:shd w:val="clear" w:color="auto" w:fill="FFFBEB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t xml:space="preserve">Supporting all payout types: </w:t>
      </w:r>
      <w:r>
        <w:rPr>
          <w:b/>
          <w:i w:val="0"/>
          <w:sz w:val="20"/>
        </w:rPr>
        <w:t>Single Payout (UI)</w:t>
      </w:r>
      <w:r>
        <w:rPr>
          <w:b w:val="0"/>
          <w:i w:val="0"/>
          <w:sz w:val="20"/>
        </w:rPr>
        <w:t xml:space="preserve">, </w:t>
      </w:r>
      <w:r>
        <w:rPr>
          <w:b/>
          <w:i w:val="0"/>
          <w:sz w:val="20"/>
        </w:rPr>
        <w:t>Bulk Payout (CSV)</w:t>
      </w:r>
      <w:r>
        <w:rPr>
          <w:b w:val="0"/>
          <w:i w:val="0"/>
          <w:sz w:val="20"/>
        </w:rPr>
        <w:t xml:space="preserve">, and </w:t>
      </w:r>
      <w:r>
        <w:rPr>
          <w:b/>
          <w:i w:val="0"/>
          <w:sz w:val="20"/>
        </w:rPr>
        <w:t>API Payouts</w:t>
      </w:r>
    </w:p>
    <w:p>
      <w:pPr>
        <w:pStyle w:val="ListBullet"/>
        <w:shd w:val="clear" w:color="auto" w:fill="FFFBEB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t>Maintaining clear separation of concerns between Payouts and Tax-Compliance services</w:t>
      </w:r>
    </w:p>
    <w:p>
      <w:pPr>
        <w:pStyle w:val="ListBullet"/>
        <w:shd w:val="clear" w:color="auto" w:fill="FFFBEB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t>Ensuring data consistency between payout records and TDS filing records</w:t>
      </w:r>
    </w:p>
    <w:p>
      <w:pPr>
        <w:pStyle w:val="Heading3"/>
      </w:pPr>
      <w:r>
        <w:t>1.1.4. 1.4 Services Involved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Service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0"/>
              </w:rPr>
              <w:t>Tax-Compliance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Computes TDS based on category, rate, and LDC status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Manages TDS Payment entities for compliance and filing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Validates TDS categories and PAN details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0"/>
              </w:rPr>
              <w:t>Payouts</w:t>
            </w:r>
          </w:p>
        </w:tc>
        <w:tc>
          <w:tcPr>
            <w:tcW w:type="dxa" w:w="4703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Creates payout records for net amount to vendor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Processes fund transfers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Emits payout status updates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Stores TDS information for audit trail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0"/>
              </w:rPr>
              <w:t>Tax-Compliance (BFF)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Acts as BFF — the only backend the UI talks to for TDS flows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Computes TDS, orchestrates payout creation, presents data to merchants</w:t>
            </w:r>
          </w:p>
        </w:tc>
      </w:tr>
    </w:tbl>
    <w:p/>
    <w:p>
      <w:pPr>
        <w:pStyle w:val="Heading3"/>
      </w:pPr>
      <w:r>
        <w:t>1.1.5. 1.4 Amount Relationship</w:t>
      </w:r>
    </w:p>
    <w:p>
      <w:pPr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color w:val="0F172A"/>
          <w:sz w:val="22"/>
        </w:rPr>
        <w:t>Key Formula</w:t>
      </w:r>
    </w:p>
    <w:p>
      <w:pPr>
        <w:pStyle w:val="Heading3"/>
      </w:pPr>
      <w:r>
        <w:t>1.1.6. 1.5 Key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Entity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Service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0"/>
              </w:rPr>
              <w:t>payout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Payouts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The payment to vendor (net amount after TDS deduction)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0"/>
              </w:rPr>
              <w:t>payout_details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Payouts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Extended TDS information (category, amounts, breakdown) stored as JSON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0"/>
              </w:rPr>
              <w:t>tds_payment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Tax-Compliance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TDS record for government filing (includes deductee PAN, amounts, category details)</w:t>
            </w:r>
          </w:p>
        </w:tc>
      </w:tr>
    </w:tbl>
    <w:p/>
    <w:p>
      <w:pPr>
        <w:pStyle w:val="Heading3"/>
      </w:pPr>
      <w:r>
        <w:t>1.1.7. 1.6 Coverage: All Payout Types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Payout Type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TDS Handling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0"/>
              </w:rPr>
              <w:t>Single Payout (UI)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Merchant creates one payout via Tax-Compliance UI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Preview TDS breakdown before confirming; one compute call per payout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0"/>
              </w:rPr>
              <w:t>Bulk Payout (CSV)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Merchant uploads CSV with multiple payouts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Compute TDS for all rows upfront; generate preview file; user confirms before processing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0"/>
              </w:rPr>
              <w:t>API Payouts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Merchant integrates via API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Same pattern as UI - caller computes TDS first, then creates payout with pre-computed values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1.2. 2. Approach 1: Inline Compute Pattern</w:t>
      </w:r>
    </w:p>
    <w:p>
      <w:r>
        <w:rPr>
          <w:i/>
          <w:sz w:val="20"/>
        </w:rPr>
        <w:t>Not Recommended — Payout API accepts TDS inputs; Payouts calls Tax-Compliance internally (S2S); async TDS entity creation</w:t>
      </w:r>
    </w:p>
    <w:p>
      <w:pPr>
        <w:pStyle w:val="Heading3"/>
      </w:pPr>
      <w:r>
        <w:t>1.2.1. 2.1 How It Works</w:t>
      </w:r>
    </w:p>
    <w:p>
      <w:r>
        <w:rPr>
          <w:b w:val="0"/>
          <w:i w:val="0"/>
          <w:sz w:val="22"/>
        </w:rPr>
        <w:br/>
        <w:t xml:space="preserve">    In this approach, the Payouts service accepts TDS computation inputs (gross amount, category, contact details)</w:t>
        <w:br/>
        <w:t xml:space="preserve">    and internally calls the Tax-Compliance service to compute TDS before creating the payout.</w:t>
        <w:br/>
        <w:t xml:space="preserve">  </w:t>
      </w:r>
    </w:p>
    <w:p>
      <w:pPr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color w:val="0F172A"/>
          <w:sz w:val="22"/>
        </w:rPr>
        <w:t>Flow Summary</w:t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Preview (UI only):</w:t>
      </w:r>
      <w:r>
        <w:rPr>
          <w:b w:val="0"/>
          <w:i w:val="0"/>
          <w:sz w:val="20"/>
        </w:rPr>
        <w:t xml:space="preserve"> Tax-Compliance (BFF) computes TDS to show breakdown to merchant</w:t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Create Payout:</w:t>
      </w:r>
      <w:r>
        <w:rPr>
          <w:b w:val="0"/>
          <w:i w:val="0"/>
          <w:sz w:val="20"/>
        </w:rPr>
        <w:t xml:space="preserve"> Tax-Compliance sends TDS inputs to Payouts API with gross amount</w:t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Inline Compute:</w:t>
      </w:r>
      <w:r>
        <w:rPr>
          <w:b w:val="0"/>
          <w:i w:val="0"/>
          <w:sz w:val="20"/>
        </w:rPr>
        <w:t xml:space="preserve"> Payouts makes S2S call to Tax-Compliance compute API</w:t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Amount Derivation:</w:t>
      </w:r>
      <w:r>
        <w:rPr>
          <w:b w:val="0"/>
          <w:i w:val="0"/>
          <w:sz w:val="20"/>
        </w:rPr>
        <w:t xml:space="preserve"> Payouts derives net amount (gross - TDS) and stores payout with net amount</w:t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Async TDS Entity:</w:t>
      </w:r>
      <w:r>
        <w:rPr>
          <w:b w:val="0"/>
          <w:i w:val="0"/>
          <w:sz w:val="20"/>
        </w:rPr>
        <w:t xml:space="preserve"> When payout reaches terminal state, Payouts publishes to Kafka; Tax-Compliance creates TDS Payment entity</w:t>
      </w:r>
    </w:p>
    <w:p>
      <w:pPr>
        <w:pStyle w:val="Heading3"/>
      </w:pPr>
      <w:r>
        <w:t>1.2.2. 2.2 Flow Diagram (High-Level)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07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71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1.2.3. 2.3 Payout Type Considerations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Payout Type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Impact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0"/>
              </w:rPr>
              <w:t>Single Payout (UI)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One S2S call per payout (+50-200ms latency)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0"/>
              </w:rPr>
              <w:t>Bulk Payout (CSV)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S2S call for every row during payout creation (high latency for bulk operations)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0"/>
              </w:rPr>
              <w:t>API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External API users pay latency cost; service coupling creates reliability risk</w:t>
            </w:r>
          </w:p>
        </w:tc>
      </w:tr>
    </w:tbl>
    <w:p/>
    <w:p>
      <w:pPr>
        <w:pStyle w:val="Heading3"/>
      </w:pPr>
      <w:r>
        <w:t>1.2.4. 2.4 Pros and Cons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Pros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Cons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Single API call for merchant/caller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S2S call adds 50-200ms latency to every payout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Payout and TDS data stored atomically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Payouts fails if Tax-Compliance is down (tight coupling)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Simple integration for frontend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Domain leakage - Payouts must understand TDS computation</w:t>
            </w:r>
          </w:p>
        </w:tc>
      </w:tr>
      <w:tr>
        <w:tc>
          <w:tcPr>
            <w:tcW w:type="dxa" w:w="4703"/>
            <w:shd w:val="clear" w:color="auto" w:fill="F8FAFC"/>
          </w:tcPr>
          <w:p/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Amount mutation (gross→net) is risky and error-prone</w:t>
            </w:r>
          </w:p>
        </w:tc>
      </w:tr>
      <w:tr>
        <w:tc>
          <w:tcPr>
            <w:tcW w:type="dxa" w:w="4703"/>
            <w:shd w:val="clear" w:color="auto" w:fill="FFFFFF"/>
          </w:tcPr>
          <w:p/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TDS Payment entity created asynchronously (not in API response)</w:t>
            </w:r>
          </w:p>
        </w:tc>
      </w:tr>
      <w:tr>
        <w:tc>
          <w:tcPr>
            <w:tcW w:type="dxa" w:w="4703"/>
            <w:shd w:val="clear" w:color="auto" w:fill="F8FAFC"/>
          </w:tcPr>
          <w:p/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High testing complexity (must mock Tax-Compliance in all tests)</w:t>
            </w:r>
          </w:p>
        </w:tc>
      </w:tr>
    </w:tbl>
    <w:p/>
    <w:p>
      <w:pPr>
        <w:shd w:val="clear" w:color="auto" w:fill="FFFBEB"/>
        <w:pBdr>
          <w:left w:val="single" w:sz="24" w:space="4" w:color="1A73E8"/>
        </w:pBdr>
        <w:ind w:left="360"/>
      </w:pPr>
      <w:r>
        <w:rPr>
          <w:b/>
          <w:i w:val="0"/>
          <w:color w:val="0F172A"/>
          <w:sz w:val="22"/>
        </w:rPr>
        <w:t>Why Not Recommended</w:t>
      </w:r>
    </w:p>
    <w:p>
      <w:pPr>
        <w:shd w:val="clear" w:color="auto" w:fill="FFFBEB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br/>
        <w:t xml:space="preserve">      This approach introduces significant technical debt: latency overhead, service coupling,</w:t>
        <w:br/>
        <w:t xml:space="preserve">      domain leakage, and risky amount mutation. The synchronous S2S call in the critical path</w:t>
        <w:br/>
        <w:t xml:space="preserve">      makes payouts dependent on Tax-Compliance availability.</w:t>
        <w:br/>
        <w:t xml:space="preserve">    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1.3. 3. Approach 2: Tax-Compliance Orchestrated</w:t>
      </w:r>
    </w:p>
    <w:p>
      <w:r>
        <w:rPr>
          <w:i/>
          <w:sz w:val="20"/>
        </w:rPr>
        <w:t>Alternative — Tax-Compliance orchestrates both TDS computation and payout creation</w:t>
      </w:r>
    </w:p>
    <w:p>
      <w:pPr>
        <w:pStyle w:val="Heading3"/>
      </w:pPr>
      <w:r>
        <w:t>1.3.1. 3.1 How It Works</w:t>
      </w:r>
    </w:p>
    <w:p>
      <w:r>
        <w:rPr>
          <w:b w:val="0"/>
          <w:i w:val="0"/>
          <w:sz w:val="22"/>
        </w:rPr>
        <w:br/>
        <w:t xml:space="preserve">    In this approach, Tax-Compliance becomes the orchestrator. It exposes a single API endpoint</w:t>
        <w:br/>
        <w:t xml:space="preserve">    that creates both the TDS Payment entity and the payout.</w:t>
        <w:br/>
        <w:t xml:space="preserve">  </w:t>
      </w:r>
    </w:p>
    <w:p>
      <w:pPr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color w:val="0F172A"/>
          <w:sz w:val="22"/>
        </w:rPr>
        <w:t>Flow Summary</w:t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Preview (UI only):</w:t>
      </w:r>
      <w:r>
        <w:rPr>
          <w:b w:val="0"/>
          <w:i w:val="0"/>
          <w:sz w:val="20"/>
        </w:rPr>
        <w:t xml:space="preserve"> Tax-Compliance (BFF) computes TDS to show breakdown</w:t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Single API Call:</w:t>
      </w:r>
      <w:r>
        <w:rPr>
          <w:b w:val="0"/>
          <w:i w:val="0"/>
          <w:sz w:val="20"/>
        </w:rPr>
        <w:t xml:space="preserve"> UI calls Tax-Compliance payout creation API (not Payouts directly)</w:t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Tax-Compliance Orchestration:</w:t>
      </w:r>
      <w:r>
        <w:rPr>
          <w:b w:val="0"/>
          <w:i w:val="0"/>
          <w:sz w:val="20"/>
        </w:rPr>
        <w:br/>
      </w:r>
      <w:r>
        <w:rPr>
          <w:b w:val="0"/>
          <w:i w:val="0"/>
          <w:sz w:val="20"/>
        </w:rPr>
        <w:br/>
      </w:r>
      <w:r>
        <w:rPr>
          <w:b w:val="0"/>
          <w:i w:val="0"/>
          <w:sz w:val="20"/>
        </w:rPr>
        <w:t>Computes TDS</w:t>
      </w:r>
      <w:r>
        <w:rPr>
          <w:b w:val="0"/>
          <w:i w:val="0"/>
          <w:sz w:val="20"/>
        </w:rPr>
        <w:br/>
      </w:r>
      <w:r>
        <w:rPr>
          <w:b w:val="0"/>
          <w:i w:val="0"/>
          <w:sz w:val="20"/>
        </w:rPr>
        <w:t>Creates TDS Payment entity (synchronously)</w:t>
      </w:r>
      <w:r>
        <w:rPr>
          <w:b w:val="0"/>
          <w:i w:val="0"/>
          <w:sz w:val="20"/>
        </w:rPr>
        <w:br/>
      </w:r>
      <w:r>
        <w:rPr>
          <w:b w:val="0"/>
          <w:i w:val="0"/>
          <w:sz w:val="20"/>
        </w:rPr>
        <w:t>Calls Payouts API (S2S) to create payout</w:t>
      </w:r>
      <w:r>
        <w:rPr>
          <w:b w:val="0"/>
          <w:i w:val="0"/>
          <w:sz w:val="20"/>
        </w:rPr>
        <w:br/>
      </w:r>
      <w:r>
        <w:rPr>
          <w:b w:val="0"/>
          <w:i w:val="0"/>
          <w:sz w:val="20"/>
        </w:rPr>
        <w:t>Returns both TDS Payment ID and Payout ID in response</w:t>
      </w:r>
      <w:r>
        <w:rPr>
          <w:b w:val="0"/>
          <w:i w:val="0"/>
          <w:sz w:val="20"/>
        </w:rPr>
        <w:br/>
      </w:r>
      <w:r>
        <w:rPr>
          <w:b w:val="0"/>
          <w:i w:val="0"/>
          <w:sz w:val="20"/>
        </w:rPr>
        <w:br/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Status Sync:</w:t>
      </w:r>
      <w:r>
        <w:rPr>
          <w:b w:val="0"/>
          <w:i w:val="0"/>
          <w:sz w:val="20"/>
        </w:rPr>
        <w:t xml:space="preserve"> Tax-Compliance listens to payout status updates via existing Kafka topic</w:t>
      </w:r>
    </w:p>
    <w:p>
      <w:pPr>
        <w:pStyle w:val="Heading3"/>
      </w:pPr>
      <w:r>
        <w:t>1.3.2. 3.2 Flow Diagram (High-Level)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657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657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1.3.3. 3.3 Payout Type Considerations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Payout Type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Impact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0"/>
              </w:rPr>
              <w:t>Single Payout (UI)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One orchestrated call via Tax-Compliance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0"/>
              </w:rPr>
              <w:t>Bulk Payout (CSV)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Would require new bulk orchestration API in Tax-Compliance; complex error handling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0"/>
              </w:rPr>
              <w:t>API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External users call Tax-Compliance instead of Payouts (API surface change)</w:t>
            </w:r>
          </w:p>
        </w:tc>
      </w:tr>
    </w:tbl>
    <w:p/>
    <w:p>
      <w:pPr>
        <w:pStyle w:val="Heading3"/>
      </w:pPr>
      <w:r>
        <w:t>1.3.4. 3.4 Pros and Cons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Pros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Cons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Single API call returns both TDS Payment ID and Payout ID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Reversed S2S call (Tax-Compliance → Payouts adds latency)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TDS Payment entity available synchronously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Tax-Compliance depends on Payouts (tight coupling)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Tax-Compliance owns all TDS data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Domain leakage - Tax-Compliance must understand payout creation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No new Kafka topic needed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Complex orchestration logic in Tax-Compliance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Minimal Payouts changes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Bulk payout support requires significant Tax-Compliance work</w:t>
            </w:r>
          </w:p>
        </w:tc>
      </w:tr>
    </w:tbl>
    <w:p/>
    <w:p>
      <w:pPr>
        <w:shd w:val="clear" w:color="auto" w:fill="FFFBEB"/>
        <w:pBdr>
          <w:left w:val="single" w:sz="24" w:space="4" w:color="1A73E8"/>
        </w:pBdr>
        <w:ind w:left="360"/>
      </w:pPr>
      <w:r>
        <w:rPr>
          <w:b/>
          <w:i w:val="0"/>
          <w:color w:val="0F172A"/>
          <w:sz w:val="22"/>
        </w:rPr>
        <w:t>When to Consider</w:t>
      </w:r>
    </w:p>
    <w:p>
      <w:pPr>
        <w:shd w:val="clear" w:color="auto" w:fill="FFFBEB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br/>
        <w:t xml:space="preserve">      This approach is viable if having the TDS Payment ID synchronously in the API response</w:t>
        <w:br/>
        <w:t xml:space="preserve">      is a hard requirement. However, it introduces orchestration complexity and reverses</w:t>
        <w:br/>
        <w:t xml:space="preserve">      the natural dependency direction (Tax-Compliance calling Payouts).</w:t>
        <w:br/>
        <w:t xml:space="preserve">    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1.4. 4. Approach 3: Pre-Compute Pattern (RECOMMENDED)</w:t>
      </w:r>
    </w:p>
    <w:p>
      <w:r>
        <w:rPr>
          <w:i/>
          <w:sz w:val="20"/>
        </w:rPr>
        <w:t>RECOMMENDED - All Channels — Tax-Compliance (BFF) pre-computes TDS; Payouts receives pre-computed values; minimal changes</w:t>
      </w:r>
    </w:p>
    <w:p>
      <w:pPr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color w:val="0F172A"/>
          <w:sz w:val="22"/>
        </w:rPr>
        <w:t>BFF = Tax-Compliance Only</w:t>
      </w:r>
    </w:p>
    <w:p>
      <w:pPr>
        <w:shd w:val="clear" w:color="auto" w:fill="EFF6FF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t xml:space="preserve">In BB+ TDS flows, </w:t>
      </w:r>
      <w:r>
        <w:rPr>
          <w:b/>
          <w:i w:val="0"/>
          <w:sz w:val="20"/>
        </w:rPr>
        <w:t>Tax-Compliance is the only BFF</w:t>
      </w:r>
      <w:r>
        <w:rPr>
          <w:b w:val="0"/>
          <w:i w:val="0"/>
          <w:sz w:val="20"/>
        </w:rPr>
        <w:t>. There is no separate Dashboard/BFF service. The UI talks to Tax-Compliance; Tax-Compliance orchestrates compute and payout creation.</w:t>
      </w:r>
    </w:p>
    <w:p>
      <w:pPr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color w:val="0F172A"/>
          <w:sz w:val="22"/>
        </w:rPr>
        <w:t>Core Principle: Keep Payouts Dumb About TDS Computation</w:t>
      </w:r>
    </w:p>
    <w:p>
      <w:pPr>
        <w:shd w:val="clear" w:color="auto" w:fill="F0FDF4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br/>
        <w:t xml:space="preserve">      Payouts should </w:t>
      </w:r>
      <w:r>
        <w:rPr>
          <w:b/>
          <w:i w:val="0"/>
          <w:sz w:val="20"/>
        </w:rPr>
        <w:t>NOT</w:t>
      </w:r>
      <w:r>
        <w:rPr>
          <w:b w:val="0"/>
          <w:i w:val="0"/>
          <w:sz w:val="20"/>
        </w:rPr>
        <w:t xml:space="preserve"> call Tax-Compliance during payout creation.</w:t>
        <w:br/>
        <w:t xml:space="preserve">      Instead, the caller (Tax-Compliance for UI flows, or API client for programmatic) pre-computes TDS</w:t>
        <w:br/>
        <w:t xml:space="preserve">      by calling Tax-Compliance first, then passes the pre-computed values to Payouts.</w:t>
        <w:br/>
        <w:t xml:space="preserve">      Payouts simply stores these values and routes to the correct Kafka topic.</w:t>
        <w:br/>
        <w:t xml:space="preserve">    </w:t>
      </w:r>
    </w:p>
    <w:p>
      <w:pPr>
        <w:pStyle w:val="Heading3"/>
      </w:pPr>
      <w:r>
        <w:t>1.4.1. 4.1 How It Works</w:t>
      </w:r>
    </w:p>
    <w:p>
      <w:r>
        <w:rPr>
          <w:b w:val="0"/>
          <w:i w:val="0"/>
          <w:sz w:val="22"/>
        </w:rPr>
        <w:br/>
        <w:t xml:space="preserve">    This approach separates TDS computation from payout creation, following the same pattern</w:t>
        <w:br/>
        <w:t xml:space="preserve">    already used by Vendor-Payments.</w:t>
        <w:br/>
        <w:t xml:space="preserve">  </w:t>
      </w:r>
    </w:p>
    <w:p>
      <w:pPr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color w:val="0F172A"/>
          <w:sz w:val="22"/>
        </w:rPr>
        <w:t>Flow Summary</w:t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Compute TDS (Before Payout):</w:t>
      </w:r>
      <w:r>
        <w:rPr>
          <w:b w:val="0"/>
          <w:i w:val="0"/>
          <w:sz w:val="20"/>
        </w:rPr>
        <w:t xml:space="preserve"> Tax-Compliance (BFF) computes TDS internally; for API clients, they call Tax-Compliance compute API</w:t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Display Preview:</w:t>
      </w:r>
      <w:r>
        <w:rPr>
          <w:b w:val="0"/>
          <w:i w:val="0"/>
          <w:sz w:val="20"/>
        </w:rPr>
        <w:t xml:space="preserve"> Tax-Compliance shows merchant the TDS breakdown (gross, TDS, net)</w:t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Create Payout:</w:t>
      </w:r>
      <w:r>
        <w:rPr>
          <w:b w:val="0"/>
          <w:i w:val="0"/>
          <w:sz w:val="20"/>
        </w:rPr>
        <w:t xml:space="preserve"> Tax-Compliance (or API client) sends pre-computed values to Payouts API</w:t>
        <w:br/>
        <w:t xml:space="preserve">        </w:t>
      </w:r>
      <w:r>
        <w:rPr>
          <w:b w:val="0"/>
          <w:i w:val="0"/>
          <w:sz w:val="20"/>
        </w:rPr>
        <w:br/>
      </w:r>
      <w:r>
        <w:rPr>
          <w:rFonts w:ascii="Courier New" w:hAnsi="Courier New"/>
          <w:b w:val="0"/>
          <w:i w:val="0"/>
          <w:sz w:val="20"/>
        </w:rPr>
        <w:t>amount</w:t>
      </w:r>
      <w:r>
        <w:rPr>
          <w:b w:val="0"/>
          <w:i w:val="0"/>
          <w:sz w:val="20"/>
        </w:rPr>
        <w:t>: NET amount (e.g., 900000)</w:t>
      </w:r>
      <w:r>
        <w:rPr>
          <w:b w:val="0"/>
          <w:i w:val="0"/>
          <w:sz w:val="20"/>
        </w:rPr>
        <w:br/>
      </w:r>
      <w:r>
        <w:rPr>
          <w:rFonts w:ascii="Courier New" w:hAnsi="Courier New"/>
          <w:b w:val="0"/>
          <w:i w:val="0"/>
          <w:sz w:val="20"/>
        </w:rPr>
        <w:t>tds.amount</w:t>
      </w:r>
      <w:r>
        <w:rPr>
          <w:b w:val="0"/>
          <w:i w:val="0"/>
          <w:sz w:val="20"/>
        </w:rPr>
        <w:t>: TDS amount (e.g., 100000)</w:t>
      </w:r>
      <w:r>
        <w:rPr>
          <w:b w:val="0"/>
          <w:i w:val="0"/>
          <w:sz w:val="20"/>
        </w:rPr>
        <w:br/>
      </w:r>
      <w:r>
        <w:rPr>
          <w:rFonts w:ascii="Courier New" w:hAnsi="Courier New"/>
          <w:b w:val="0"/>
          <w:i w:val="0"/>
          <w:sz w:val="20"/>
        </w:rPr>
        <w:t>tds.gross_amount</w:t>
      </w:r>
      <w:r>
        <w:rPr>
          <w:b w:val="0"/>
          <w:i w:val="0"/>
          <w:sz w:val="20"/>
        </w:rPr>
        <w:t>: Gross amount (e.g., 1000000)</w:t>
      </w:r>
      <w:r>
        <w:rPr>
          <w:b w:val="0"/>
          <w:i w:val="0"/>
          <w:sz w:val="20"/>
        </w:rPr>
        <w:br/>
      </w:r>
      <w:r>
        <w:rPr>
          <w:rFonts w:ascii="Courier New" w:hAnsi="Courier New"/>
          <w:b w:val="0"/>
          <w:i w:val="0"/>
          <w:sz w:val="20"/>
        </w:rPr>
        <w:t>tds.source</w:t>
      </w:r>
      <w:r>
        <w:rPr>
          <w:b w:val="0"/>
          <w:i w:val="0"/>
          <w:sz w:val="20"/>
        </w:rPr>
        <w:t>: "bb_plus" (routing indicator)</w:t>
      </w:r>
      <w:r>
        <w:rPr>
          <w:b w:val="0"/>
          <w:i w:val="0"/>
          <w:sz w:val="20"/>
        </w:rPr>
        <w:br/>
      </w:r>
      <w:r>
        <w:rPr>
          <w:rFonts w:ascii="Courier New" w:hAnsi="Courier New"/>
          <w:b w:val="0"/>
          <w:i w:val="0"/>
          <w:sz w:val="20"/>
        </w:rPr>
        <w:t>tds.breakdown</w:t>
      </w:r>
      <w:r>
        <w:rPr>
          <w:b w:val="0"/>
          <w:i w:val="0"/>
          <w:sz w:val="20"/>
        </w:rPr>
        <w:t>: Full TDS calculation details</w:t>
      </w:r>
      <w:r>
        <w:rPr>
          <w:b w:val="0"/>
          <w:i w:val="0"/>
          <w:sz w:val="20"/>
        </w:rPr>
        <w:br/>
      </w:r>
      <w:r>
        <w:rPr>
          <w:b w:val="0"/>
          <w:i w:val="0"/>
          <w:sz w:val="20"/>
        </w:rPr>
        <w:br/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Payouts Storage:</w:t>
      </w:r>
      <w:r>
        <w:rPr>
          <w:b w:val="0"/>
          <w:i w:val="0"/>
          <w:sz w:val="20"/>
        </w:rPr>
        <w:t xml:space="preserve"> Payouts stores payout (net amount) + all TDS fields in payout_details</w:t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Kafka Routing:</w:t>
      </w:r>
      <w:r>
        <w:rPr>
          <w:b w:val="0"/>
          <w:i w:val="0"/>
          <w:sz w:val="20"/>
        </w:rPr>
        <w:t xml:space="preserve"> When payout reaches terminal state, Payouts checks </w:t>
      </w:r>
      <w:r>
        <w:rPr>
          <w:rFonts w:ascii="Courier New" w:hAnsi="Courier New"/>
          <w:b w:val="0"/>
          <w:i w:val="0"/>
          <w:sz w:val="20"/>
        </w:rPr>
        <w:t>source</w:t>
      </w:r>
      <w:r>
        <w:rPr>
          <w:b w:val="0"/>
          <w:i w:val="0"/>
          <w:sz w:val="20"/>
        </w:rPr>
        <w:t xml:space="preserve"> field:</w:t>
        <w:br/>
        <w:t xml:space="preserve">        </w:t>
      </w:r>
      <w:r>
        <w:rPr>
          <w:b w:val="0"/>
          <w:i w:val="0"/>
          <w:sz w:val="20"/>
        </w:rPr>
        <w:br/>
      </w:r>
      <w:r>
        <w:rPr>
          <w:b w:val="0"/>
          <w:i w:val="0"/>
          <w:sz w:val="20"/>
        </w:rPr>
        <w:t xml:space="preserve">If "bb_plus" → publish to </w:t>
      </w:r>
      <w:r>
        <w:rPr>
          <w:rFonts w:ascii="Courier New" w:hAnsi="Courier New"/>
          <w:b w:val="0"/>
          <w:i w:val="0"/>
          <w:sz w:val="20"/>
        </w:rPr>
        <w:t>add-tds-entry-bb-plus</w:t>
      </w:r>
      <w:r>
        <w:rPr>
          <w:b w:val="0"/>
          <w:i w:val="0"/>
          <w:sz w:val="20"/>
        </w:rPr>
        <w:t xml:space="preserve"> (Tax-Compliance consumer)</w:t>
      </w:r>
      <w:r>
        <w:rPr>
          <w:b w:val="0"/>
          <w:i w:val="0"/>
          <w:sz w:val="20"/>
        </w:rPr>
        <w:br/>
      </w:r>
      <w:r>
        <w:rPr>
          <w:b w:val="0"/>
          <w:i w:val="0"/>
          <w:sz w:val="20"/>
        </w:rPr>
        <w:t xml:space="preserve">Otherwise → publish to </w:t>
      </w:r>
      <w:r>
        <w:rPr>
          <w:rFonts w:ascii="Courier New" w:hAnsi="Courier New"/>
          <w:b w:val="0"/>
          <w:i w:val="0"/>
          <w:sz w:val="20"/>
        </w:rPr>
        <w:t>add-tds-entry</w:t>
      </w:r>
      <w:r>
        <w:rPr>
          <w:b w:val="0"/>
          <w:i w:val="0"/>
          <w:sz w:val="20"/>
        </w:rPr>
        <w:t xml:space="preserve"> (Vendor-Payments consumer - existing)</w:t>
      </w:r>
      <w:r>
        <w:rPr>
          <w:b w:val="0"/>
          <w:i w:val="0"/>
          <w:sz w:val="20"/>
        </w:rPr>
        <w:br/>
      </w:r>
      <w:r>
        <w:rPr>
          <w:b w:val="0"/>
          <w:i w:val="0"/>
          <w:sz w:val="20"/>
        </w:rPr>
        <w:br/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Async TDS Entity:</w:t>
      </w:r>
      <w:r>
        <w:rPr>
          <w:b w:val="0"/>
          <w:i w:val="0"/>
          <w:sz w:val="20"/>
        </w:rPr>
        <w:t xml:space="preserve"> Tax-Compliance consumer creates TDS Payment entity from Kafka message</w:t>
      </w:r>
    </w:p>
    <w:p>
      <w:pPr>
        <w:pStyle w:val="Heading3"/>
      </w:pPr>
      <w:r>
        <w:t>1.4.2. 4.2 Flow Diagram (High-Level)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175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5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1.4.3. 4.3 Key Differences from Approach 1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Aspect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Approach 1 (Inline)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Approach 3 (Pre-Compute)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0"/>
              </w:rPr>
              <w:t>TDS Computation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Payouts calls Tax-Compliance (S2S)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Caller pre-computes before payout creation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0"/>
              </w:rPr>
              <w:t>S2S Call in Payout API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Yes - blocking (+50-200ms)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No - zero latency added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0"/>
              </w:rPr>
              <w:t>Amount Handling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Mutates params.Amount (gross→net)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Caller sends NET amount directly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0"/>
              </w:rPr>
              <w:t>Failure Coupling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Payouts fails if Tax-Compliance down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Compute separate from payout creation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0"/>
              </w:rPr>
              <w:t>Payouts Code Changes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High (client, compute logic)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Low (add fields + topic routing)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0"/>
              </w:rPr>
              <w:t>Domain Separation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Leaks to Payouts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Clean - Tax-Compliance owns compute</w:t>
            </w:r>
          </w:p>
        </w:tc>
      </w:tr>
    </w:tbl>
    <w:p/>
    <w:p>
      <w:pPr>
        <w:pStyle w:val="Heading3"/>
      </w:pPr>
      <w:r>
        <w:t>1.4.4. 4.4 Channel-by-Channel Flow</w:t>
      </w:r>
    </w:p>
    <w:p>
      <w:pPr>
        <w:shd w:val="clear" w:color="auto" w:fill="FFFBEB"/>
        <w:pBdr>
          <w:left w:val="single" w:sz="24" w:space="4" w:color="1A73E8"/>
        </w:pBdr>
        <w:ind w:left="360"/>
      </w:pPr>
      <w:r>
        <w:rPr>
          <w:b/>
          <w:i w:val="0"/>
          <w:color w:val="0F172A"/>
          <w:sz w:val="22"/>
        </w:rPr>
        <w:t>Core Design Tension — API Payouts</w:t>
      </w:r>
    </w:p>
    <w:p>
      <w:pPr>
        <w:shd w:val="clear" w:color="auto" w:fill="FFFBEB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br/>
        <w:t xml:space="preserve">      In Dashboard and Bulk flows, TDS compute values are known </w:t>
      </w:r>
      <w:r>
        <w:rPr>
          <w:b/>
          <w:i w:val="0"/>
          <w:sz w:val="20"/>
        </w:rPr>
        <w:t>before</w:t>
      </w:r>
      <w:r>
        <w:rPr>
          <w:b w:val="0"/>
          <w:i w:val="0"/>
          <w:sz w:val="20"/>
        </w:rPr>
        <w:t xml:space="preserve"> the payout request is made</w:t>
        <w:br/>
        <w:t xml:space="preserve">      — Tax-Compliance (BFF) computes and passes them in. For direct </w:t>
      </w:r>
      <w:r>
        <w:rPr>
          <w:b/>
          <w:i w:val="0"/>
          <w:sz w:val="20"/>
        </w:rPr>
        <w:t>API Payouts</w:t>
      </w:r>
      <w:r>
        <w:rPr>
          <w:b w:val="0"/>
          <w:i w:val="0"/>
          <w:sz w:val="20"/>
        </w:rPr>
        <w:t>, the merchant only</w:t>
        <w:br/>
        <w:t xml:space="preserve">      has raw inputs (category, PAN, amount). TDS compute values are </w:t>
      </w:r>
      <w:r>
        <w:rPr>
          <w:b w:val="0"/>
          <w:i/>
          <w:sz w:val="20"/>
        </w:rPr>
        <w:t>not</w:t>
      </w:r>
      <w:r>
        <w:rPr>
          <w:b w:val="0"/>
          <w:i w:val="0"/>
          <w:sz w:val="20"/>
        </w:rPr>
        <w:t xml:space="preserve"> yet available.</w:t>
        <w:br/>
        <w:t xml:space="preserve">    </w:t>
      </w:r>
    </w:p>
    <w:p>
      <w:pPr>
        <w:shd w:val="clear" w:color="auto" w:fill="FFFBEB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br/>
      </w:r>
      <w:r>
        <w:rPr>
          <w:b/>
          <w:i w:val="0"/>
          <w:sz w:val="20"/>
        </w:rPr>
        <w:t>If Payouts calls Tax-Compliance synchronously</w:t>
      </w:r>
      <w:r>
        <w:rPr>
          <w:b w:val="0"/>
          <w:i w:val="0"/>
          <w:sz w:val="20"/>
        </w:rPr>
        <w:t xml:space="preserve"> for API payouts:</w:t>
        <w:br/>
        <w:t xml:space="preserve">      adds latency (+~200ms p95), creates availability coupling (Payouts fails if Tax-Compliance is down),</w:t>
        <w:br/>
        <w:t xml:space="preserve">      and increases Payouts blast radius (new S2S integration). This is </w:t>
      </w:r>
      <w:r>
        <w:rPr>
          <w:b/>
          <w:i w:val="0"/>
          <w:sz w:val="20"/>
        </w:rPr>
        <w:t>rejected</w:t>
      </w:r>
      <w:r>
        <w:rPr>
          <w:b w:val="0"/>
          <w:i w:val="0"/>
          <w:sz w:val="20"/>
        </w:rPr>
        <w:t>.</w:t>
        <w:br/>
        <w:t xml:space="preserve">    </w:t>
      </w:r>
    </w:p>
    <w:p>
      <w:pPr>
        <w:shd w:val="clear" w:color="auto" w:fill="FFFBEB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br/>
      </w:r>
      <w:r>
        <w:rPr>
          <w:b/>
          <w:i w:val="0"/>
          <w:sz w:val="20"/>
        </w:rPr>
        <w:t>Resolution:</w:t>
      </w:r>
      <w:r>
        <w:rPr>
          <w:b w:val="0"/>
          <w:i w:val="0"/>
          <w:sz w:val="20"/>
        </w:rPr>
        <w:t xml:space="preserve"> Tax-Compliance exposes a public compute endpoint. API merchants make two calls</w:t>
        <w:br/>
        <w:t xml:space="preserve">      (compute → create payout), passing pre-computed values — identical to the Dashboard/Bulk pattern.</w:t>
        <w:br/>
        <w:t xml:space="preserve">      Payouts </w:t>
      </w:r>
      <w:r>
        <w:rPr>
          <w:b w:val="0"/>
          <w:i/>
          <w:sz w:val="20"/>
        </w:rPr>
        <w:t>never</w:t>
      </w:r>
      <w:r>
        <w:rPr>
          <w:b w:val="0"/>
          <w:i w:val="0"/>
          <w:sz w:val="20"/>
        </w:rPr>
        <w:t xml:space="preserve"> calls Tax-Compliance.</w:t>
        <w:br/>
        <w:t xml:space="preserve">    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Channel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TDS values available at payout time?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Who computes?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Payouts change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0"/>
              </w:rPr>
              <w:t>Dashboard (UI)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YES — user filled form, compute shown as preview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Tax-Compliance (BFF)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Accept + store 4 fields; route to Kafka topic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0"/>
              </w:rPr>
              <w:t>Bulk CSV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YES — computed row-by-row during parse, preview before confirm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Tax-Compliance (BFF)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0"/>
              </w:rPr>
              <w:t>API (direct merchant)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NO — merchant has only raw inputs (category, PAN, amount)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Merchant calls Tax-Compliance compute API first</w:t>
            </w:r>
          </w:p>
        </w:tc>
        <w:tc>
          <w:tcPr>
            <w:tcW w:type="dxa" w:w="2351"/>
          </w:tcPr>
          <w:p/>
        </w:tc>
      </w:tr>
    </w:tbl>
    <w:p/>
    <w:p>
      <w:pPr>
        <w:pStyle w:val="Heading3"/>
      </w:pPr>
      <w:r>
        <w:t>1.4.5. Storage Decision</w:t>
      </w:r>
    </w:p>
    <w:p>
      <w:pPr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color w:val="0F172A"/>
          <w:sz w:val="22"/>
        </w:rPr>
        <w:t>Payouts stores:</w:t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Payouts stores:</w:t>
      </w:r>
      <w:r>
        <w:rPr>
          <w:b w:val="0"/>
          <w:i w:val="0"/>
          <w:sz w:val="20"/>
        </w:rPr>
        <w:t xml:space="preserve"> Primitive fields only — </w:t>
      </w:r>
      <w:r>
        <w:rPr>
          <w:rFonts w:ascii="Courier New" w:hAnsi="Courier New"/>
          <w:b w:val="0"/>
          <w:i w:val="0"/>
          <w:sz w:val="20"/>
        </w:rPr>
        <w:t>tds_amount</w:t>
      </w:r>
      <w:r>
        <w:rPr>
          <w:b w:val="0"/>
          <w:i w:val="0"/>
          <w:sz w:val="20"/>
        </w:rPr>
        <w:t xml:space="preserve">, </w:t>
      </w:r>
      <w:r>
        <w:rPr>
          <w:rFonts w:ascii="Courier New" w:hAnsi="Courier New"/>
          <w:b w:val="0"/>
          <w:i w:val="0"/>
          <w:sz w:val="20"/>
        </w:rPr>
        <w:t>tds_rate</w:t>
      </w:r>
      <w:r>
        <w:rPr>
          <w:b w:val="0"/>
          <w:i w:val="0"/>
          <w:sz w:val="20"/>
        </w:rPr>
        <w:t xml:space="preserve">, </w:t>
      </w:r>
      <w:r>
        <w:rPr>
          <w:rFonts w:ascii="Courier New" w:hAnsi="Courier New"/>
          <w:b w:val="0"/>
          <w:i w:val="0"/>
          <w:sz w:val="20"/>
        </w:rPr>
        <w:t>tds_category</w:t>
      </w:r>
      <w:r>
        <w:rPr>
          <w:b w:val="0"/>
          <w:i w:val="0"/>
          <w:sz w:val="20"/>
        </w:rPr>
        <w:t xml:space="preserve">, </w:t>
      </w:r>
      <w:r>
        <w:rPr>
          <w:rFonts w:ascii="Courier New" w:hAnsi="Courier New"/>
          <w:b w:val="0"/>
          <w:i w:val="0"/>
          <w:sz w:val="20"/>
        </w:rPr>
        <w:t>payee_pan</w:t>
      </w:r>
      <w:r>
        <w:rPr>
          <w:b w:val="0"/>
          <w:i w:val="0"/>
          <w:sz w:val="20"/>
        </w:rPr>
        <w:t xml:space="preserve">, </w:t>
      </w:r>
      <w:r>
        <w:rPr>
          <w:rFonts w:ascii="Courier New" w:hAnsi="Courier New"/>
          <w:b w:val="0"/>
          <w:i w:val="0"/>
          <w:sz w:val="20"/>
        </w:rPr>
        <w:t>source</w:t>
      </w:r>
      <w:r>
        <w:rPr>
          <w:b w:val="0"/>
          <w:i w:val="0"/>
          <w:sz w:val="20"/>
        </w:rPr>
        <w:t xml:space="preserve"> (new columns on payout row). No new entity, no Tax-Compliance integration.</w:t>
      </w:r>
    </w:p>
    <w:p>
      <w:pPr>
        <w:pStyle w:val="ListBullet"/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Tax-Compliance stores:</w:t>
      </w:r>
      <w:r>
        <w:rPr>
          <w:b w:val="0"/>
          <w:i w:val="0"/>
          <w:sz w:val="20"/>
        </w:rPr>
        <w:t xml:space="preserve"> Full </w:t>
      </w:r>
      <w:r>
        <w:rPr>
          <w:rFonts w:ascii="Courier New" w:hAnsi="Courier New"/>
          <w:b w:val="0"/>
          <w:i w:val="0"/>
          <w:sz w:val="20"/>
        </w:rPr>
        <w:t>tds_payments</w:t>
      </w:r>
      <w:r>
        <w:rPr>
          <w:b w:val="0"/>
          <w:i w:val="0"/>
          <w:sz w:val="20"/>
        </w:rPr>
        <w:t xml:space="preserve"> entity, created asynchronously from the Kafka event after payout completion. Kafka event carries the primitive fields.</w:t>
      </w:r>
    </w:p>
    <w:p>
      <w:pPr>
        <w:shd w:val="clear" w:color="auto" w:fill="EFF6FF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t xml:space="preserve">The net payout amount is determined by the pre-computed </w:t>
      </w:r>
      <w:r>
        <w:rPr>
          <w:rFonts w:ascii="Courier New" w:hAnsi="Courier New"/>
          <w:b w:val="0"/>
          <w:i w:val="0"/>
          <w:sz w:val="20"/>
        </w:rPr>
        <w:t>tds_amount</w:t>
      </w:r>
      <w:r>
        <w:rPr>
          <w:b w:val="0"/>
          <w:i w:val="0"/>
          <w:sz w:val="20"/>
        </w:rPr>
        <w:t xml:space="preserve"> at creation time, so money routing is correct before the async entity creation.</w:t>
      </w:r>
    </w:p>
    <w:p>
      <w:pPr>
        <w:pStyle w:val="Heading3"/>
      </w:pPr>
      <w:r>
        <w:t>1.4.6. Dashboard / Single Payout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618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181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1.4.7. Bulk CSV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86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64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1.4.8. API Payout Flow (Direct Merchant Integration)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831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31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1.4.9. 4.5 Changes Required (High-Level)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Service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Changes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Effort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0"/>
              </w:rPr>
              <w:t>Payouts</w:t>
            </w:r>
          </w:p>
        </w:tc>
        <w:tc>
          <w:tcPr>
            <w:tcW w:type="dxa" w:w="3135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 xml:space="preserve">Add optional fields to TDSDetails struct: </w:t>
            </w:r>
            <w:r>
              <w:rPr>
                <w:rFonts w:ascii="Courier New" w:hAnsi="Courier New"/>
                <w:b w:val="0"/>
                <w:i w:val="0"/>
                <w:sz w:val="20"/>
              </w:rPr>
              <w:t>source</w:t>
            </w:r>
            <w:r>
              <w:rPr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0"/>
              </w:rPr>
              <w:t>gross_amount</w:t>
            </w:r>
            <w:r>
              <w:rPr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0"/>
              </w:rPr>
              <w:t>breakdown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 xml:space="preserve">Add topic routing logic in </w:t>
            </w:r>
            <w:r>
              <w:rPr>
                <w:rFonts w:ascii="Courier New" w:hAnsi="Courier New"/>
                <w:b w:val="0"/>
                <w:i w:val="0"/>
                <w:sz w:val="20"/>
              </w:rPr>
              <w:t>ProcessTdsForPayout()</w:t>
            </w:r>
            <w:r>
              <w:rPr>
                <w:b w:val="0"/>
                <w:i w:val="0"/>
                <w:sz w:val="20"/>
              </w:rPr>
              <w:t xml:space="preserve"> based on source field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Store BB+ fields in payout_details JSON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0"/>
              </w:rPr>
              <w:t>Low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0"/>
              </w:rPr>
              <w:t>Tax-Compliance</w:t>
            </w:r>
          </w:p>
        </w:tc>
        <w:tc>
          <w:tcPr>
            <w:tcW w:type="dxa" w:w="3135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Build/enhance compute API endpoint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 xml:space="preserve">Build Kafka consumer for </w:t>
            </w:r>
            <w:r>
              <w:rPr>
                <w:rFonts w:ascii="Courier New" w:hAnsi="Courier New"/>
                <w:b w:val="0"/>
                <w:i w:val="0"/>
                <w:sz w:val="20"/>
              </w:rPr>
              <w:t>add-tds-entry-bb-plus</w:t>
            </w:r>
            <w:r>
              <w:rPr>
                <w:b w:val="0"/>
                <w:i w:val="0"/>
                <w:sz w:val="20"/>
              </w:rPr>
              <w:t xml:space="preserve"> topic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Create TDS Payment entities from Kafka messages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Medium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0"/>
              </w:rPr>
              <w:t>Tax-Compliance (BFF)</w:t>
            </w:r>
          </w:p>
        </w:tc>
        <w:tc>
          <w:tcPr>
            <w:tcW w:type="dxa" w:w="3135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Compute TDS before payout creation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Display TDS breakdown in preview to merchant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Pass pre-computed values to Payouts API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Medium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0"/>
              </w:rPr>
              <w:t>Tax-Compliance (Bulk)</w:t>
            </w:r>
          </w:p>
        </w:tc>
        <w:tc>
          <w:tcPr>
            <w:tcW w:type="dxa" w:w="3135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Add TDS columns to CSV template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Tax-Compliance computes TDS per row during parsing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Generate preview file with TDS breakdown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Medium</w:t>
            </w:r>
          </w:p>
        </w:tc>
      </w:tr>
    </w:tbl>
    <w:p/>
    <w:p>
      <w:pPr>
        <w:pStyle w:val="Heading3"/>
      </w:pPr>
      <w:r>
        <w:t>1.4.10. 4.6 Pros and Cons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Pros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Cons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Zero latency added to payout API (no S2S call)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Two separate API calls (compute, then create payout)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Payouts decoupled from Tax-Compliance availability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LDC certificate could expire between compute and payout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Minimal Payouts changes (just fields + routing)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Tax-Compliance (BFF) must orchestrate two-step flow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No amount mutation - caller sends NET directly</w:t>
            </w:r>
          </w:p>
        </w:tc>
        <w:tc>
          <w:tcPr>
            <w:tcW w:type="dxa" w:w="4703"/>
            <w:shd w:val="clear" w:color="auto" w:fill="F8FAFC"/>
          </w:tcPr>
          <w:p/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Clean domain separation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Backward compatible - all new fields optional</w:t>
            </w:r>
          </w:p>
        </w:tc>
        <w:tc>
          <w:tcPr>
            <w:tcW w:type="dxa" w:w="4703"/>
            <w:shd w:val="clear" w:color="auto" w:fill="F8FAFC"/>
          </w:tcPr>
          <w:p/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Easy testing - no Tax-Compliance mock needed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Same pattern as existing Vendor-Payments flow</w:t>
            </w:r>
          </w:p>
        </w:tc>
        <w:tc>
          <w:tcPr>
            <w:tcW w:type="dxa" w:w="4703"/>
            <w:shd w:val="clear" w:color="auto" w:fill="F8FAFC"/>
          </w:tcPr>
          <w:p/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Works seamlessly for all payout types (single, bulk, API)</w:t>
            </w:r>
          </w:p>
        </w:tc>
        <w:tc>
          <w:tcPr>
            <w:tcW w:type="dxa" w:w="4703"/>
            <w:shd w:val="clear" w:color="auto" w:fill="FFFFFF"/>
          </w:tcPr>
          <w:p/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1.5. 5. Comparison of Approaches</w:t>
      </w:r>
    </w:p>
    <w:p>
      <w:pPr>
        <w:pStyle w:val="Heading3"/>
      </w:pPr>
      <w:r>
        <w:t>1.5.1. 5.1 All Three Approaches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Criteria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Approach 1: Inline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Approach 2: Orchestrated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Approach 3: Pre-Compute ✓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0"/>
              </w:rPr>
              <w:t>S2S call in payout creation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Yes (Payouts→Tax)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Yes (Tax→Payouts)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0"/>
              </w:rPr>
              <w:t>No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0"/>
              </w:rPr>
              <w:t>Latency added to payout API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+50-200ms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+50-200ms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0"/>
              </w:rPr>
              <w:t>0ms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0"/>
              </w:rPr>
              <w:t>Service coupling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Tight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Tight (reversed)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0"/>
              </w:rPr>
              <w:t>Loose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0"/>
              </w:rPr>
              <w:t>Amount mutation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Yes (risky)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No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0"/>
              </w:rPr>
              <w:t>No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0"/>
              </w:rPr>
              <w:t>Payouts code changes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High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Minimal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0"/>
              </w:rPr>
              <w:t>Low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0"/>
              </w:rPr>
              <w:t>Domain separation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Leaks to 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Leaks to Tax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0"/>
              </w:rPr>
              <w:t>Clean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0"/>
              </w:rPr>
              <w:t>Testing complexity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High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High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0"/>
              </w:rPr>
              <w:t>Low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0"/>
              </w:rPr>
              <w:t>Bulk payouts support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Complex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Very complex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0"/>
              </w:rPr>
              <w:t>Simple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0"/>
              </w:rPr>
              <w:t>API version change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Maybe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No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0"/>
              </w:rPr>
              <w:t>No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0"/>
              </w:rPr>
              <w:t>TDS Payment ID in response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No (async)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Yes (sync)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No (async)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1.6. 6. Final Recommendation</w:t>
      </w:r>
    </w:p>
    <w:p>
      <w:pPr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color w:val="0F172A"/>
          <w:sz w:val="22"/>
        </w:rPr>
        <w:t>RECOMMENDED: Approach 3 — Pre-Compute Pattern</w:t>
      </w:r>
    </w:p>
    <w:p>
      <w:pPr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Approach 3 is the recommended solution for all payout types (Single, Bulk, API).</w:t>
      </w:r>
    </w:p>
    <w:p>
      <w:pPr>
        <w:pStyle w:val="ListBullet"/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Zero latency overhead:</w:t>
      </w:r>
      <w:r>
        <w:rPr>
          <w:b w:val="0"/>
          <w:i w:val="0"/>
          <w:sz w:val="20"/>
        </w:rPr>
        <w:t xml:space="preserve"> No S2S call in payout creation critical path</w:t>
      </w:r>
    </w:p>
    <w:p>
      <w:pPr>
        <w:pStyle w:val="ListBullet"/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Failure isolation:</w:t>
      </w:r>
      <w:r>
        <w:rPr>
          <w:b w:val="0"/>
          <w:i w:val="0"/>
          <w:sz w:val="20"/>
        </w:rPr>
        <w:t xml:space="preserve"> Payouts doesn't fail if Tax-Compliance is down</w:t>
      </w:r>
    </w:p>
    <w:p>
      <w:pPr>
        <w:pStyle w:val="ListBullet"/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Minimal Payouts changes:</w:t>
      </w:r>
      <w:r>
        <w:rPr>
          <w:b w:val="0"/>
          <w:i w:val="0"/>
          <w:sz w:val="20"/>
        </w:rPr>
        <w:t xml:space="preserve"> Only add fields + topic routing (low risk, low effort)</w:t>
      </w:r>
    </w:p>
    <w:p>
      <w:pPr>
        <w:pStyle w:val="ListBullet"/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Clean domain separation:</w:t>
      </w:r>
      <w:r>
        <w:rPr>
          <w:b w:val="0"/>
          <w:i w:val="0"/>
          <w:sz w:val="20"/>
        </w:rPr>
        <w:t xml:space="preserve"> Tax-Compliance owns computation; Payouts owns payout processing</w:t>
      </w:r>
    </w:p>
    <w:p>
      <w:pPr>
        <w:pStyle w:val="ListBullet"/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No amount mutation:</w:t>
      </w:r>
      <w:r>
        <w:rPr>
          <w:b w:val="0"/>
          <w:i w:val="0"/>
          <w:sz w:val="20"/>
        </w:rPr>
        <w:t xml:space="preserve"> Caller sends NET amount directly (less error-prone)</w:t>
      </w:r>
    </w:p>
    <w:p>
      <w:pPr>
        <w:pStyle w:val="ListBullet"/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Easy testing:</w:t>
      </w:r>
      <w:r>
        <w:rPr>
          <w:b w:val="0"/>
          <w:i w:val="0"/>
          <w:sz w:val="20"/>
        </w:rPr>
        <w:t xml:space="preserve"> No need to mock Tax-Compliance in Payouts tests</w:t>
      </w:r>
    </w:p>
    <w:p>
      <w:pPr>
        <w:pStyle w:val="ListBullet"/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Proven pattern:</w:t>
      </w:r>
      <w:r>
        <w:rPr>
          <w:b w:val="0"/>
          <w:i w:val="0"/>
          <w:sz w:val="20"/>
        </w:rPr>
        <w:t xml:space="preserve"> Same approach used by existing Vendor-Payments flow</w:t>
      </w:r>
    </w:p>
    <w:p>
      <w:pPr>
        <w:pStyle w:val="ListBullet"/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Backward compatible:</w:t>
      </w:r>
      <w:r>
        <w:rPr>
          <w:b w:val="0"/>
          <w:i w:val="0"/>
          <w:sz w:val="20"/>
        </w:rPr>
        <w:t xml:space="preserve"> All new fields are optional; no API version change needed</w:t>
      </w:r>
    </w:p>
    <w:p>
      <w:pPr>
        <w:pStyle w:val="ListBullet"/>
        <w:shd w:val="clear" w:color="auto" w:fill="F0FDF4"/>
        <w:pBdr>
          <w:left w:val="single" w:sz="24" w:space="4" w:color="1A73E8"/>
        </w:pBdr>
        <w:ind w:left="360"/>
      </w:pPr>
      <w:r>
        <w:rPr>
          <w:b/>
          <w:i w:val="0"/>
          <w:sz w:val="20"/>
        </w:rPr>
        <w:t>Scales to all channels:</w:t>
      </w:r>
      <w:r>
        <w:rPr>
          <w:b w:val="0"/>
          <w:i w:val="0"/>
          <w:sz w:val="20"/>
        </w:rPr>
        <w:t xml:space="preserve"> Works uniformly for UI, Bulk CSV, and API integrations</w:t>
      </w:r>
    </w:p>
    <w:p>
      <w:pPr>
        <w:pStyle w:val="Heading3"/>
      </w:pPr>
      <w:r>
        <w:t>1.6.1. 6.1 Trade-offs Accepted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Trade-off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Two API calls required (compute, then create)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Tax-Compliance (BFF) handles orchestration; merchants see single flow in UI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TDS Payment ID not available in payout API response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Tax-Compliance creates entity asynchronously; ID available via query API if needed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LDC certificate could expire between compute and payout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Unlikely in practice (seconds between calls); can add staleness check if needed</w:t>
            </w:r>
          </w:p>
        </w:tc>
      </w:tr>
    </w:tbl>
    <w:p/>
    <w:p>
      <w:pPr>
        <w:pStyle w:val="Heading3"/>
      </w:pPr>
      <w:r>
        <w:t>1.6.2. 6.2 Implementation Priority</w:t>
      </w:r>
    </w:p>
    <w:p>
      <w:pPr>
        <w:pStyle w:val="ListNumber"/>
      </w:pPr>
      <w:r>
        <w:rPr>
          <w:b/>
          <w:i w:val="0"/>
          <w:sz w:val="22"/>
        </w:rPr>
        <w:t>Phase 1:</w:t>
      </w:r>
      <w:r>
        <w:rPr>
          <w:b w:val="0"/>
          <w:i w:val="0"/>
          <w:sz w:val="22"/>
        </w:rPr>
        <w:t xml:space="preserve"> Payouts service changes (fields + topic routing) - </w:t>
      </w:r>
      <w:r>
        <w:rPr>
          <w:b w:val="0"/>
          <w:i/>
          <w:sz w:val="22"/>
        </w:rPr>
        <w:t>Low risk, high value</w:t>
      </w:r>
    </w:p>
    <w:p>
      <w:pPr>
        <w:pStyle w:val="ListNumber"/>
      </w:pPr>
      <w:r>
        <w:rPr>
          <w:b/>
          <w:i w:val="0"/>
          <w:sz w:val="22"/>
        </w:rPr>
        <w:t>Phase 2:</w:t>
      </w:r>
      <w:r>
        <w:rPr>
          <w:b w:val="0"/>
          <w:i w:val="0"/>
          <w:sz w:val="22"/>
        </w:rPr>
        <w:t xml:space="preserve"> Tax-Compliance compute API + Kafka consumer - </w:t>
      </w:r>
      <w:r>
        <w:rPr>
          <w:b w:val="0"/>
          <w:i/>
          <w:sz w:val="22"/>
        </w:rPr>
        <w:t>Independent of Payouts</w:t>
      </w:r>
    </w:p>
    <w:p>
      <w:pPr>
        <w:pStyle w:val="ListNumber"/>
      </w:pPr>
      <w:r>
        <w:rPr>
          <w:b/>
          <w:i w:val="0"/>
          <w:sz w:val="22"/>
        </w:rPr>
        <w:t>Phase 3:</w:t>
      </w:r>
      <w:r>
        <w:rPr>
          <w:b w:val="0"/>
          <w:i w:val="0"/>
          <w:sz w:val="22"/>
        </w:rPr>
        <w:t xml:space="preserve"> Tax-Compliance UI flow (single payout) - </w:t>
      </w:r>
      <w:r>
        <w:rPr>
          <w:b w:val="0"/>
          <w:i/>
          <w:sz w:val="22"/>
        </w:rPr>
        <w:t>First user-facing feature</w:t>
      </w:r>
    </w:p>
    <w:p>
      <w:pPr>
        <w:pStyle w:val="ListNumber"/>
      </w:pPr>
      <w:r>
        <w:rPr>
          <w:b/>
          <w:i w:val="0"/>
          <w:sz w:val="22"/>
        </w:rPr>
        <w:t>Phase 4:</w:t>
      </w:r>
      <w:r>
        <w:rPr>
          <w:b w:val="0"/>
          <w:i w:val="0"/>
          <w:sz w:val="22"/>
        </w:rPr>
        <w:t xml:space="preserve"> Bulk payout CSV integration - </w:t>
      </w:r>
      <w:r>
        <w:rPr>
          <w:b w:val="0"/>
          <w:i/>
          <w:sz w:val="22"/>
        </w:rPr>
        <w:t>Reuses all prior work</w:t>
      </w:r>
    </w:p>
    <w:p>
      <w:pPr>
        <w:pStyle w:val="ListNumber"/>
      </w:pPr>
      <w:r>
        <w:rPr>
          <w:b/>
          <w:i w:val="0"/>
          <w:sz w:val="22"/>
        </w:rPr>
        <w:t>Phase 5:</w:t>
      </w:r>
      <w:r>
        <w:rPr>
          <w:b w:val="0"/>
          <w:i w:val="0"/>
          <w:sz w:val="22"/>
        </w:rPr>
        <w:t xml:space="preserve"> API documentation for external integrations - </w:t>
      </w:r>
      <w:r>
        <w:rPr>
          <w:b w:val="0"/>
          <w:i/>
          <w:sz w:val="22"/>
        </w:rPr>
        <w:t>Completes all channels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1.7. 7. Non-Functional Requirements (Summary)</w:t>
      </w:r>
    </w:p>
    <w:p>
      <w:pPr>
        <w:pStyle w:val="Heading3"/>
      </w:pPr>
      <w:r>
        <w:t>1.7.1. 7.1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Metric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Tax-Compliance compute API latency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&lt; 200ms (p95)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Payout creation latency (no change)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0"/>
              </w:rPr>
              <w:t>&lt; 500ms (p95)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Kafka publish to TDS Payment creation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0"/>
              </w:rPr>
              <w:t>&lt; 5 seconds</w:t>
            </w:r>
          </w:p>
        </w:tc>
      </w:tr>
    </w:tbl>
    <w:p/>
    <w:p>
      <w:pPr>
        <w:pStyle w:val="Heading3"/>
      </w:pPr>
      <w:r>
        <w:t>1.7.2. 7.2 Throughput</w:t>
      </w:r>
    </w:p>
    <w:p>
      <w:pPr>
        <w:pStyle w:val="ListBullet"/>
      </w:pPr>
      <w:r>
        <w:rPr>
          <w:b/>
          <w:i w:val="0"/>
          <w:sz w:val="22"/>
        </w:rPr>
        <w:t>Single Payouts:</w:t>
      </w:r>
      <w:r>
        <w:rPr>
          <w:b w:val="0"/>
          <w:i w:val="0"/>
          <w:sz w:val="22"/>
        </w:rPr>
        <w:t xml:space="preserve"> Support existing payout throughput (no degradation)</w:t>
      </w:r>
    </w:p>
    <w:p>
      <w:pPr>
        <w:pStyle w:val="ListBullet"/>
      </w:pPr>
      <w:r>
        <w:rPr>
          <w:b/>
          <w:i w:val="0"/>
          <w:sz w:val="22"/>
        </w:rPr>
        <w:t>Bulk Payouts:</w:t>
      </w:r>
      <w:r>
        <w:rPr>
          <w:b w:val="0"/>
          <w:i w:val="0"/>
          <w:sz w:val="22"/>
        </w:rPr>
        <w:t xml:space="preserve"> Support up to 10,000 rows per CSV file</w:t>
      </w:r>
    </w:p>
    <w:p>
      <w:pPr>
        <w:pStyle w:val="ListBullet"/>
      </w:pPr>
      <w:r>
        <w:rPr>
          <w:b/>
          <w:i w:val="0"/>
          <w:sz w:val="22"/>
        </w:rPr>
        <w:t>Compute API:</w:t>
      </w:r>
      <w:r>
        <w:rPr>
          <w:b w:val="0"/>
          <w:i w:val="0"/>
          <w:sz w:val="22"/>
        </w:rPr>
        <w:t xml:space="preserve"> Handle peak load during bulk processing</w:t>
      </w:r>
    </w:p>
    <w:p>
      <w:pPr>
        <w:pStyle w:val="Heading3"/>
      </w:pPr>
      <w:r>
        <w:t>1.7.3. 7.3 Availability</w:t>
      </w:r>
    </w:p>
    <w:p>
      <w:pPr>
        <w:pStyle w:val="ListBullet"/>
      </w:pPr>
      <w:r>
        <w:rPr>
          <w:b/>
          <w:i w:val="0"/>
          <w:sz w:val="22"/>
        </w:rPr>
        <w:t>Tax-Compliance compute API:</w:t>
      </w:r>
      <w:r>
        <w:rPr>
          <w:b w:val="0"/>
          <w:i w:val="0"/>
          <w:sz w:val="22"/>
        </w:rPr>
        <w:t xml:space="preserve"> 99.9% uptime</w:t>
      </w:r>
    </w:p>
    <w:p>
      <w:pPr>
        <w:pStyle w:val="ListBullet"/>
      </w:pPr>
      <w:r>
        <w:rPr>
          <w:b/>
          <w:i w:val="0"/>
          <w:sz w:val="22"/>
        </w:rPr>
        <w:t>Kafka consumer:</w:t>
      </w:r>
      <w:r>
        <w:rPr>
          <w:b w:val="0"/>
          <w:i w:val="0"/>
          <w:sz w:val="22"/>
        </w:rPr>
        <w:t xml:space="preserve"> Automatic retry with DLQ for failed messages</w:t>
      </w:r>
    </w:p>
    <w:p>
      <w:pPr>
        <w:pStyle w:val="ListBullet"/>
      </w:pPr>
      <w:r>
        <w:rPr>
          <w:b/>
          <w:i w:val="0"/>
          <w:sz w:val="22"/>
        </w:rPr>
        <w:t>Graceful degradation:</w:t>
      </w:r>
      <w:r>
        <w:rPr>
          <w:b w:val="0"/>
          <w:i w:val="0"/>
          <w:sz w:val="22"/>
        </w:rPr>
        <w:t xml:space="preserve"> If compute API down, preview fails but old payouts (without TDS) continue to work</w:t>
      </w:r>
    </w:p>
    <w:p>
      <w:pPr>
        <w:pStyle w:val="Heading3"/>
      </w:pPr>
      <w:r>
        <w:t>1.7.4. 7.4 Data Retention</w:t>
      </w:r>
    </w:p>
    <w:p>
      <w:pPr>
        <w:pStyle w:val="ListBullet"/>
      </w:pPr>
      <w:r>
        <w:rPr>
          <w:b/>
          <w:i w:val="0"/>
          <w:sz w:val="22"/>
        </w:rPr>
        <w:t>Payout details (TDS fields):</w:t>
      </w:r>
      <w:r>
        <w:rPr>
          <w:b w:val="0"/>
          <w:i w:val="0"/>
          <w:sz w:val="22"/>
        </w:rPr>
        <w:t xml:space="preserve"> Retained per existing payout retention policy (7+ years for compliance)</w:t>
      </w:r>
    </w:p>
    <w:p>
      <w:pPr>
        <w:pStyle w:val="ListBullet"/>
      </w:pPr>
      <w:r>
        <w:rPr>
          <w:b/>
          <w:i w:val="0"/>
          <w:sz w:val="22"/>
        </w:rPr>
        <w:t>TDS Payment entities:</w:t>
      </w:r>
      <w:r>
        <w:rPr>
          <w:b w:val="0"/>
          <w:i w:val="0"/>
          <w:sz w:val="22"/>
        </w:rPr>
        <w:t xml:space="preserve"> Retained indefinitely for tax filing and audit</w:t>
      </w:r>
    </w:p>
    <w:p>
      <w:pPr>
        <w:pStyle w:val="ListBullet"/>
      </w:pPr>
      <w:r>
        <w:rPr>
          <w:b/>
          <w:i w:val="0"/>
          <w:sz w:val="22"/>
        </w:rPr>
        <w:t>Kafka messages:</w:t>
      </w:r>
      <w:r>
        <w:rPr>
          <w:b w:val="0"/>
          <w:i w:val="0"/>
          <w:sz w:val="22"/>
        </w:rPr>
        <w:t xml:space="preserve"> 7 days retention minimum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1.8. 8. Security &amp; Observability (Summary)</w:t>
      </w:r>
    </w:p>
    <w:p>
      <w:pPr>
        <w:pStyle w:val="Heading3"/>
      </w:pPr>
      <w:r>
        <w:t>1.8.1. 8.1 Security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Aspect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0"/>
              </w:rPr>
              <w:t>PII Handling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Deductee PAN encrypted at rest in Tax-Compliance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No PAN in Payouts service (only contact_id reference)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No PII in logs or Kafka messages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0"/>
              </w:rPr>
              <w:t>Access Control</w:t>
            </w:r>
          </w:p>
        </w:tc>
        <w:tc>
          <w:tcPr>
            <w:tcW w:type="dxa" w:w="4703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Tax-Compliance compute API: Authenticated merchants only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Payouts API: Existing authentication (no change)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TDS Payment query API: Merchant can only access their own records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0"/>
              </w:rPr>
              <w:t>Kafka Security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Use existing Kafka authentication and authorization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Topic ACLs to restrict publisher/consumer access</w:t>
            </w:r>
          </w:p>
        </w:tc>
      </w:tr>
    </w:tbl>
    <w:p/>
    <w:p>
      <w:pPr>
        <w:pStyle w:val="Heading3"/>
      </w:pPr>
      <w:r>
        <w:t>1.8.2. 8.2 Observability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0"/>
              </w:rPr>
              <w:t>Metrics &amp; Monitoring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0"/>
              </w:rPr>
              <w:t>Tax-Compliance Compute API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Request count, latency (p50, p95, p99)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Error rate by error type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LDC application rate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0"/>
              </w:rPr>
              <w:t>Payouts API</w:t>
            </w:r>
          </w:p>
        </w:tc>
        <w:tc>
          <w:tcPr>
            <w:tcW w:type="dxa" w:w="4703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TDS payout count (source = bb_plus)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Kafka publish success/failure rate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0"/>
              </w:rPr>
              <w:t>Kafka Consumer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Consumer lag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Message processing rate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DLQ message count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TDS Payment creation success/failure rate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0"/>
              </w:rPr>
              <w:t>Alerting</w:t>
            </w:r>
          </w:p>
        </w:tc>
        <w:tc>
          <w:tcPr>
            <w:tcW w:type="dxa" w:w="4703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Compute API error rate &gt; 5%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Kafka consumer lag &gt; 1000 messages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DLQ messages present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0"/>
              </w:rPr>
              <w:t>Payout-to-TDS-Payment reconciliation gaps</w:t>
            </w:r>
          </w:p>
        </w:tc>
      </w:tr>
    </w:tbl>
    <w:p/>
    <w:p>
      <w:pPr>
        <w:pStyle w:val="Heading3"/>
      </w:pPr>
      <w:r>
        <w:t>1.8.3. 8.3 Error Handling</w:t>
      </w:r>
    </w:p>
    <w:p>
      <w:pPr>
        <w:pStyle w:val="ListBullet"/>
      </w:pPr>
      <w:r>
        <w:rPr>
          <w:b/>
          <w:i w:val="0"/>
          <w:sz w:val="22"/>
        </w:rPr>
        <w:t>Compute API errors:</w:t>
      </w:r>
      <w:r>
        <w:rPr>
          <w:b w:val="0"/>
          <w:i w:val="0"/>
          <w:sz w:val="22"/>
        </w:rPr>
        <w:t xml:space="preserve"> Return clear error messages (e.g., invalid category, PAN not found, LDC expired)</w:t>
      </w:r>
    </w:p>
    <w:p>
      <w:pPr>
        <w:pStyle w:val="ListBullet"/>
      </w:pPr>
      <w:r>
        <w:rPr>
          <w:b/>
          <w:i w:val="0"/>
          <w:sz w:val="22"/>
        </w:rPr>
        <w:t>Payout creation errors:</w:t>
      </w:r>
      <w:r>
        <w:rPr>
          <w:b w:val="0"/>
          <w:i w:val="0"/>
          <w:sz w:val="22"/>
        </w:rPr>
        <w:t xml:space="preserve"> Same as existing payout errors (no change)</w:t>
      </w:r>
    </w:p>
    <w:p>
      <w:pPr>
        <w:pStyle w:val="ListBullet"/>
      </w:pPr>
      <w:r>
        <w:rPr>
          <w:b/>
          <w:i w:val="0"/>
          <w:sz w:val="22"/>
        </w:rPr>
        <w:t>Kafka publish failures:</w:t>
      </w:r>
      <w:r>
        <w:rPr>
          <w:b w:val="0"/>
          <w:i w:val="0"/>
          <w:sz w:val="22"/>
        </w:rPr>
        <w:t xml:space="preserve"> Use outbox pattern for at-least-once delivery</w:t>
      </w:r>
    </w:p>
    <w:p>
      <w:pPr>
        <w:pStyle w:val="ListBullet"/>
      </w:pPr>
      <w:r>
        <w:rPr>
          <w:b/>
          <w:i w:val="0"/>
          <w:sz w:val="22"/>
        </w:rPr>
        <w:t>Kafka consumer failures:</w:t>
      </w:r>
      <w:r>
        <w:rPr>
          <w:b w:val="0"/>
          <w:i w:val="0"/>
          <w:sz w:val="22"/>
        </w:rPr>
        <w:t xml:space="preserve"> Retry with exponential backoff; send to DLQ after max retries</w:t>
      </w:r>
    </w:p>
    <w:p>
      <w:pPr>
        <w:pStyle w:val="ListBullet"/>
      </w:pPr>
      <w:r>
        <w:rPr>
          <w:b/>
          <w:i w:val="0"/>
          <w:sz w:val="22"/>
        </w:rPr>
        <w:t>Reconciliation:</w:t>
      </w:r>
      <w:r>
        <w:rPr>
          <w:b w:val="0"/>
          <w:i w:val="0"/>
          <w:sz w:val="22"/>
        </w:rPr>
        <w:t xml:space="preserve"> Daily job to detect payouts with TDS but no TDS Payment entity (alert ops team)</w:t>
      </w:r>
    </w:p>
    <w:p>
      <w:pPr>
        <w:pBdr>
          <w:bottom w:val="single" w:sz="6" w:color="E2E8F0"/>
        </w:pBdr>
      </w:pPr>
    </w:p>
    <w:p>
      <w:pPr>
        <w:shd w:val="clear" w:color="auto" w:fill="EFF6FF"/>
        <w:pBdr>
          <w:left w:val="single" w:sz="24" w:space="4" w:color="1A73E8"/>
        </w:pBdr>
        <w:ind w:left="360"/>
      </w:pPr>
      <w:r>
        <w:rPr>
          <w:b/>
          <w:i w:val="0"/>
          <w:color w:val="0F172A"/>
          <w:sz w:val="22"/>
        </w:rPr>
        <w:t>Document Purpose</w:t>
      </w:r>
    </w:p>
    <w:p>
      <w:pPr>
        <w:shd w:val="clear" w:color="auto" w:fill="EFF6FF"/>
        <w:pBdr>
          <w:left w:val="single" w:sz="24" w:space="4" w:color="1A73E8"/>
        </w:pBdr>
        <w:ind w:left="360"/>
      </w:pPr>
      <w:r>
        <w:rPr>
          <w:b w:val="0"/>
          <w:i w:val="0"/>
          <w:sz w:val="20"/>
        </w:rPr>
        <w:br/>
        <w:t xml:space="preserve">      This summary document provides a high-level overview of the TDS integration problem and solution approaches.</w:t>
        <w:br/>
        <w:t xml:space="preserve">      For detailed implementation specifications, API contracts, struct definitions, SQL schemas, test plans,</w:t>
        <w:br/>
        <w:t xml:space="preserve">      and code examples, please refer to the full technical specification document.</w:t>
        <w:br/>
        <w:t xml:space="preserve">    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