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C6E"/>
          <w:sz w:val="48"/>
        </w:rPr>
        <w:t>TDS Payout Integration for BB+ Platform</w:t>
      </w:r>
    </w:p>
    <w:p>
      <w:pPr>
        <w:jc w:val="center"/>
      </w:pPr>
      <w:r>
        <w:rPr>
          <w:i/>
          <w:color w:val="475569"/>
          <w:sz w:val="26"/>
        </w:rPr>
        <w:t>Technical Specification — Summary Document</w:t>
      </w:r>
    </w:p>
    <w:p>
      <w:pPr>
        <w:jc w:val="center"/>
      </w:pPr>
      <w:r>
        <w:rPr>
          <w:color w:val="64748B"/>
          <w:sz w:val="22"/>
        </w:rPr>
        <w:t>Author: Prashant Chauhan  ·  Version: 9.0  ·  February 2026</w:t>
      </w:r>
    </w:p>
    <w:p/>
    <w:p>
      <w:pPr>
        <w:pStyle w:val="Heading1"/>
      </w:pPr>
      <w:r>
        <w:rPr>
          <w:sz w:val="28"/>
        </w:rPr>
        <w:t>Table of Contents</w:t>
      </w:r>
    </w:p>
    <w:p>
      <w:pPr>
        <w:spacing w:after="0"/>
      </w:pPr>
      <w:fldChar w:fldCharType="begin"/>
      <w:instrText xml:space="preserve"> TOC \o "1-3" \h \z \u </w:instrText>
      <w:fldChar w:fldCharType="end"/>
    </w:p>
    <w:p>
      <w:r>
        <w:rPr>
          <w:i/>
          <w:color w:val="94A3B8"/>
          <w:sz w:val="18"/>
        </w:rPr>
        <w:t>Right-click the TOC above → Update Field to refresh page numbers.</w:t>
      </w:r>
    </w:p>
    <w:p>
      <w:r>
        <w:br w:type="page"/>
      </w:r>
    </w:p>
    <w:p>
      <w:r>
        <w:rPr>
          <w:b w:val="0"/>
          <w:i w:val="0"/>
          <w:sz w:val="22"/>
        </w:rPr>
        <w:t>Technical Specification — Summary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Author/s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Prashant Chauhan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Team/Pod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| BU: BB+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Version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9.0 Summary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Published Date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February 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Reviewer Name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Reviewed Date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135"/>
            <w:shd w:val="clear" w:color="auto" w:fill="FFFFFF"/>
          </w:tcPr>
          <w:p/>
        </w:tc>
        <w:tc>
          <w:tcPr>
            <w:tcW w:type="dxa" w:w="3135"/>
            <w:shd w:val="clear" w:color="auto" w:fill="FFFFFF"/>
          </w:tcPr>
          <w:p/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  <w:tr>
        <w:tc>
          <w:tcPr>
            <w:tcW w:type="dxa" w:w="3135"/>
            <w:shd w:val="clear" w:color="auto" w:fill="F8FAFC"/>
          </w:tcPr>
          <w:p/>
        </w:tc>
        <w:tc>
          <w:tcPr>
            <w:tcW w:type="dxa" w:w="3135"/>
            <w:shd w:val="clear" w:color="auto" w:fill="F8FAFC"/>
          </w:tcPr>
          <w:p/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1. Problem Statement</w:t>
      </w:r>
    </w:p>
    <w:p>
      <w:pPr>
        <w:pStyle w:val="ListBullet"/>
      </w:pPr>
      <w:r>
        <w:rPr>
          <w:b w:val="0"/>
          <w:i w:val="0"/>
          <w:sz w:val="22"/>
        </w:rPr>
        <w:t>BB+ merchants must comply with Indian tax regulations (TDS) when making vendor payments via Payouts API.</w:t>
      </w:r>
    </w:p>
    <w:p>
      <w:pPr>
        <w:pStyle w:val="ListBullet"/>
      </w:pPr>
      <w:r>
        <w:rPr>
          <w:b w:val="0"/>
          <w:i w:val="0"/>
          <w:sz w:val="22"/>
        </w:rPr>
        <w:t xml:space="preserve">The existing Payouts service has </w:t>
      </w:r>
      <w:r>
        <w:rPr>
          <w:b/>
          <w:i w:val="0"/>
          <w:sz w:val="22"/>
        </w:rPr>
        <w:t>no TDS compute or tracking capability</w:t>
      </w:r>
      <w:r>
        <w:rPr>
          <w:b w:val="0"/>
          <w:i w:val="0"/>
          <w:sz w:val="22"/>
        </w:rPr>
        <w:t xml:space="preserve"> for BB+ flows.</w:t>
      </w:r>
    </w:p>
    <w:p>
      <w:pPr>
        <w:pStyle w:val="ListBullet"/>
      </w:pPr>
      <w:r>
        <w:rPr>
          <w:b w:val="0"/>
          <w:i w:val="0"/>
          <w:sz w:val="22"/>
        </w:rPr>
        <w:t>Vendor-Payments already uses Payouts TDS fields — any change must not break that existing flow.</w:t>
      </w:r>
    </w:p>
    <w:p>
      <w:pPr>
        <w:pStyle w:val="ListBullet"/>
      </w:pPr>
      <w:r>
        <w:rPr>
          <w:b w:val="0"/>
          <w:i w:val="0"/>
          <w:sz w:val="22"/>
        </w:rPr>
        <w:t xml:space="preserve">TDS deduction amount must be known </w:t>
      </w:r>
      <w:r>
        <w:rPr>
          <w:b w:val="0"/>
          <w:i/>
          <w:sz w:val="22"/>
        </w:rPr>
        <w:t>at payout creation time</w:t>
      </w:r>
      <w:r>
        <w:rPr>
          <w:b w:val="0"/>
          <w:i w:val="0"/>
          <w:sz w:val="22"/>
        </w:rPr>
        <w:t xml:space="preserve"> for correct money routing; it cannot be computed post-creation.</w:t>
      </w:r>
    </w:p>
    <w:p>
      <w:pPr>
        <w:pStyle w:val="ListBullet"/>
      </w:pPr>
      <w:r>
        <w:rPr>
          <w:b w:val="0"/>
          <w:i w:val="0"/>
          <w:sz w:val="22"/>
        </w:rPr>
        <w:t xml:space="preserve">The solution must work uniformly across all three payout channels: </w:t>
      </w:r>
      <w:r>
        <w:rPr>
          <w:b/>
          <w:i w:val="0"/>
          <w:sz w:val="22"/>
        </w:rPr>
        <w:t>Dashboard (UI)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Bulk CSV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Direct API</w:t>
      </w:r>
      <w:r>
        <w:rPr>
          <w:b w:val="0"/>
          <w:i w:val="0"/>
          <w:sz w:val="22"/>
        </w:rPr>
        <w:t>.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2. Introduction &amp; Scope</w:t>
      </w:r>
    </w:p>
    <w:p>
      <w:r>
        <w:rPr>
          <w:b w:val="0"/>
          <w:i w:val="0"/>
          <w:sz w:val="22"/>
        </w:rPr>
        <w:t xml:space="preserve"> This document specifies the technical approach for integrating TDS (Tax Deducted at Source) support into the Payouts service for BB+ merchants. It covers the problem, three candidate approaches, the recommended solution, and all downstream considerations. </w:t>
      </w:r>
    </w:p>
    <w:p>
      <w:pPr>
        <w:pStyle w:val="Heading3"/>
      </w:pPr>
      <w:r>
        <w:t>2.1 Tenets</w:t>
      </w:r>
    </w:p>
    <w:p>
      <w:pPr>
        <w:pStyle w:val="ListBullet"/>
      </w:pPr>
      <w:r>
        <w:rPr>
          <w:b/>
          <w:i w:val="0"/>
          <w:sz w:val="22"/>
        </w:rPr>
        <w:t>Payouts stays dumb about TDS computation</w:t>
      </w:r>
      <w:r>
        <w:rPr>
          <w:b w:val="0"/>
          <w:i w:val="0"/>
          <w:sz w:val="22"/>
        </w:rPr>
        <w:t xml:space="preserve"> — no S2S call to Tax-Compliance inside the payout creation path.</w:t>
      </w:r>
    </w:p>
    <w:p>
      <w:pPr>
        <w:pStyle w:val="ListBullet"/>
      </w:pPr>
      <w:r>
        <w:rPr>
          <w:b/>
          <w:i w:val="0"/>
          <w:sz w:val="22"/>
        </w:rPr>
        <w:t>Tax-Compliance owns TDS logic</w:t>
      </w:r>
      <w:r>
        <w:rPr>
          <w:b w:val="0"/>
          <w:i w:val="0"/>
          <w:sz w:val="22"/>
        </w:rPr>
        <w:t xml:space="preserve"> — computation, validation, entity lifecycle, and filing.</w:t>
      </w:r>
    </w:p>
    <w:p>
      <w:pPr>
        <w:pStyle w:val="ListBullet"/>
      </w:pPr>
      <w:r>
        <w:rPr>
          <w:b/>
          <w:i w:val="0"/>
          <w:sz w:val="22"/>
        </w:rPr>
        <w:t>Vendor-Payments flows are never impacted</w:t>
      </w:r>
      <w:r>
        <w:rPr>
          <w:b w:val="0"/>
          <w:i w:val="0"/>
          <w:sz w:val="22"/>
        </w:rPr>
        <w:t xml:space="preserve"> — all BB+ TDS events route to a separate Kafka topic.</w:t>
      </w:r>
    </w:p>
    <w:p>
      <w:pPr>
        <w:pStyle w:val="ListBullet"/>
      </w:pPr>
      <w:r>
        <w:rPr>
          <w:b/>
          <w:i w:val="0"/>
          <w:sz w:val="22"/>
        </w:rPr>
        <w:t>Backward compatible by default</w:t>
      </w:r>
      <w:r>
        <w:rPr>
          <w:b w:val="0"/>
          <w:i w:val="0"/>
          <w:sz w:val="22"/>
        </w:rPr>
        <w:t xml:space="preserve"> — all new Payouts fields are optional.</w:t>
      </w:r>
    </w:p>
    <w:p>
      <w:pPr>
        <w:pStyle w:val="ListBullet"/>
      </w:pPr>
      <w:r>
        <w:rPr>
          <w:b/>
          <w:i w:val="0"/>
          <w:sz w:val="22"/>
        </w:rPr>
        <w:t>No PII in logs or Kafka messages</w:t>
      </w:r>
      <w:r>
        <w:rPr>
          <w:b w:val="0"/>
          <w:i w:val="0"/>
          <w:sz w:val="22"/>
        </w:rPr>
        <w:t xml:space="preserve"> — PAN stored and encrypted only in Tax-Compliance.</w:t>
      </w:r>
    </w:p>
    <w:p>
      <w:pPr>
        <w:pStyle w:val="Heading3"/>
      </w:pPr>
      <w:r>
        <w:t>2.2 Relevant Resources</w:t>
      </w:r>
    </w:p>
    <w:p>
      <w:pPr>
        <w:pStyle w:val="ListBullet"/>
      </w:pPr>
      <w:hyperlink r:id="rId9">
        <w:r>
          <w:rPr>
            <w:color w:val="1A73E8"/>
            <w:u w:val="single"/>
            <w:sz w:val="22"/>
            <w:szCs w:val="22"/>
          </w:rPr>
          <w:t>Full Technical Specification (detailed implementation)</w:t>
        </w:r>
      </w:hyperlink>
    </w:p>
    <w:p>
      <w:pPr>
        <w:pStyle w:val="ListBullet"/>
      </w:pPr>
      <w:hyperlink r:id="rId10">
        <w:r>
          <w:rPr>
            <w:color w:val="1A73E8"/>
            <w:u w:val="single"/>
            <w:sz w:val="22"/>
            <w:szCs w:val="22"/>
          </w:rPr>
          <w:t>GitHub Pages — Live Spec</w:t>
        </w:r>
      </w:hyperlink>
    </w:p>
    <w:p>
      <w:pPr>
        <w:pStyle w:val="Heading3"/>
      </w:pPr>
      <w:r>
        <w:t>2.3 Scope</w:t>
      </w:r>
    </w:p>
    <w:p>
      <w:r>
        <w:rPr>
          <w:b w:val="0"/>
          <w:i w:val="0"/>
          <w:sz w:val="22"/>
        </w:rPr>
        <w:t>In scope for this initiative:</w:t>
      </w:r>
    </w:p>
    <w:p>
      <w:pPr>
        <w:pStyle w:val="ListBullet"/>
      </w:pPr>
      <w:r>
        <w:rPr>
          <w:b w:val="0"/>
          <w:i w:val="0"/>
          <w:sz w:val="22"/>
        </w:rPr>
        <w:t>TDS compute, preview, and payout creation for BB+ merchants — Single Payout (UI), Bulk CSV, and API</w:t>
      </w:r>
    </w:p>
    <w:p>
      <w:pPr>
        <w:pStyle w:val="ListBullet"/>
      </w:pPr>
      <w:r>
        <w:rPr>
          <w:b w:val="0"/>
          <w:i w:val="0"/>
          <w:sz w:val="22"/>
        </w:rPr>
        <w:t>Payouts service: enrichment hook for TDS computation</w:t>
      </w:r>
    </w:p>
    <w:p>
      <w:pPr>
        <w:pStyle w:val="ListBullet"/>
      </w:pPr>
      <w:r>
        <w:rPr>
          <w:b w:val="0"/>
          <w:i w:val="0"/>
          <w:sz w:val="22"/>
        </w:rPr>
        <w:t xml:space="preserve">Tax-Compliance: internal enrichment API, event listener,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management</w:t>
      </w:r>
    </w:p>
    <w:p>
      <w:pPr>
        <w:pStyle w:val="ListBullet"/>
      </w:pPr>
      <w:r>
        <w:rPr>
          <w:b w:val="0"/>
          <w:i w:val="0"/>
          <w:sz w:val="22"/>
        </w:rPr>
        <w:t>Dashboard UI and Bulk CSV: TDS form fields and preview</w:t>
      </w:r>
    </w:p>
    <w:p>
      <w:pPr>
        <w:pStyle w:val="Heading3"/>
      </w:pPr>
      <w:r>
        <w:t>2.4 Product Requirement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Seamless Merchant Experience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The product requirement is to provide a </w:t>
      </w:r>
      <w:r>
        <w:rPr>
          <w:b/>
          <w:i w:val="0"/>
          <w:sz w:val="22"/>
        </w:rPr>
        <w:t>seamless experience for merchants using the Payouts API</w:t>
      </w:r>
      <w:r>
        <w:rPr>
          <w:b w:val="0"/>
          <w:i w:val="0"/>
          <w:sz w:val="22"/>
        </w:rPr>
        <w:t xml:space="preserve">, where they can pass minimal details similar to what is currently passed to the compute API.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Key Requirements: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Minimal Input:</w:t>
      </w:r>
      <w:r>
        <w:rPr>
          <w:b w:val="0"/>
          <w:i w:val="0"/>
          <w:sz w:val="22"/>
        </w:rPr>
        <w:t xml:space="preserve"> Merchants should provide basic payout details (gross amount, TDS category, contact, etc.) without needing to pre-calculate TDS values themselves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Automatic Calculation:</w:t>
      </w:r>
      <w:r>
        <w:rPr>
          <w:b w:val="0"/>
          <w:i w:val="0"/>
          <w:sz w:val="22"/>
        </w:rPr>
        <w:t xml:space="preserve"> The system should automatically compute TDS amounts based on the provided inputs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Persistence:</w:t>
      </w:r>
      <w:r>
        <w:rPr>
          <w:b w:val="0"/>
          <w:i w:val="0"/>
          <w:sz w:val="22"/>
        </w:rPr>
        <w:t xml:space="preserve"> All TDS-related data should be persisted correctly for compliance and reporting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Unified Flow:</w:t>
      </w:r>
      <w:r>
        <w:rPr>
          <w:b w:val="0"/>
          <w:i w:val="0"/>
          <w:sz w:val="22"/>
        </w:rPr>
        <w:t xml:space="preserve"> The payout should be created seamlessly after TDS calculation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Universal Applicability:</w:t>
      </w:r>
      <w:r>
        <w:rPr>
          <w:b w:val="0"/>
          <w:i w:val="0"/>
          <w:sz w:val="22"/>
        </w:rPr>
        <w:t xml:space="preserve"> This single approach should work consistently across </w:t>
      </w:r>
      <w:r>
        <w:rPr>
          <w:b/>
          <w:i w:val="0"/>
          <w:sz w:val="22"/>
        </w:rPr>
        <w:t>all three payout types</w:t>
      </w:r>
      <w:r>
        <w:rPr>
          <w:b w:val="0"/>
          <w:i w:val="0"/>
          <w:sz w:val="22"/>
        </w:rPr>
        <w:t xml:space="preserve">: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requirement drives the architectural decision to ensure merchants have a consistent, simple interface regardless of how they create payouts, while the system handles all complexity of TDS computation and compliance internally.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2"/>
      </w:pPr>
      <w:r>
        <w:t>3. Out of Scope</w:t>
      </w:r>
    </w:p>
    <w:p>
      <w:pPr>
        <w:pStyle w:val="ListBullet"/>
      </w:pPr>
      <w:r>
        <w:rPr>
          <w:b w:val="0"/>
          <w:i w:val="0"/>
          <w:sz w:val="22"/>
        </w:rPr>
        <w:t>TDS filing, government remittance, or challan generation (owned by Tax-Compliance)</w:t>
      </w:r>
    </w:p>
    <w:p>
      <w:pPr>
        <w:pStyle w:val="ListBullet"/>
      </w:pPr>
      <w:r>
        <w:rPr>
          <w:b w:val="0"/>
          <w:i w:val="0"/>
          <w:sz w:val="22"/>
        </w:rPr>
        <w:t>Changes to Vendor-Payments TDS flows (must remain untouched)</w:t>
      </w:r>
    </w:p>
    <w:p>
      <w:pPr>
        <w:pStyle w:val="ListBullet"/>
      </w:pPr>
      <w:r>
        <w:rPr>
          <w:b w:val="0"/>
          <w:i w:val="0"/>
          <w:sz w:val="22"/>
        </w:rPr>
        <w:t>TDS support for non-BB+ merchants in this phase</w:t>
      </w:r>
    </w:p>
    <w:p>
      <w:pPr>
        <w:pStyle w:val="ListBullet"/>
      </w:pPr>
      <w:r>
        <w:rPr>
          <w:b w:val="0"/>
          <w:i w:val="0"/>
          <w:sz w:val="22"/>
        </w:rPr>
        <w:t>Real-time TDS Payment ID in the payout API response (entity is created asynchronously)</w:t>
      </w:r>
    </w:p>
    <w:p>
      <w:pPr>
        <w:pStyle w:val="ListBullet"/>
      </w:pPr>
      <w:r>
        <w:rPr>
          <w:b w:val="0"/>
          <w:i w:val="0"/>
          <w:sz w:val="22"/>
        </w:rPr>
        <w:t>LDC staleness enforcement between compute and payout creation (accepted trade-off)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4. Futuristic Scope</w:t>
      </w:r>
    </w:p>
    <w:p>
      <w:pPr>
        <w:pStyle w:val="ListBullet"/>
      </w:pPr>
      <w:r>
        <w:rPr>
          <w:b w:val="0"/>
          <w:i w:val="0"/>
          <w:sz w:val="22"/>
        </w:rPr>
        <w:t>TDS Payment ID is already included in payout response (enrichment pattern creates entity synchronously)</w:t>
      </w:r>
    </w:p>
    <w:p>
      <w:pPr>
        <w:pStyle w:val="ListBullet"/>
      </w:pPr>
      <w:r>
        <w:rPr>
          <w:b w:val="0"/>
          <w:i w:val="0"/>
          <w:sz w:val="22"/>
        </w:rPr>
        <w:t>Bulk TDS filing dashboard for BB+ merchants</w:t>
      </w:r>
    </w:p>
    <w:p>
      <w:pPr>
        <w:pStyle w:val="ListBullet"/>
      </w:pPr>
      <w:r>
        <w:rPr>
          <w:b w:val="0"/>
          <w:i w:val="0"/>
          <w:sz w:val="22"/>
        </w:rPr>
        <w:t>Extend to non-BB+ merchants using the same Enrichment Hook Pattern</w:t>
      </w:r>
    </w:p>
    <w:p>
      <w:pPr>
        <w:pStyle w:val="ListBullet"/>
      </w:pPr>
      <w:r>
        <w:rPr>
          <w:b w:val="0"/>
          <w:i w:val="0"/>
          <w:sz w:val="22"/>
        </w:rPr>
        <w:t>TDS compute caching per merchant/category for enrichment performance optimization</w:t>
      </w:r>
    </w:p>
    <w:p>
      <w:pPr>
        <w:pStyle w:val="ListBullet"/>
      </w:pPr>
      <w:r>
        <w:rPr>
          <w:b w:val="0"/>
          <w:i w:val="0"/>
          <w:sz w:val="22"/>
        </w:rPr>
        <w:t>Batch enrichment API for bulk payout optimization (enrich multiple rows in single call)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5. Assumptions, Goals &amp; Non-Goals</w:t>
      </w:r>
    </w:p>
    <w:p>
      <w:pPr>
        <w:pStyle w:val="Heading3"/>
      </w:pPr>
      <w:r>
        <w:t>5.1 Assumptions</w:t>
      </w:r>
    </w:p>
    <w:p>
      <w:pPr>
        <w:pStyle w:val="ListBullet"/>
      </w:pPr>
      <w:r>
        <w:rPr>
          <w:b w:val="0"/>
          <w:i w:val="0"/>
          <w:sz w:val="22"/>
        </w:rPr>
        <w:t>Tax-Compliance service will expose or enhance a compute API endpoint accessible by BB+ merchants (external) and by Tax-Compliance BFF (internal)</w:t>
      </w:r>
    </w:p>
    <w:p>
      <w:pPr>
        <w:pStyle w:val="ListBullet"/>
      </w:pPr>
      <w:r>
        <w:rPr>
          <w:b w:val="0"/>
          <w:i w:val="0"/>
          <w:sz w:val="22"/>
        </w:rPr>
        <w:t>Payouts service will not integrate Tax-Compliance — all compute happens outside the payout creation path</w:t>
      </w:r>
    </w:p>
    <w:p>
      <w:pPr>
        <w:pStyle w:val="ListBullet"/>
      </w:pPr>
      <w:r>
        <w:rPr>
          <w:b w:val="0"/>
          <w:i w:val="0"/>
          <w:sz w:val="22"/>
        </w:rPr>
        <w:t xml:space="preserve">The Kafka topic </w:t>
      </w:r>
      <w:r>
        <w:rPr>
          <w:rFonts w:ascii="Courier New" w:hAnsi="Courier New"/>
          <w:b w:val="0"/>
          <w:i w:val="0"/>
          <w:sz w:val="22"/>
        </w:rPr>
        <w:t>add-tds-entry-bb-plus</w:t>
      </w:r>
      <w:r>
        <w:rPr>
          <w:b w:val="0"/>
          <w:i w:val="0"/>
          <w:sz w:val="22"/>
        </w:rPr>
        <w:t xml:space="preserve"> is new and owned by Tax-Compliance consumer</w:t>
      </w:r>
    </w:p>
    <w:p>
      <w:pPr>
        <w:pStyle w:val="ListBullet"/>
      </w:pPr>
      <w:r>
        <w:rPr>
          <w:b w:val="0"/>
          <w:i w:val="0"/>
          <w:sz w:val="22"/>
        </w:rPr>
        <w:t xml:space="preserve">The </w:t>
      </w:r>
      <w:r>
        <w:rPr>
          <w:rFonts w:ascii="Courier New" w:hAnsi="Courier New"/>
          <w:b w:val="0"/>
          <w:i w:val="0"/>
          <w:sz w:val="22"/>
        </w:rPr>
        <w:t>source = "bb_plus"</w:t>
      </w:r>
      <w:r>
        <w:rPr>
          <w:b w:val="0"/>
          <w:i w:val="0"/>
          <w:sz w:val="22"/>
        </w:rPr>
        <w:t xml:space="preserve"> field in the TDS payload is the routing signal — no other routing logic needed in Payouts</w:t>
      </w:r>
    </w:p>
    <w:p>
      <w:pPr>
        <w:pStyle w:val="ListBullet"/>
      </w:pPr>
      <w:r>
        <w:rPr>
          <w:b w:val="0"/>
          <w:i w:val="0"/>
          <w:sz w:val="22"/>
        </w:rPr>
        <w:t>LDC certificate validity between compute and payout creation is acceptable (seconds gap in practice)</w:t>
      </w:r>
    </w:p>
    <w:p>
      <w:pPr>
        <w:pStyle w:val="Heading3"/>
      </w:pPr>
      <w:r>
        <w:t>5.2 Goals</w:t>
      </w:r>
    </w:p>
    <w:p>
      <w:pPr>
        <w:pStyle w:val="ListBullet"/>
      </w:pPr>
      <w:r>
        <w:rPr>
          <w:b w:val="0"/>
          <w:i w:val="0"/>
          <w:sz w:val="22"/>
        </w:rPr>
        <w:t>Enable TDS deduction and tracking for BB+ payouts across all three channels</w:t>
      </w:r>
    </w:p>
    <w:p>
      <w:pPr>
        <w:pStyle w:val="ListBullet"/>
      </w:pPr>
      <w:r>
        <w:rPr>
          <w:b w:val="0"/>
          <w:i w:val="0"/>
          <w:sz w:val="22"/>
        </w:rPr>
        <w:t>Zero latency added to the Payouts API critical path</w:t>
      </w:r>
    </w:p>
    <w:p>
      <w:pPr>
        <w:pStyle w:val="ListBullet"/>
      </w:pPr>
      <w:r>
        <w:rPr>
          <w:b w:val="0"/>
          <w:i w:val="0"/>
          <w:sz w:val="22"/>
        </w:rPr>
        <w:t>Minimal, isolated changes to Payouts (fields + routing only)</w:t>
      </w:r>
    </w:p>
    <w:p>
      <w:pPr>
        <w:pStyle w:val="ListBullet"/>
      </w:pPr>
      <w:r>
        <w:rPr>
          <w:b w:val="0"/>
          <w:i w:val="0"/>
          <w:sz w:val="22"/>
        </w:rPr>
        <w:t xml:space="preserve">Clean domain ownership: Tax-Compliance owns compute and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</w:t>
      </w:r>
    </w:p>
    <w:p>
      <w:pPr>
        <w:pStyle w:val="ListBullet"/>
      </w:pPr>
      <w:r>
        <w:rPr>
          <w:b w:val="0"/>
          <w:i w:val="0"/>
          <w:sz w:val="22"/>
        </w:rPr>
        <w:t>Backward compatible — existing Payouts and Vendor-Payments flows unchanged</w:t>
      </w:r>
    </w:p>
    <w:p>
      <w:pPr>
        <w:pStyle w:val="Heading3"/>
      </w:pPr>
      <w:r>
        <w:t>5.3 Non-Goals</w:t>
      </w:r>
    </w:p>
    <w:p>
      <w:pPr>
        <w:pStyle w:val="ListBullet"/>
      </w:pPr>
      <w:r>
        <w:rPr>
          <w:b w:val="0"/>
          <w:i w:val="0"/>
          <w:sz w:val="22"/>
        </w:rPr>
        <w:t>Building TDS compute logic inside the Payouts service</w:t>
      </w:r>
    </w:p>
    <w:p>
      <w:pPr>
        <w:pStyle w:val="ListBullet"/>
      </w:pPr>
      <w:r>
        <w:rPr>
          <w:b w:val="0"/>
          <w:i w:val="0"/>
          <w:sz w:val="22"/>
        </w:rPr>
        <w:t xml:space="preserve">Synchronous creation of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at payout creation time</w:t>
      </w:r>
    </w:p>
    <w:p>
      <w:pPr>
        <w:pStyle w:val="ListBullet"/>
      </w:pPr>
      <w:r>
        <w:rPr>
          <w:b w:val="0"/>
          <w:i w:val="0"/>
          <w:sz w:val="22"/>
        </w:rPr>
        <w:t>Changing any Vendor-Payments Kafka topics or consumer logic</w:t>
      </w:r>
    </w:p>
    <w:p>
      <w:pPr>
        <w:pStyle w:val="ListBullet"/>
      </w:pPr>
      <w:r>
        <w:rPr>
          <w:b w:val="0"/>
          <w:i w:val="0"/>
          <w:sz w:val="22"/>
        </w:rPr>
        <w:t xml:space="preserve">Modifying the public </w:t>
      </w:r>
      <w:r>
        <w:rPr>
          <w:rFonts w:ascii="Courier New" w:hAnsi="Courier New"/>
          <w:b w:val="0"/>
          <w:i w:val="0"/>
          <w:sz w:val="22"/>
        </w:rPr>
        <w:t>/v1/payouts</w:t>
      </w:r>
      <w:r>
        <w:rPr>
          <w:b w:val="0"/>
          <w:i w:val="0"/>
          <w:sz w:val="22"/>
        </w:rPr>
        <w:t xml:space="preserve"> API (changes go to internal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only)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6. Domain Design</w:t>
      </w:r>
    </w:p>
    <w:p>
      <w:pPr>
        <w:pStyle w:val="Heading3"/>
      </w:pPr>
      <w:r>
        <w:t>6.1 Services Involved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Responsibility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Computes TDS based on category, rate, and LDC status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Manages TDS Payment entities for compliance and filing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Validates TDS categories and PAN details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Payouts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Creates payout records for net amount to vendor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Processes fund transfers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Emits payout status updates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Stores TDS information for audit trail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 (BFF)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Acts as BFF — the only backend the UI talks to for TDS flows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Computes TDS, orchestrates payout creation, presents data to merchants</w:t>
            </w:r>
          </w:p>
        </w:tc>
      </w:tr>
    </w:tbl>
    <w:p/>
    <w:p>
      <w:pPr>
        <w:pStyle w:val="Heading3"/>
      </w:pPr>
      <w:r>
        <w:t>6.2 Amount Relationship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Key Formula</w:t>
      </w:r>
    </w:p>
    <w:p>
      <w:pPr>
        <w:spacing w:before="0" w:after="80"/>
      </w:pPr>
    </w:p>
    <w:p>
      <w:pPr>
        <w:pStyle w:val="Heading3"/>
      </w:pPr>
      <w:r>
        <w:t>6.3 Key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Entity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payout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The payment to vendor (net amount after TDS deduction)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payout_details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Extended TDS information (category, amounts, breakdown) stored as JSON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tds_payment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record for government filing (includes deductee PAN, amounts, category details)</w:t>
            </w:r>
          </w:p>
        </w:tc>
      </w:tr>
    </w:tbl>
    <w:p/>
    <w:p>
      <w:pPr>
        <w:pStyle w:val="Heading3"/>
      </w:pPr>
      <w:r>
        <w:t>6.4 Coverage: All Payout Types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TDS Handling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creates one payout via Tax-Compliance UI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Preview TDS breakdown before confirming; one compute call per payout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Merchant uploads CSV with multiple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TDS for all rows upfront; generate preview file; user confirms before processing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integrates via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Same pattern as UI - caller computes TDS first, then creates payout with pre-computed values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7. Current Architecture / Current HLD</w:t>
      </w:r>
    </w:p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Current State — No BB+ TDS Support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 Payouts service currently has a </w:t>
      </w:r>
      <w:r>
        <w:rPr>
          <w:rFonts w:ascii="Courier New" w:hAnsi="Courier New"/>
          <w:b w:val="0"/>
          <w:i w:val="0"/>
          <w:sz w:val="22"/>
        </w:rPr>
        <w:t>tds</w:t>
      </w:r>
      <w:r>
        <w:rPr>
          <w:b w:val="0"/>
          <w:i w:val="0"/>
          <w:sz w:val="22"/>
        </w:rPr>
        <w:t xml:space="preserve"> struct in </w:t>
      </w:r>
      <w:r>
        <w:rPr>
          <w:rFonts w:ascii="Courier New" w:hAnsi="Courier New"/>
          <w:b w:val="0"/>
          <w:i w:val="0"/>
          <w:sz w:val="22"/>
        </w:rPr>
        <w:t>TDSDetails</w:t>
      </w:r>
      <w:r>
        <w:rPr>
          <w:b w:val="0"/>
          <w:i w:val="0"/>
          <w:sz w:val="22"/>
        </w:rPr>
        <w:t xml:space="preserve"> used exclusively by </w:t>
      </w:r>
      <w:r>
        <w:rPr>
          <w:b/>
          <w:i w:val="0"/>
          <w:sz w:val="22"/>
        </w:rPr>
        <w:t>Vendor-Payments</w:t>
      </w:r>
      <w:r>
        <w:rPr>
          <w:b w:val="0"/>
          <w:i w:val="0"/>
          <w:sz w:val="22"/>
        </w:rPr>
        <w:t xml:space="preserve">. It contains </w:t>
      </w:r>
      <w:r>
        <w:rPr>
          <w:rFonts w:ascii="Courier New" w:hAnsi="Courier New"/>
          <w:b w:val="0"/>
          <w:i w:val="0"/>
          <w:sz w:val="22"/>
        </w:rPr>
        <w:t>category_id</w:t>
      </w:r>
      <w:r>
        <w:rPr>
          <w:b w:val="0"/>
          <w:i w:val="0"/>
          <w:sz w:val="22"/>
        </w:rPr>
        <w:t xml:space="preserve"> and </w:t>
      </w:r>
      <w:r>
        <w:rPr>
          <w:rFonts w:ascii="Courier New" w:hAnsi="Courier New"/>
          <w:b w:val="0"/>
          <w:i w:val="0"/>
          <w:sz w:val="22"/>
        </w:rPr>
        <w:t>amount</w:t>
      </w:r>
      <w:r>
        <w:rPr>
          <w:b w:val="0"/>
          <w:i w:val="0"/>
          <w:sz w:val="22"/>
        </w:rPr>
        <w:t xml:space="preserve">. When a payout with </w:t>
      </w:r>
      <w:r>
        <w:rPr>
          <w:rFonts w:ascii="Courier New" w:hAnsi="Courier New"/>
          <w:b w:val="0"/>
          <w:i w:val="0"/>
          <w:sz w:val="22"/>
        </w:rPr>
        <w:t>source = vendor_payments</w:t>
      </w:r>
      <w:r>
        <w:rPr>
          <w:b w:val="0"/>
          <w:i w:val="0"/>
          <w:sz w:val="22"/>
        </w:rPr>
        <w:t xml:space="preserve"> reaches a terminal state, Payouts publishes to </w:t>
      </w:r>
      <w:r>
        <w:rPr>
          <w:rFonts w:ascii="Courier New" w:hAnsi="Courier New"/>
          <w:b w:val="0"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Kafka topic, consumed by Vendor-Payments to create a TDS record.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There is </w:t>
      </w:r>
      <w:r>
        <w:rPr>
          <w:b/>
          <w:i w:val="0"/>
          <w:sz w:val="22"/>
        </w:rPr>
        <w:t>no equivalent flow for BB+</w:t>
      </w:r>
      <w:r>
        <w:rPr>
          <w:b w:val="0"/>
          <w:i w:val="0"/>
          <w:sz w:val="22"/>
        </w:rPr>
        <w:t xml:space="preserve">. Tax-Compliance has no Kafka consumer for payouts, no TDS compute endpoint used at payout time, and 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creation triggered by payout events.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Current State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What's Missing for BB+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TDS fields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category_id + amount (Vendor-Payments only)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source, gross_amount, breakdown fields for BB+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Kafka routing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All TDS payouts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BB+ payouts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Compute API exists for preview; no Kafka consumer for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Kafka consumer for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+ entity creation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BFF / UI flow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BB+ TDS payout creation flow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to orchestrate compute + payout creation for UI/Bulk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8. Final Approach — Specifications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Selected: Enrichment Hook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Payouts API accepts optional TDS fields (category_id, gross_amount, apply_ldc). If present, Payouts makes a </w:t>
      </w:r>
      <w:r>
        <w:rPr>
          <w:b/>
          <w:i w:val="0"/>
          <w:sz w:val="22"/>
        </w:rPr>
        <w:t>lightweight synchronous call</w:t>
      </w:r>
      <w:r>
        <w:rPr>
          <w:b w:val="0"/>
          <w:i w:val="0"/>
          <w:sz w:val="22"/>
        </w:rPr>
        <w:t xml:space="preserve"> to Tax-Compliance enrichment endpoint (~50-100ms). Tax-Compliance computes TDS, creates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and returns enriched data (net_amount, tds_amount, rate, tds_payment_id). Payouts uses net_amount for payout creation. </w:t>
      </w:r>
      <w:r>
        <w:rPr>
          <w:b/>
          <w:i w:val="0"/>
          <w:sz w:val="22"/>
        </w:rPr>
        <w:t>Single API call for merchants; minimal changes to Payouts.</w:t>
      </w:r>
    </w:p>
    <w:p>
      <w:pPr>
        <w:spacing w:before="0" w:after="80"/>
      </w:pPr>
    </w:p>
    <w:p>
      <w:pPr>
        <w:pStyle w:val="Heading2"/>
      </w:pPr>
      <w:r>
        <w:t>8.1 List of Possible Solutions</w:t>
      </w:r>
    </w:p>
    <w:p>
      <w:r>
        <w:rPr>
          <w:b w:val="0"/>
          <w:i w:val="0"/>
          <w:sz w:val="22"/>
        </w:rPr>
        <w:t>Three approaches were evaluated. The final selected approach (Approach 1: Enrichment Hook Pattern) is recommended. Approaches 2 and 3 are documented below for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Summary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S2S in Payout?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Verdict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1. Enrichment Hook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calls Tax-Compliance enrichment API if TDS fields present; lightweight sync call (~50-100ms); minimal Payouts changes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— Payouts→Tax-Compliance (optional)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✓ Selected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2. TC Gateway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exposes /v2/payouts endpoint; orchestrates compute + payout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— Tax-Compliance→Payouts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Not Recommended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3. Pre-Compute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Caller pre-computes TDS via Tax-Compliance first, then calls Payouts separately; two API calls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Not Recommended (breaks one-stop requirement)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3"/>
      </w:pPr>
      <w:r>
        <w:t>Approach 1: Enrichment Hook Pattern — SELECTED</w:t>
      </w:r>
    </w:p>
    <w:p>
      <w:r>
        <w:rPr>
          <w:i/>
          <w:sz w:val="20"/>
        </w:rPr>
        <w:t>RECOMMENDED - All Channels — Payouts accepts optional TDS fields; makes lightweight sync enrichment call if present; single API for merchants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Core Principle: Single API Call with Minimal Payouts Changes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Payouts API accepts optional TDS fields (category_id, gross_amount, apply_ldc). If these fields are present, Payouts makes a </w:t>
      </w:r>
      <w:r>
        <w:rPr>
          <w:b/>
          <w:i w:val="0"/>
          <w:sz w:val="22"/>
        </w:rPr>
        <w:t>lightweight synchronous call (~50-100ms)</w:t>
      </w:r>
      <w:r>
        <w:rPr>
          <w:b w:val="0"/>
          <w:i w:val="0"/>
          <w:sz w:val="22"/>
        </w:rPr>
        <w:t xml:space="preserve"> to Tax-Compliance enrichment endpoint. Tax-Compliance computes TDS, creates tds_payments entity, and returns enriched data. Payouts uses the enriched net_amount for payout creation. </w:t>
      </w:r>
      <w:r>
        <w:rPr>
          <w:b/>
          <w:i w:val="0"/>
          <w:sz w:val="22"/>
        </w:rPr>
        <w:t>Merchants make ONE API call; zero domain leak to Payouts.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This approach adds a minimal, optional enrichment hook in Payouts. When TDS fields are absent, Payouts behaves exactly as before (zero impact). When TDS fields are present, Payouts delegates computation to Tax-Compliance and uses the enriched response.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API Request:</w:t>
      </w:r>
      <w:r>
        <w:rPr>
          <w:b w:val="0"/>
          <w:i w:val="0"/>
          <w:sz w:val="22"/>
        </w:rPr>
        <w:t xml:space="preserve"> Merchant calls Payouts API with optional TDS fields: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Enrichment Hook (if TDS fields present):</w:t>
      </w:r>
      <w:r>
        <w:rPr>
          <w:b w:val="0"/>
          <w:i w:val="0"/>
          <w:sz w:val="22"/>
        </w:rPr>
        <w:t xml:space="preserve"> Payouts calls Tax-Compliance internal enrichment API: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 Creation:</w:t>
      </w:r>
      <w:r>
        <w:rPr>
          <w:b w:val="0"/>
          <w:i w:val="0"/>
          <w:sz w:val="22"/>
        </w:rPr>
        <w:t xml:space="preserve"> Payouts creates payout with: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Event Emission:</w:t>
      </w:r>
      <w:r>
        <w:rPr>
          <w:b w:val="0"/>
          <w:i w:val="0"/>
          <w:sz w:val="22"/>
        </w:rPr>
        <w:t xml:space="preserve"> Payouts emits status change events (existing mechanism)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TDS Entity Update:</w:t>
      </w:r>
      <w:r>
        <w:rPr>
          <w:b w:val="0"/>
          <w:i w:val="0"/>
          <w:sz w:val="22"/>
        </w:rPr>
        <w:t xml:space="preserve"> Tax-Compliance listens to payout events and updates tds_payments entity (PENDING → SUCCESS/FAILED)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7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79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Key Benefits of Enrichment Hook Pattern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Benefit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API Call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Merchants call Payouts API once; enrichment happens internally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Minimal Payouts Changes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~20 LOC enrichment hook; feature-flagged; isolated code path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No Domain Leak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doesn't know TDS logic; just calls enrichment service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Latency Impact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+50-100ms for TDS payouts only; zero impact for non-TDS payouts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Works for All Payout Types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Dashboard, Bulk, API - same unified approach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Clean Failure Handling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If enrichment fails, payout fails immediately; no partial state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 Entity Creation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Created synchronously during enrichment; payout_id updated via events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Channel-by-Channel Flow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Solution to API Payouts Challenge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API Payouts</w:t>
      </w:r>
      <w:r>
        <w:rPr>
          <w:b w:val="0"/>
          <w:i w:val="0"/>
          <w:sz w:val="22"/>
        </w:rPr>
        <w:t xml:space="preserve">, merchants only have raw inputs (category, PAN, amount). They don't have pre-computed TDS values. The enrichment hook pattern solves this elegantly: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Merchants make ONE API call to Payouts</w:t>
      </w:r>
      <w:r>
        <w:rPr>
          <w:b w:val="0"/>
          <w:i w:val="0"/>
          <w:sz w:val="22"/>
        </w:rPr>
        <w:t xml:space="preserve"> with TDS fields (gross_amount, category_id, apply_ldc). Payouts internally calls Tax-Compliance enrichment endpoint (~50-100ms), gets the enriched data, and creates the payout. The latency impact (~50-100ms) is acceptable for the following reasons: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Isolated Impact:</w:t>
      </w:r>
      <w:r>
        <w:rPr>
          <w:b w:val="0"/>
          <w:i w:val="0"/>
          <w:sz w:val="22"/>
        </w:rPr>
        <w:t xml:space="preserve"> Only affects TDS-enabled payouts; non-TDS payouts have zero latency change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Lightweight Operation:</w:t>
      </w:r>
      <w:r>
        <w:rPr>
          <w:b w:val="0"/>
          <w:i w:val="0"/>
          <w:sz w:val="22"/>
        </w:rPr>
        <w:t xml:space="preserve"> Enrichment is fast (compute + DB insert)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Scalable:</w:t>
      </w:r>
      <w:r>
        <w:rPr>
          <w:b w:val="0"/>
          <w:i w:val="0"/>
          <w:sz w:val="22"/>
        </w:rPr>
        <w:t xml:space="preserve"> Tax-Compliance can be horizontally scaled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One-Stop Solution:</w:t>
      </w:r>
      <w:r>
        <w:rPr>
          <w:b w:val="0"/>
          <w:i w:val="0"/>
          <w:sz w:val="22"/>
        </w:rPr>
        <w:t xml:space="preserve"> Merchants get what they asked for - single API call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Channel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How It Works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Who computes?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Payouts change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Dashboard (UI)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UI calls Payouts with TDS fields → Enrichment hook triggers → Creates payout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Enrichment hook (~20 LOC); calls Tax-Compliance if TDS fields present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CSV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For each row: Call Payouts with TDS fields → Enrichment hook → Creates payout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(direct merchant)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calls Payouts with TDS fields → Enrichment hook → Creates payout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</w:tcPr>
          <w:p/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Storage Decision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Payouts stores: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stores:</w:t>
      </w:r>
      <w:r>
        <w:rPr>
          <w:b w:val="0"/>
          <w:i w:val="0"/>
          <w:sz w:val="22"/>
        </w:rPr>
        <w:t xml:space="preserve"> Payout with net_amount + metadata fields — </w:t>
      </w:r>
      <w:r>
        <w:rPr>
          <w:rFonts w:ascii="Courier New" w:hAnsi="Courier New"/>
          <w:b w:val="0"/>
          <w:i w:val="0"/>
          <w:sz w:val="22"/>
        </w:rPr>
        <w:t>tds_payment_id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tds_rate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category_id</w:t>
      </w:r>
      <w:r>
        <w:rPr>
          <w:b w:val="0"/>
          <w:i w:val="0"/>
          <w:sz w:val="22"/>
        </w:rPr>
        <w:t xml:space="preserve"> (stored in payout metadata/details). No new entity in Payouts.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stores:</w:t>
      </w:r>
      <w:r>
        <w:rPr>
          <w:b w:val="0"/>
          <w:i w:val="0"/>
          <w:sz w:val="22"/>
        </w:rPr>
        <w:t xml:space="preserve"> Full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created </w:t>
      </w:r>
      <w:r>
        <w:rPr>
          <w:b/>
          <w:i w:val="0"/>
          <w:sz w:val="22"/>
        </w:rPr>
        <w:t>synchronously during enrichment</w:t>
      </w:r>
      <w:r>
        <w:rPr>
          <w:b w:val="0"/>
          <w:i w:val="0"/>
          <w:sz w:val="22"/>
        </w:rPr>
        <w:t xml:space="preserve"> with status PENDING. Later updated to SUCCESS/FAILED via payout status events.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>The net payout amount is determined by the enrichment response at creation time, ensuring correct money routing immediately.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Dashboard / Single Payout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2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Bulk CSV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0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3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API Payout Flow (Direct Merchant Integration)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666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6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Changes Required (High-Level)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Changes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Effort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enrichment hook (~20 LOC) before payout creation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Add optional TDS fields to API: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tds_category_id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apply_ldc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Tax-Compliance enrichment endpoint if TDS fields present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Store metadata: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tds_payment_id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tds_amount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tds_rate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Feature flag for gradual rollout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 (~20 LOC)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Build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/internal/tds/enrich</w:t>
            </w:r>
            <w:r>
              <w:rPr>
                <w:b w:val="0"/>
                <w:i w:val="0"/>
                <w:sz w:val="22"/>
              </w:rPr>
              <w:t xml:space="preserve"> endpoint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 TDS, create tds_payments entity (status: PENDING)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Return enriched data: net_amount, tds_amount, rate, tds_payment_id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Build event listener for payout status updates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Update tds_payments entity (PENDING → SUCCESS/FAILED)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Dashboard UI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TDS form fields (category, apply_ldc toggle)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Show TDS breakdown to user before confirmation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Payouts API with TDS fields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CSV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TDS columns to CSV template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Payouts API with TDS fields for each row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Display enriched preview before processing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for merchants (one-stop solution)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Adds 50-100ms latency for TDS payouts only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Minimal Payouts changes (~20 LOC enrichment hook)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 dependency on Tax-Compliance during payout creation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domain leak - Payouts just calls enrichment service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Works for all payout types (Dashboard, Bulk, API)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entity created synchronously (available immediately)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Clean failure handling - fail fast, no partial state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Feature-flagged - can be rolled out gradually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Zero impact on non-TDS payouts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can be horizontally scaled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Backward compatible - all TDS fields optional</w:t>
            </w:r>
          </w:p>
        </w:tc>
        <w:tc>
          <w:tcPr>
            <w:tcW w:type="dxa" w:w="4703"/>
            <w:shd w:val="clear" w:color="auto" w:fill="F8FAFC"/>
          </w:tcPr>
          <w:p/>
        </w:tc>
      </w:tr>
    </w:tbl>
    <w:p/>
    <w:p>
      <w:pPr>
        <w:pBdr>
          <w:bottom w:val="single" w:sz="6" w:color="E2E8F0"/>
        </w:pBdr>
      </w:pPr>
    </w:p>
    <w:p>
      <w:pPr>
        <w:pStyle w:val="Heading3"/>
      </w:pPr>
      <w:r>
        <w:t>Approach 2: TC Gateway (Not Recommended)</w:t>
      </w:r>
    </w:p>
    <w:p>
      <w:r>
        <w:rPr>
          <w:i/>
          <w:sz w:val="20"/>
        </w:rPr>
        <w:t>Not Recommended — Tax-Compliance orchestrates both TDS computation and payout creation; exposes /v2/payouts endpoint</w:t>
      </w: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Tax-Compliance becomes the orchestrator. It exposes a single API endpoint that creates both the TDS Payment entity and the payout.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Preview (UI only):</w:t>
      </w:r>
      <w:r>
        <w:rPr>
          <w:b w:val="0"/>
          <w:i w:val="0"/>
          <w:sz w:val="22"/>
        </w:rPr>
        <w:t xml:space="preserve"> Tax-Compliance (BFF) computes TDS to show breakdown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Single API Call:</w:t>
      </w:r>
      <w:r>
        <w:rPr>
          <w:b w:val="0"/>
          <w:i w:val="0"/>
          <w:sz w:val="22"/>
        </w:rPr>
        <w:t xml:space="preserve"> UI calls Tax-Compliance payout creation API (not Payouts directly)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Orchestration: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Status Sync:</w:t>
      </w:r>
      <w:r>
        <w:rPr>
          <w:b w:val="0"/>
          <w:i w:val="0"/>
          <w:sz w:val="22"/>
        </w:rPr>
        <w:t xml:space="preserve"> Tax-Compliance listens to payout status updates via existing Kafka topic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57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One orchestrated call via Tax-Compliance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Would require new bulk orchestration API in Tax-Compliance; complex error handling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External users call Tax-Compliance instead of Payouts (API surface change)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returns both TDS Payment ID and Payout ID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Reversed S2S call (Tax-Compliance → Payouts adds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TDS Payment entity available synchronously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depends on Payouts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owns all TDS data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Domain leakage - Tax-Compliance must understand payout creation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new Kafka topic needed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Complex orchestration logic in Tax-Compliance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 Payouts changes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Bulk payout support requires significant Tax-Compliance work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When to Consider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approach is viable if having the TDS Payment ID synchronously in the API response is a hard requirement. However, it introduces orchestration complexity and reverses the natural dependency direction (Tax-Compliance calling Payouts).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3"/>
      </w:pPr>
      <w:r>
        <w:t>Approach 3: Pre-Compute Pattern (Not Recommended)</w:t>
      </w:r>
    </w:p>
    <w:p>
      <w:r>
        <w:rPr>
          <w:i/>
          <w:sz w:val="20"/>
        </w:rPr>
        <w:t>Not Recommended — Caller pre-computes TDS via Tax-Compliance first, then calls Payouts separately; two API calls</w:t>
      </w: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The caller (UI/BFF or API merchant) makes TWO separate API calls: first to Tax-Compliance to compute TDS and create the tds_payments entity, then to Payouts to create the payout with the pre-computed net amount.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Compute TDS (First API Call):</w:t>
      </w:r>
      <w:r>
        <w:rPr>
          <w:b w:val="0"/>
          <w:i w:val="0"/>
          <w:sz w:val="22"/>
        </w:rPr>
        <w:t xml:space="preserve"> Caller calls Tax-Compliance API with gross_amount, category_id, contact_id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TDS Entity Created:</w:t>
      </w:r>
      <w:r>
        <w:rPr>
          <w:b w:val="0"/>
          <w:i w:val="0"/>
          <w:sz w:val="22"/>
        </w:rPr>
        <w:t xml:space="preserve"> Tax-Compliance computes TDS, creates tds_payments entity (status: PENDING), returns tds_payment_id, tds_amount, net_amount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Create Payout (Second API Call):</w:t>
      </w:r>
      <w:r>
        <w:rPr>
          <w:b w:val="0"/>
          <w:i w:val="0"/>
          <w:sz w:val="22"/>
        </w:rPr>
        <w:t xml:space="preserve"> Caller calls Payouts API with net_amount and tds_payment_id in metadata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 Creation:</w:t>
      </w:r>
      <w:r>
        <w:rPr>
          <w:b w:val="0"/>
          <w:i w:val="0"/>
          <w:sz w:val="22"/>
        </w:rPr>
        <w:t xml:space="preserve"> Payouts creates payout with net_amount (no S2S call, no amount mutation)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TDS Update:</w:t>
      </w:r>
      <w:r>
        <w:rPr>
          <w:b w:val="0"/>
          <w:i w:val="0"/>
          <w:sz w:val="22"/>
        </w:rPr>
        <w:t xml:space="preserve"> When payout reaches terminal state, Tax-Compliance updates tds_payments entity status via payout status events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362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62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Two API calls required (TDS compute + payout creation); acceptable for single payouts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Must compute TDS for all rows first, then create payouts; complex workflow with intermediate state management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merchants must make two sequential API calls; breaks one-stop solution requirement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S2S coupling between Payouts and Tax-Compliance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TWO API calls required for merchants (breaks one-stop solution)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amount mutation in Payouts (caller sends net amount directly)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Complex workflow for bulk payouts (compute all TDS first, then create payouts)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entity created synchronously in first call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Poor UX for API merchants (must orchestrate two sequential calls)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Clean separation of concerns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Intermediate state management required (tds_payments in PENDING between calls)</w:t>
            </w:r>
          </w:p>
        </w:tc>
      </w:tr>
      <w:tr>
        <w:tc>
          <w:tcPr>
            <w:tcW w:type="dxa" w:w="4703"/>
            <w:shd w:val="clear" w:color="auto" w:fill="FFFFFF"/>
          </w:tcPr>
          <w:p/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Caller must handle failures in either API call and cleanup orphaned entities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Why Not Recommended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approach introduces significant technical debt: latency overhead, service coupling, domain leakage, and risky amount mutation. The synchronous S2S call in the critical path makes payouts dependent on Tax-Compliance availability.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3"/>
      </w:pPr>
      <w:r>
        <w:t>Comparison of All Three Approaches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Criteria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1: Enrichment Hook ✓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2: TC Gateway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3: Pre-Compute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Merchant API calls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1 call (Payouts)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 call (Tax-Compliance)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2 calls (Tax then Payouts)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S2S call in payout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(Payouts→Tax, optional)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(Tax→Payouts)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Latency added to payout API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 (TDS payouts only)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0ms (but 2 API calls)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Service coupling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 (enrichment only)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Tight (reversed)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Loose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code changes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~20 LOC hook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 (fields only)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Domain separation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Clean (no TDS logic)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 owns payout orchestration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Clean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One-stop solution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YES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Wrong API endpoint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(2 calls)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 entity created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Synchronously (enrichment)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Synchronously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Synchronously (first call)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Bulk payouts support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Simple (same flow)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Very complex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Simple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Testing complexity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 (mock Tax-Compliance)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High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Risk to 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 (isolated hook)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API version change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 (optional fields)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(new endpoint)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 Payment ID in response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Yes (in payout response)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(in payout response)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(but in first call, not payout response)</w:t>
            </w:r>
          </w:p>
        </w:tc>
      </w:tr>
    </w:tbl>
    <w:p/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Final Decision: Approach 1 — Enrichment Hook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Approach 1 is selected for all channels</w:t>
      </w:r>
      <w:r>
        <w:rPr>
          <w:b w:val="0"/>
          <w:i w:val="0"/>
          <w:sz w:val="22"/>
        </w:rPr>
        <w:t xml:space="preserve"> (Dashboard, Bulk CSV, API). It provides a </w:t>
      </w:r>
      <w:r>
        <w:rPr>
          <w:b/>
          <w:i w:val="0"/>
          <w:sz w:val="22"/>
        </w:rPr>
        <w:t>one-stop solution</w:t>
      </w:r>
      <w:r>
        <w:rPr>
          <w:b w:val="0"/>
          <w:i w:val="0"/>
          <w:sz w:val="22"/>
        </w:rPr>
        <w:t xml:space="preserve"> where merchants make a single API call to Payouts with optional TDS fields. Payouts makes a lightweight enrichment call (~50-100ms) to Tax-Compliance if TDS fields are present. This adds minimal code to Payouts (~20 LOC), maintains clean domain separation (Payouts doesn't own TDS logic), and works uniformly across all payout types. The TDS Payment entity is created synchronously and available immediately in the response.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Trade-offs accepted:</w:t>
      </w:r>
      <w:r>
        <w:rPr>
          <w:b w:val="0"/>
          <w:i w:val="0"/>
          <w:sz w:val="22"/>
        </w:rPr>
        <w:t xml:space="preserve"> +50-100ms latency for TDS payouts only (zero impact on non-TDS payouts); sync dependency on Tax-Compliance during payout creation (mitigated via timeouts, circuit breakers, and horizontal scaling).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See </w:t>
      </w:r>
      <w:hyperlink r:id="rId17">
        <w:r>
          <w:rPr>
            <w:color w:val="1A73E8"/>
            <w:u w:val="single"/>
            <w:sz w:val="22"/>
            <w:szCs w:val="22"/>
          </w:rPr>
          <w:t>Section 8</w:t>
        </w:r>
      </w:hyperlink>
      <w:r>
        <w:rPr>
          <w:b w:val="0"/>
          <w:i w:val="0"/>
          <w:sz w:val="22"/>
        </w:rPr>
        <w:t xml:space="preserve"> for full implementation specification.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2"/>
      </w:pPr>
      <w:r>
        <w:t>8.2 Assumptions</w:t>
      </w:r>
    </w:p>
    <w:p>
      <w:pPr>
        <w:pStyle w:val="ListBullet"/>
      </w:pPr>
      <w:r>
        <w:rPr>
          <w:b w:val="0"/>
          <w:i w:val="0"/>
          <w:sz w:val="22"/>
        </w:rPr>
        <w:t xml:space="preserve">Tax-Compliance will expose an internal </w:t>
      </w:r>
      <w:r>
        <w:rPr>
          <w:rFonts w:ascii="Courier New" w:hAnsi="Courier New"/>
          <w:b w:val="0"/>
          <w:i w:val="0"/>
          <w:sz w:val="22"/>
        </w:rPr>
        <w:t>/internal/tds/enrich</w:t>
      </w:r>
      <w:r>
        <w:rPr>
          <w:b w:val="0"/>
          <w:i w:val="0"/>
          <w:sz w:val="22"/>
        </w:rPr>
        <w:t xml:space="preserve"> endpoint for Payouts to call</w:t>
      </w:r>
    </w:p>
    <w:p>
      <w:pPr>
        <w:pStyle w:val="ListBullet"/>
      </w:pPr>
      <w:r>
        <w:rPr>
          <w:b w:val="0"/>
          <w:i w:val="0"/>
          <w:sz w:val="22"/>
        </w:rPr>
        <w:t>Enrichment call latency is acceptable (~50-100ms) for TDS payouts</w:t>
      </w:r>
    </w:p>
    <w:p>
      <w:pPr>
        <w:pStyle w:val="ListBullet"/>
      </w:pPr>
      <w:r>
        <w:rPr>
          <w:b w:val="0"/>
          <w:i w:val="0"/>
          <w:sz w:val="22"/>
        </w:rPr>
        <w:t>Tax-Compliance can be horizontally scaled to handle enrichment load</w:t>
      </w:r>
    </w:p>
    <w:p>
      <w:pPr>
        <w:pStyle w:val="ListBullet"/>
      </w:pPr>
      <w:r>
        <w:rPr>
          <w:b w:val="0"/>
          <w:i w:val="0"/>
          <w:sz w:val="22"/>
        </w:rPr>
        <w:t xml:space="preserve">Payouts API version stays at </w:t>
      </w:r>
      <w:r>
        <w:rPr>
          <w:rFonts w:ascii="Courier New" w:hAnsi="Courier New"/>
          <w:b w:val="0"/>
          <w:i w:val="0"/>
          <w:sz w:val="22"/>
        </w:rPr>
        <w:t>/v1/payouts</w:t>
      </w:r>
      <w:r>
        <w:rPr>
          <w:b w:val="0"/>
          <w:i w:val="0"/>
          <w:sz w:val="22"/>
        </w:rPr>
        <w:t xml:space="preserve"> — all TDS fields (</w:t>
      </w:r>
      <w:r>
        <w:rPr>
          <w:rFonts w:ascii="Courier New" w:hAnsi="Courier New"/>
          <w:b w:val="0"/>
          <w:i w:val="0"/>
          <w:sz w:val="22"/>
        </w:rPr>
        <w:t>tds_category_id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apply_ldc</w:t>
      </w:r>
      <w:r>
        <w:rPr>
          <w:b w:val="0"/>
          <w:i w:val="0"/>
          <w:sz w:val="22"/>
        </w:rPr>
        <w:t>) are optional extensions</w:t>
      </w:r>
    </w:p>
    <w:p>
      <w:pPr>
        <w:pStyle w:val="ListBullet"/>
      </w:pPr>
      <w:r>
        <w:rPr>
          <w:b w:val="0"/>
          <w:i w:val="0"/>
          <w:sz w:val="22"/>
        </w:rPr>
        <w:t>Enrichment hook is feature-flagged and can be rolled out gradually</w:t>
      </w:r>
    </w:p>
    <w:p>
      <w:pPr>
        <w:pStyle w:val="ListBullet"/>
      </w:pPr>
      <w:r>
        <w:rPr>
          <w:b w:val="0"/>
          <w:i w:val="0"/>
          <w:sz w:val="22"/>
        </w:rPr>
        <w:t>Tax-Compliance event listener is idempotent — safe to retry on failure</w:t>
      </w:r>
    </w:p>
    <w:p>
      <w:pPr>
        <w:pStyle w:val="ListBullet"/>
      </w:pPr>
      <w:r>
        <w:rPr>
          <w:b w:val="0"/>
          <w:i w:val="0"/>
          <w:sz w:val="22"/>
        </w:rPr>
        <w:t>Timeouts and circuit breakers will be implemented to handle Tax-Compliance failures gracefully</w:t>
      </w:r>
    </w:p>
    <w:p>
      <w:pPr>
        <w:pStyle w:val="Heading2"/>
      </w:pPr>
      <w:r>
        <w:t>8.5 Data Model / Schema Changes</w:t>
      </w:r>
    </w:p>
    <w:p>
      <w:pPr>
        <w:pStyle w:val="Heading3"/>
      </w:pPr>
      <w:r>
        <w:t>Payouts — New Fields (Low Blast Radius)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Storage Split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stores:</w:t>
      </w:r>
      <w:r>
        <w:rPr>
          <w:b w:val="0"/>
          <w:i w:val="0"/>
          <w:sz w:val="22"/>
        </w:rPr>
        <w:t xml:space="preserve"> Primitive fields only —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tds_rate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tds_category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payee_pan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source</w:t>
      </w:r>
      <w:r>
        <w:rPr>
          <w:b w:val="0"/>
          <w:i w:val="0"/>
          <w:sz w:val="22"/>
        </w:rPr>
        <w:t xml:space="preserve"> added to </w:t>
      </w:r>
      <w:r>
        <w:rPr>
          <w:rFonts w:ascii="Courier New" w:hAnsi="Courier New"/>
          <w:b w:val="0"/>
          <w:i w:val="0"/>
          <w:sz w:val="22"/>
        </w:rPr>
        <w:t>payout_details</w:t>
      </w:r>
      <w:r>
        <w:rPr>
          <w:b w:val="0"/>
          <w:i w:val="0"/>
          <w:sz w:val="22"/>
        </w:rPr>
        <w:t xml:space="preserve"> JSON. No new entity, no Tax-Compliance call at creation time.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stores:</w:t>
      </w:r>
      <w:r>
        <w:rPr>
          <w:b w:val="0"/>
          <w:i w:val="0"/>
          <w:sz w:val="22"/>
        </w:rPr>
        <w:t xml:space="preserve"> Full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asynchronously from the Kafka event after payout completion. All audit fields carried in the Kafka message.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Type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Owner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tds.source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"bb_plus" — Kafka routing indicator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tds.gross_amount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int64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Original gross amount before TDS deduction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tds.amount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float64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(existing)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deduction amount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tds.breakdown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JSON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Full breakdown from compute response (basic tax, surcharge, cess, rate)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tds_payments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entity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Full TDS record for government filing (PAN, amounts, category, payout ref)</w:t>
            </w:r>
          </w:p>
        </w:tc>
      </w:tr>
    </w:tbl>
    <w:p/>
    <w:p>
      <w:pPr>
        <w:pStyle w:val="Heading3"/>
      </w:pPr>
      <w:r>
        <w:t>Kafka Topic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Topic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Publisher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Consumer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When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(new)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BB+ payout reaches terminal state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add-tds-entry</w:t>
            </w:r>
            <w:r>
              <w:rPr>
                <w:b w:val="0"/>
                <w:i w:val="0"/>
                <w:sz w:val="22"/>
              </w:rPr>
              <w:t xml:space="preserve"> (existing)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Non-BB+ TDS payout (unchanged)</w:t>
            </w:r>
          </w:p>
        </w:tc>
      </w:tr>
    </w:tbl>
    <w:p/>
    <w:p>
      <w:pPr>
        <w:pStyle w:val="Heading2"/>
      </w:pPr>
      <w:r>
        <w:t>8.6 Business Logic Changes</w:t>
      </w:r>
    </w:p>
    <w:p>
      <w:pPr>
        <w:pStyle w:val="Heading3"/>
      </w:pPr>
      <w:r>
        <w:t>8.6.1 Payouts Service — Enrichment Hook Logic</w:t>
      </w:r>
    </w:p>
    <w:p>
      <w:r>
        <w:rPr>
          <w:b w:val="0"/>
          <w:i w:val="0"/>
          <w:sz w:val="22"/>
        </w:rPr>
        <w:t xml:space="preserve">The key business logic change in Payouts is the </w:t>
      </w:r>
      <w:r>
        <w:rPr>
          <w:b/>
          <w:i w:val="0"/>
          <w:sz w:val="22"/>
        </w:rPr>
        <w:t>enrichment hook</w:t>
      </w:r>
      <w:r>
        <w:rPr>
          <w:b w:val="0"/>
          <w:i w:val="0"/>
          <w:sz w:val="22"/>
        </w:rPr>
        <w:t xml:space="preserve"> that calls Tax-Compliance when TDS fields are present in the payout request. This is implemented as a lightweight, optional hook (~20 LOC) that runs BEFORE payout creation.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Enrichment Flow in Payout Creation Handler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Check for TDS fields:</w:t>
      </w:r>
      <w:r>
        <w:rPr>
          <w:b w:val="0"/>
          <w:i w:val="0"/>
          <w:sz w:val="22"/>
        </w:rPr>
        <w:t xml:space="preserve"> If request contains </w:t>
      </w:r>
      <w:r>
        <w:rPr>
          <w:rFonts w:ascii="Courier New" w:hAnsi="Courier New"/>
          <w:b w:val="0"/>
          <w:i w:val="0"/>
          <w:sz w:val="22"/>
        </w:rPr>
        <w:t>tds_category_id</w:t>
      </w:r>
      <w:r>
        <w:rPr>
          <w:b w:val="0"/>
          <w:i w:val="0"/>
          <w:sz w:val="22"/>
        </w:rPr>
        <w:t xml:space="preserve"> and </w:t>
      </w:r>
      <w:r>
        <w:rPr>
          <w:rFonts w:ascii="Courier New" w:hAnsi="Courier New"/>
          <w:b w:val="0"/>
          <w:i w:val="0"/>
          <w:sz w:val="22"/>
        </w:rPr>
        <w:t>amount</w:t>
      </w:r>
      <w:r>
        <w:rPr>
          <w:b w:val="0"/>
          <w:i w:val="0"/>
          <w:sz w:val="22"/>
        </w:rPr>
        <w:t>, trigger enrichment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Call Tax-Compliance:</w:t>
      </w:r>
      <w:r>
        <w:rPr>
          <w:b w:val="0"/>
          <w:i w:val="0"/>
          <w:sz w:val="22"/>
        </w:rPr>
        <w:t xml:space="preserve"> Sync HTTP call to </w:t>
      </w:r>
      <w:r>
        <w:rPr>
          <w:rFonts w:ascii="Courier New" w:hAnsi="Courier New"/>
          <w:b w:val="0"/>
          <w:i w:val="0"/>
          <w:sz w:val="22"/>
        </w:rPr>
        <w:t>/internal/tds/enrich</w:t>
      </w:r>
      <w:r>
        <w:rPr>
          <w:b w:val="0"/>
          <w:i w:val="0"/>
          <w:sz w:val="22"/>
        </w:rPr>
        <w:t xml:space="preserve"> with contact_id, gross_amount, category_id, apply_ldc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Receive enriched data:</w:t>
      </w:r>
      <w:r>
        <w:rPr>
          <w:b w:val="0"/>
          <w:i w:val="0"/>
          <w:sz w:val="22"/>
        </w:rPr>
        <w:t xml:space="preserve"> Tax-Compliance returns {net_amount, tds_amount, rate, tds_payment_id}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Create payout:</w:t>
      </w:r>
      <w:r>
        <w:rPr>
          <w:b w:val="0"/>
          <w:i w:val="0"/>
          <w:sz w:val="22"/>
        </w:rPr>
        <w:t xml:space="preserve"> Use enriched net_amount as the payout amount; store TDS metadata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Emit events:</w:t>
      </w:r>
      <w:r>
        <w:rPr>
          <w:b w:val="0"/>
          <w:i w:val="0"/>
          <w:sz w:val="22"/>
        </w:rPr>
        <w:t xml:space="preserve"> Standard payout status events (Tax-Compliance listens and updates tds_payments entity)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Change Area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What Changes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 API handler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 enrichment hook: if TDS fields present, call Tax-Compliance /internal/tds/enrich before creating payout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~20 LOC hook; optional (only runs if TDS fields present)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TDSDetails struct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Add fields: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tds_payment_id</w:t>
            </w:r>
            <w:r>
              <w:rPr>
                <w:b w:val="0"/>
                <w:i w:val="0"/>
                <w:sz w:val="22"/>
              </w:rPr>
              <w:t xml:space="preserve"> (string),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tds_amount</w:t>
            </w:r>
            <w:r>
              <w:rPr>
                <w:b w:val="0"/>
                <w:i w:val="0"/>
                <w:sz w:val="22"/>
              </w:rPr>
              <w:t xml:space="preserve"> (int64),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rate</w:t>
            </w:r>
            <w:r>
              <w:rPr>
                <w:b w:val="0"/>
                <w:i w:val="0"/>
                <w:sz w:val="22"/>
              </w:rPr>
              <w:t xml:space="preserve"> (float),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category_id</w:t>
            </w:r>
            <w:r>
              <w:rPr>
                <w:b w:val="0"/>
                <w:i w:val="0"/>
                <w:sz w:val="22"/>
              </w:rPr>
              <w:t xml:space="preserve"> (string)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Additive — no existing code affected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 creation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Use enriched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net_amount</w:t>
            </w:r>
            <w:r>
              <w:rPr>
                <w:b w:val="0"/>
                <w:i w:val="0"/>
                <w:sz w:val="22"/>
              </w:rPr>
              <w:t xml:space="preserve"> from Tax-Compliance response; store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tds_payment_id</w:t>
            </w:r>
            <w:r>
              <w:rPr>
                <w:b w:val="0"/>
                <w:i w:val="0"/>
                <w:sz w:val="22"/>
              </w:rPr>
              <w:t xml:space="preserve"> in metadata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amount mutation in Payouts — Tax-Compliance computes and returns net amount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Event emission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payout status events carry TDS metadata (tds_payment_id, tds_amount) for Tax-Compliance listener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new events or topics; reuses existing event infrastructure</w:t>
            </w:r>
          </w:p>
        </w:tc>
      </w:tr>
    </w:tbl>
    <w:p/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What Payouts DOES in Enrichment Hook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</w:t>
      </w:r>
      <w:r>
        <w:rPr>
          <w:b/>
          <w:i w:val="0"/>
          <w:sz w:val="22"/>
        </w:rPr>
        <w:t>calls Tax-Compliance /internal/tds/enrich</w:t>
      </w:r>
      <w:r>
        <w:rPr>
          <w:b w:val="0"/>
          <w:i w:val="0"/>
          <w:sz w:val="22"/>
        </w:rPr>
        <w:t xml:space="preserve"> synchronously (~50-100ms) if TDS fields present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</w:t>
      </w:r>
      <w:r>
        <w:rPr>
          <w:b/>
          <w:i w:val="0"/>
          <w:sz w:val="22"/>
        </w:rPr>
        <w:t>uses enriched net_amount</w:t>
      </w:r>
      <w:r>
        <w:rPr>
          <w:b w:val="0"/>
          <w:i w:val="0"/>
          <w:sz w:val="22"/>
        </w:rPr>
        <w:t xml:space="preserve"> from Tax-Compliance for payout creation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</w:t>
      </w:r>
      <w:r>
        <w:rPr>
          <w:b/>
          <w:i w:val="0"/>
          <w:sz w:val="22"/>
        </w:rPr>
        <w:t>stores TDS metadata</w:t>
      </w:r>
      <w:r>
        <w:rPr>
          <w:b w:val="0"/>
          <w:i w:val="0"/>
          <w:sz w:val="22"/>
        </w:rPr>
        <w:t xml:space="preserve"> (tds_payment_id, tds_amount, rate) in payout_details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</w:t>
      </w:r>
      <w:r>
        <w:rPr>
          <w:b/>
          <w:i w:val="0"/>
          <w:sz w:val="22"/>
        </w:rPr>
        <w:t>emits standard status events</w:t>
      </w:r>
      <w:r>
        <w:rPr>
          <w:b w:val="0"/>
          <w:i w:val="0"/>
          <w:sz w:val="22"/>
        </w:rPr>
        <w:t xml:space="preserve"> that Tax-Compliance consumes to update tds_payments entity</w:t>
      </w:r>
    </w:p>
    <w:p>
      <w:pPr>
        <w:spacing w:before="0" w:after="80"/>
      </w:pPr>
    </w:p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What Payouts Does NOT Do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compute TDS — Tax-Compliance handles all computation logic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validate TDS category rules — Tax-Compliance validates and returns errors if invalid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create tds_payments entity — Tax-Compliance creates it during enrichment call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have domain knowledge of TDS — zero domain leak; Payouts is a thin orchestrator</w:t>
      </w:r>
    </w:p>
    <w:p>
      <w:pPr>
        <w:spacing w:before="0" w:after="80"/>
      </w:pPr>
    </w:p>
    <w:p>
      <w:pPr>
        <w:pStyle w:val="Heading2"/>
      </w:pPr>
      <w:r>
        <w:t>8.6.2 Final Recommendation Summary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RECOMMENDED: Approach 1 — Enrichment Hook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Approach 1 is the recommended solution for all payout types (Single, Bulk, API).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One-stop solution:</w:t>
      </w:r>
      <w:r>
        <w:rPr>
          <w:b w:val="0"/>
          <w:i w:val="0"/>
          <w:sz w:val="22"/>
        </w:rPr>
        <w:t xml:space="preserve"> Merchants make single API call to Payouts; enrichment happens internally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Minimal Payouts changes:</w:t>
      </w:r>
      <w:r>
        <w:rPr>
          <w:b w:val="0"/>
          <w:i w:val="0"/>
          <w:sz w:val="22"/>
        </w:rPr>
        <w:t xml:space="preserve"> ~20 LOC enrichment hook; feature-flagged; isolated code path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Clean domain separation:</w:t>
      </w:r>
      <w:r>
        <w:rPr>
          <w:b w:val="0"/>
          <w:i w:val="0"/>
          <w:sz w:val="22"/>
        </w:rPr>
        <w:t xml:space="preserve"> Payouts doesn't own TDS logic; just calls enrichment service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Works for all payout types:</w:t>
      </w:r>
      <w:r>
        <w:rPr>
          <w:b w:val="0"/>
          <w:i w:val="0"/>
          <w:sz w:val="22"/>
        </w:rPr>
        <w:t xml:space="preserve"> Dashboard, Bulk, API - unified approach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TDS entity available immediately:</w:t>
      </w:r>
      <w:r>
        <w:rPr>
          <w:b w:val="0"/>
          <w:i w:val="0"/>
          <w:sz w:val="22"/>
        </w:rPr>
        <w:t xml:space="preserve"> Created synchronously during enrichment; returned in response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Clean failure handling:</w:t>
      </w:r>
      <w:r>
        <w:rPr>
          <w:b w:val="0"/>
          <w:i w:val="0"/>
          <w:sz w:val="22"/>
        </w:rPr>
        <w:t xml:space="preserve"> Fail fast if enrichment fails; no partial state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Low risk:</w:t>
      </w:r>
      <w:r>
        <w:rPr>
          <w:b w:val="0"/>
          <w:i w:val="0"/>
          <w:sz w:val="22"/>
        </w:rPr>
        <w:t xml:space="preserve"> Feature-flagged; zero impact on non-TDS payouts; can be rolled out gradually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Scalable:</w:t>
      </w:r>
      <w:r>
        <w:rPr>
          <w:b w:val="0"/>
          <w:i w:val="0"/>
          <w:sz w:val="22"/>
        </w:rPr>
        <w:t xml:space="preserve"> Tax-Compliance enrichment is lightweight and can be horizontally scaled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Backward compatible:</w:t>
      </w:r>
      <w:r>
        <w:rPr>
          <w:b w:val="0"/>
          <w:i w:val="0"/>
          <w:sz w:val="22"/>
        </w:rPr>
        <w:t xml:space="preserve"> All TDS fields are optional; no API version change needed</w:t>
      </w:r>
    </w:p>
    <w:p>
      <w:pPr>
        <w:spacing w:before="0" w:after="80"/>
      </w:pPr>
    </w:p>
    <w:p>
      <w:pPr>
        <w:pStyle w:val="Heading3"/>
      </w:pPr>
      <w:r>
        <w:t>8.6.3 Trade-offs Accepted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Trade-off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Mitigation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 latency for TDS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Isolated to TDS payouts only; zero impact on non-TDS payouts; Tax-Compliance enrichment is lightweight (compute + DB insert)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 dependency on Tax-Compliance during payout creation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Timeouts (~2s), circuit breakers, retry logic; Tax-Compliance horizontally scalable; fail-fast if unavailable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Enrichment call adds S2S integration to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Isolated behind feature flag; can be disabled; only ~20 LOC; does not affect core payout logic</w:t>
            </w:r>
          </w:p>
        </w:tc>
      </w:tr>
    </w:tbl>
    <w:p/>
    <w:p>
      <w:pPr>
        <w:pStyle w:val="Heading2"/>
      </w:pPr>
      <w:r>
        <w:t>8.7 Miscellaneous Questions</w:t>
      </w:r>
    </w:p>
    <w:p>
      <w:pPr>
        <w:pStyle w:val="ListBullet"/>
      </w:pPr>
      <w:r>
        <w:rPr>
          <w:b/>
          <w:i w:val="0"/>
          <w:sz w:val="22"/>
        </w:rPr>
        <w:t>What if Tax-Compliance enrichment API is down?</w:t>
      </w:r>
      <w:r>
        <w:rPr>
          <w:b w:val="0"/>
          <w:i w:val="0"/>
          <w:sz w:val="22"/>
        </w:rPr>
        <w:t xml:space="preserve"> — Payout creation fails immediately with clear error message. No partial state created. Non-TDS payouts continue to work normally.</w:t>
      </w:r>
    </w:p>
    <w:p>
      <w:pPr>
        <w:pStyle w:val="ListBullet"/>
      </w:pPr>
      <w:r>
        <w:rPr>
          <w:b/>
          <w:i w:val="0"/>
          <w:sz w:val="22"/>
        </w:rPr>
        <w:t>What if enrichment call times out?</w:t>
      </w:r>
      <w:r>
        <w:rPr>
          <w:b w:val="0"/>
          <w:i w:val="0"/>
          <w:sz w:val="22"/>
        </w:rPr>
        <w:t xml:space="preserve"> — Payout creation fails after timeout (~2s). Circuit breaker opens after repeated failures to prevent cascading issues. Merchants retry when Tax-Compliance is back.</w:t>
      </w:r>
    </w:p>
    <w:p>
      <w:pPr>
        <w:pStyle w:val="ListBullet"/>
      </w:pPr>
      <w:r>
        <w:rPr>
          <w:b/>
          <w:i w:val="0"/>
          <w:sz w:val="22"/>
        </w:rPr>
        <w:t>What if payout creation fails after enrichment?</w:t>
      </w:r>
      <w:r>
        <w:rPr>
          <w:b w:val="0"/>
          <w:i w:val="0"/>
          <w:sz w:val="22"/>
        </w:rPr>
        <w:t xml:space="preserve"> — tds_payments entity remains in PENDING state. Tax-Compliance cleanup job can mark orphaned PENDING records as FAILED after timeout period.</w:t>
      </w:r>
    </w:p>
    <w:p>
      <w:pPr>
        <w:pStyle w:val="ListBullet"/>
      </w:pPr>
      <w:r>
        <w:rPr>
          <w:b/>
          <w:i w:val="0"/>
          <w:sz w:val="22"/>
        </w:rPr>
        <w:t>What if payout status event is lost?</w:t>
      </w:r>
      <w:r>
        <w:rPr>
          <w:b w:val="0"/>
          <w:i w:val="0"/>
          <w:sz w:val="22"/>
        </w:rPr>
        <w:t xml:space="preserve"> — Eventual consistency: Tax-Compliance can poll Payouts API for payout status and update tds_payments entity accordingly. Daily reconciliation job detects and fixes gaps.</w:t>
      </w:r>
    </w:p>
    <w:p>
      <w:pPr>
        <w:pStyle w:val="ListBullet"/>
      </w:pPr>
      <w:r>
        <w:rPr>
          <w:b/>
          <w:i w:val="0"/>
          <w:sz w:val="22"/>
        </w:rPr>
        <w:t>How do we monitor enrichment health?</w:t>
      </w:r>
      <w:r>
        <w:rPr>
          <w:b w:val="0"/>
          <w:i w:val="0"/>
          <w:sz w:val="22"/>
        </w:rPr>
        <w:t xml:space="preserve"> — Track enrichment call latency, failure rate, and timeout rate. Alert if p95 latency &gt; 150ms or failure rate &gt; 1%.</w:t>
      </w:r>
    </w:p>
    <w:p>
      <w:pPr>
        <w:pStyle w:val="ListBullet"/>
      </w:pPr>
      <w:r>
        <w:rPr>
          <w:b/>
          <w:i w:val="0"/>
          <w:sz w:val="22"/>
        </w:rPr>
        <w:t>Does Payouts validate the pre-computed tds_amount?</w:t>
      </w:r>
      <w:r>
        <w:rPr>
          <w:b w:val="0"/>
          <w:i w:val="0"/>
          <w:sz w:val="22"/>
        </w:rPr>
        <w:t xml:space="preserve"> — No. Payouts trusts the caller (Tax-Compliance BFF or API merchant). Validation is the caller's responsibility.</w:t>
      </w:r>
    </w:p>
    <w:p>
      <w:pPr>
        <w:pStyle w:val="Heading3"/>
      </w:pPr>
      <w:r>
        <w:t>13.1 Production Rollout and Ramp Plan</w:t>
      </w:r>
    </w:p>
    <w:p>
      <w:pPr>
        <w:pStyle w:val="ListNumber"/>
      </w:pPr>
      <w:r>
        <w:rPr>
          <w:b/>
          <w:i w:val="0"/>
          <w:sz w:val="22"/>
        </w:rPr>
        <w:t>Phase 1:</w:t>
      </w:r>
      <w:r>
        <w:rPr>
          <w:b w:val="0"/>
          <w:i w:val="0"/>
          <w:sz w:val="22"/>
        </w:rPr>
        <w:t xml:space="preserve"> Payouts service changes (fields + topic routing) - </w:t>
      </w:r>
      <w:r>
        <w:rPr>
          <w:b w:val="0"/>
          <w:i/>
          <w:sz w:val="22"/>
        </w:rPr>
        <w:t>Low risk, high value</w:t>
      </w:r>
    </w:p>
    <w:p>
      <w:pPr>
        <w:pStyle w:val="ListNumber"/>
      </w:pPr>
      <w:r>
        <w:rPr>
          <w:b/>
          <w:i w:val="0"/>
          <w:sz w:val="22"/>
        </w:rPr>
        <w:t>Phase 2:</w:t>
      </w:r>
      <w:r>
        <w:rPr>
          <w:b w:val="0"/>
          <w:i w:val="0"/>
          <w:sz w:val="22"/>
        </w:rPr>
        <w:t xml:space="preserve"> Tax-Compliance compute API + Kafka consumer - </w:t>
      </w:r>
      <w:r>
        <w:rPr>
          <w:b w:val="0"/>
          <w:i/>
          <w:sz w:val="22"/>
        </w:rPr>
        <w:t>Independent of Payouts</w:t>
      </w:r>
    </w:p>
    <w:p>
      <w:pPr>
        <w:pStyle w:val="ListNumber"/>
      </w:pPr>
      <w:r>
        <w:rPr>
          <w:b/>
          <w:i w:val="0"/>
          <w:sz w:val="22"/>
        </w:rPr>
        <w:t>Phase 3:</w:t>
      </w:r>
      <w:r>
        <w:rPr>
          <w:b w:val="0"/>
          <w:i w:val="0"/>
          <w:sz w:val="22"/>
        </w:rPr>
        <w:t xml:space="preserve"> Tax-Compliance UI flow (single payout) - </w:t>
      </w:r>
      <w:r>
        <w:rPr>
          <w:b w:val="0"/>
          <w:i/>
          <w:sz w:val="22"/>
        </w:rPr>
        <w:t>First user-facing feature</w:t>
      </w:r>
    </w:p>
    <w:p>
      <w:pPr>
        <w:pStyle w:val="ListNumber"/>
      </w:pPr>
      <w:r>
        <w:rPr>
          <w:b/>
          <w:i w:val="0"/>
          <w:sz w:val="22"/>
        </w:rPr>
        <w:t>Phase 4:</w:t>
      </w:r>
      <w:r>
        <w:rPr>
          <w:b w:val="0"/>
          <w:i w:val="0"/>
          <w:sz w:val="22"/>
        </w:rPr>
        <w:t xml:space="preserve"> Bulk payout CSV integration - </w:t>
      </w:r>
      <w:r>
        <w:rPr>
          <w:b w:val="0"/>
          <w:i/>
          <w:sz w:val="22"/>
        </w:rPr>
        <w:t>Reuses all prior work</w:t>
      </w:r>
    </w:p>
    <w:p>
      <w:pPr>
        <w:pStyle w:val="ListNumber"/>
      </w:pPr>
      <w:r>
        <w:rPr>
          <w:b/>
          <w:i w:val="0"/>
          <w:sz w:val="22"/>
        </w:rPr>
        <w:t>Phase 5:</w:t>
      </w:r>
      <w:r>
        <w:rPr>
          <w:b w:val="0"/>
          <w:i w:val="0"/>
          <w:sz w:val="22"/>
        </w:rPr>
        <w:t xml:space="preserve"> API documentation for external integrations - </w:t>
      </w:r>
      <w:r>
        <w:rPr>
          <w:b w:val="0"/>
          <w:i/>
          <w:sz w:val="22"/>
        </w:rPr>
        <w:t>Completes all channels</w:t>
      </w:r>
    </w:p>
    <w:p>
      <w:pPr>
        <w:pBdr>
          <w:bottom w:val="single" w:sz="6" w:color="E2E8F0"/>
        </w:pBdr>
      </w:pPr>
    </w:p>
    <w:p>
      <w:pPr>
        <w:pBdr>
          <w:bottom w:val="single" w:sz="6" w:color="E2E8F0"/>
        </w:pBdr>
      </w:pPr>
    </w:p>
    <w:p>
      <w:pPr>
        <w:pStyle w:val="Heading2"/>
      </w:pPr>
      <w:r>
        <w:t>9. Non-Functional Requirements (NFRs)</w:t>
      </w:r>
    </w:p>
    <w:p>
      <w:pPr>
        <w:pStyle w:val="Heading3"/>
      </w:pPr>
      <w:r>
        <w:t>9.1 Scalability</w:t>
      </w:r>
    </w:p>
    <w:p>
      <w:pPr>
        <w:pStyle w:val="ListBullet"/>
      </w:pPr>
      <w:r>
        <w:rPr>
          <w:b w:val="0"/>
          <w:i w:val="0"/>
          <w:sz w:val="22"/>
        </w:rPr>
        <w:t>Single Payouts: no degradation to existing throughput — Payouts change is additive (new fields only)</w:t>
      </w:r>
    </w:p>
    <w:p>
      <w:pPr>
        <w:pStyle w:val="ListBullet"/>
      </w:pPr>
      <w:r>
        <w:rPr>
          <w:b w:val="0"/>
          <w:i w:val="0"/>
          <w:sz w:val="22"/>
        </w:rPr>
        <w:t>Bulk Payouts: support up to 10,000 rows per CSV file; Tax-Compliance computes TDS per row before any payout is created</w:t>
      </w:r>
    </w:p>
    <w:p>
      <w:pPr>
        <w:pStyle w:val="ListBullet"/>
      </w:pPr>
      <w:r>
        <w:rPr>
          <w:b w:val="0"/>
          <w:i w:val="0"/>
          <w:sz w:val="22"/>
        </w:rPr>
        <w:t>Tax-Compliance compute API: must handle peak load during bulk processing concurrently</w:t>
      </w:r>
    </w:p>
    <w:p>
      <w:pPr>
        <w:pStyle w:val="Heading3"/>
      </w:pPr>
      <w:r>
        <w:t>9.2 Availability</w:t>
      </w:r>
    </w:p>
    <w:p>
      <w:pPr>
        <w:pStyle w:val="ListBullet"/>
      </w:pPr>
      <w:r>
        <w:rPr>
          <w:b w:val="0"/>
          <w:i w:val="0"/>
          <w:sz w:val="22"/>
        </w:rPr>
        <w:t>Tax-Compliance compute API: 99.9% uptime target</w:t>
      </w:r>
    </w:p>
    <w:p>
      <w:pPr>
        <w:pStyle w:val="ListBullet"/>
      </w:pPr>
      <w:r>
        <w:rPr>
          <w:b w:val="0"/>
          <w:i w:val="0"/>
          <w:sz w:val="22"/>
        </w:rPr>
        <w:t>Graceful degradation: if compute API is down, preview fails; Payouts creation of non-TDS payouts is unaffected</w:t>
      </w:r>
    </w:p>
    <w:p>
      <w:pPr>
        <w:pStyle w:val="ListBullet"/>
      </w:pPr>
      <w:r>
        <w:rPr>
          <w:b w:val="0"/>
          <w:i w:val="0"/>
          <w:sz w:val="22"/>
        </w:rPr>
        <w:t>Kafka consumer: automatic retry with exponential backoff; DLQ after max retries</w:t>
      </w:r>
    </w:p>
    <w:p>
      <w:pPr>
        <w:pStyle w:val="ListBullet"/>
      </w:pPr>
      <w:r>
        <w:rPr>
          <w:b w:val="0"/>
          <w:i w:val="0"/>
          <w:sz w:val="22"/>
        </w:rPr>
        <w:t>Payout creation latency target: &lt; 500ms p95 (no change from current)</w:t>
      </w:r>
    </w:p>
    <w:p>
      <w:pPr>
        <w:pStyle w:val="ListBullet"/>
      </w:pPr>
      <w:r>
        <w:rPr>
          <w:b w:val="0"/>
          <w:i w:val="0"/>
          <w:sz w:val="22"/>
        </w:rPr>
        <w:t>TDS Payment creation (async): Kafka publish → entity creation &lt; 5 seconds</w:t>
      </w:r>
    </w:p>
    <w:p>
      <w:pPr>
        <w:pStyle w:val="Heading3"/>
      </w:pPr>
      <w:r>
        <w:t>9.3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PII Handling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Deductee PAN encrypted at rest in Tax-Compliance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No PAN in Payouts service (only contact_id reference)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No PII in logs or Kafka messages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Access Control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Tax-Compliance compute API: Authenticated merchants only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Payouts API: Existing authentication (no change)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TDS Payment query API: Merchant can only access their own records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Kafka Security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Use existing Kafka authentication and authorization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Topic ACLs to restrict publisher/consumer access</w:t>
            </w:r>
          </w:p>
        </w:tc>
      </w:tr>
    </w:tbl>
    <w:p/>
    <w:p>
      <w:pPr>
        <w:pStyle w:val="Heading3"/>
      </w:pPr>
      <w:r>
        <w:t>9.4 Compliance</w:t>
      </w:r>
    </w:p>
    <w:p>
      <w:pPr>
        <w:pStyle w:val="ListBullet"/>
      </w:pPr>
      <w:r>
        <w:rPr>
          <w:b w:val="0"/>
          <w:i w:val="0"/>
          <w:sz w:val="22"/>
        </w:rPr>
        <w:t>TDS Payment entities retained indefinitely for tax filing and audit</w:t>
      </w:r>
    </w:p>
    <w:p>
      <w:pPr>
        <w:pStyle w:val="ListBullet"/>
      </w:pPr>
      <w:r>
        <w:rPr>
          <w:b w:val="0"/>
          <w:i w:val="0"/>
          <w:sz w:val="22"/>
        </w:rPr>
        <w:t>Payout details (TDS fields) retained per existing Payouts retention policy (7+ years)</w:t>
      </w:r>
    </w:p>
    <w:p>
      <w:pPr>
        <w:pStyle w:val="ListBullet"/>
      </w:pPr>
      <w:r>
        <w:rPr>
          <w:b w:val="0"/>
          <w:i w:val="0"/>
          <w:sz w:val="22"/>
        </w:rPr>
        <w:t>Kafka messages: minimum 7-day retention</w:t>
      </w:r>
    </w:p>
    <w:p>
      <w:pPr>
        <w:pStyle w:val="ListBullet"/>
      </w:pPr>
      <w:r>
        <w:rPr>
          <w:b w:val="0"/>
          <w:i w:val="0"/>
          <w:sz w:val="22"/>
        </w:rPr>
        <w:t>PAN data: encrypted at rest in Tax-Compliance; never stored in Payouts or Kafka messages</w:t>
      </w:r>
    </w:p>
    <w:p>
      <w:pPr>
        <w:pStyle w:val="Heading3"/>
      </w:pPr>
      <w:r>
        <w:t>9.5 Reliability</w:t>
      </w:r>
    </w:p>
    <w:p>
      <w:pPr>
        <w:pStyle w:val="ListBullet"/>
      </w:pPr>
      <w:r>
        <w:rPr>
          <w:b w:val="0"/>
          <w:i w:val="0"/>
          <w:sz w:val="22"/>
        </w:rPr>
        <w:t>Outbox pattern for Kafka publish — at-least-once delivery guaranteed</w:t>
      </w:r>
    </w:p>
    <w:p>
      <w:pPr>
        <w:pStyle w:val="ListBullet"/>
      </w:pPr>
      <w:r>
        <w:rPr>
          <w:b w:val="0"/>
          <w:i w:val="0"/>
          <w:sz w:val="22"/>
        </w:rPr>
        <w:t xml:space="preserve">Daily reconciliation job: detect BB+ payouts with no corresponding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and alert ops</w:t>
      </w:r>
    </w:p>
    <w:p>
      <w:pPr>
        <w:pStyle w:val="ListBullet"/>
      </w:pPr>
      <w:r>
        <w:rPr>
          <w:b w:val="0"/>
          <w:i w:val="0"/>
          <w:sz w:val="22"/>
        </w:rPr>
        <w:t>Payouts → Tax-Compliance are fully decoupled — failure in Tax-Compliance does not affect payout creation</w:t>
      </w:r>
    </w:p>
    <w:p>
      <w:pPr>
        <w:pStyle w:val="Heading3"/>
      </w:pPr>
      <w:r>
        <w:t>9.6 Infra Cost</w:t>
      </w:r>
    </w:p>
    <w:p>
      <w:pPr>
        <w:pStyle w:val="ListBullet"/>
      </w:pPr>
      <w:r>
        <w:rPr>
          <w:b w:val="0"/>
          <w:i w:val="0"/>
          <w:sz w:val="22"/>
        </w:rPr>
        <w:t>New Kafka topic: minimal cost (messages are lightweight)</w:t>
      </w:r>
    </w:p>
    <w:p>
      <w:pPr>
        <w:pStyle w:val="ListBullet"/>
      </w:pPr>
      <w:r>
        <w:rPr>
          <w:b w:val="0"/>
          <w:i w:val="0"/>
          <w:sz w:val="22"/>
        </w:rPr>
        <w:t>Additional Tax-Compliance Kafka consumer: standard pod sizing</w:t>
      </w:r>
    </w:p>
    <w:p>
      <w:pPr>
        <w:pStyle w:val="ListBullet"/>
      </w:pPr>
      <w:r>
        <w:rPr>
          <w:b w:val="0"/>
          <w:i w:val="0"/>
          <w:sz w:val="22"/>
        </w:rPr>
        <w:t xml:space="preserve">No new database tables in Payouts — storage via existing </w:t>
      </w:r>
      <w:r>
        <w:rPr>
          <w:rFonts w:ascii="Courier New" w:hAnsi="Courier New"/>
          <w:b w:val="0"/>
          <w:i w:val="0"/>
          <w:sz w:val="22"/>
        </w:rPr>
        <w:t>payout_details</w:t>
      </w:r>
      <w:r>
        <w:rPr>
          <w:b w:val="0"/>
          <w:i w:val="0"/>
          <w:sz w:val="22"/>
        </w:rPr>
        <w:t xml:space="preserve"> JSON column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10. Agentic Development Spec — Agentic SDLC[Mandatory]</w:t>
      </w:r>
    </w:p>
    <w:p>
      <w:pPr>
        <w:pStyle w:val="Heading3"/>
      </w:pPr>
      <w:r>
        <w:t>10.1 Agent Objective</w:t>
      </w:r>
    </w:p>
    <w:p>
      <w:r>
        <w:rPr>
          <w:b w:val="0"/>
          <w:i w:val="0"/>
          <w:sz w:val="22"/>
        </w:rPr>
        <w:t xml:space="preserve">Implement the Enrichment Hook Pattern (Approach 1) end-to-end across the Payouts and Tax-Compliance services. "Done" means: BB+ merchants can create TDS payouts via UI, Bulk CSV, and API with a single API call; Payouts enriches TDS data via Tax-Compliance internal endpoint;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entities are created synchronously during enrichment; payout status updates are tracked via events; Vendor-Payments flows are unaffected.</w:t>
      </w:r>
    </w:p>
    <w:p>
      <w:pPr>
        <w:pStyle w:val="Heading3"/>
      </w:pPr>
      <w:r>
        <w:t>10.2 Repositories in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Repo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Branch Strategy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razorpay/vendor-payments (Payouts service)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 TDS fields + Kafka routing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Feature branch off main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razorpay/tax-compliance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API + Kafka consumer + tds_payments entity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Feature branch off main</w:t>
            </w:r>
          </w:p>
        </w:tc>
      </w:tr>
    </w:tbl>
    <w:p/>
    <w:p>
      <w:pPr>
        <w:pStyle w:val="Heading3"/>
      </w:pPr>
      <w:r>
        <w:t>10.3 Detailed Implementation Spec</w:t>
      </w:r>
    </w:p>
    <w:p>
      <w:r>
        <w:rPr>
          <w:b w:val="0"/>
          <w:i w:val="0"/>
          <w:sz w:val="22"/>
        </w:rPr>
        <w:t xml:space="preserve">See </w:t>
      </w:r>
      <w:hyperlink r:id="rId9">
        <w:r>
          <w:rPr>
            <w:color w:val="1A73E8"/>
            <w:u w:val="single"/>
            <w:sz w:val="22"/>
            <w:szCs w:val="22"/>
          </w:rPr>
          <w:t>Full Technical Specification — Section 11: Codebase Analysis &amp; Implementation Plan</w:t>
        </w:r>
      </w:hyperlink>
      <w:r>
        <w:rPr>
          <w:b w:val="0"/>
          <w:i w:val="0"/>
          <w:sz w:val="22"/>
        </w:rPr>
        <w:t xml:space="preserve"> for file-level changes, API contracts, struct definitions, and sequence of operations.</w:t>
      </w:r>
    </w:p>
    <w:p>
      <w:pPr>
        <w:pStyle w:val="Heading3"/>
      </w:pPr>
      <w:r>
        <w:t>10.4 Success Criteria</w:t>
      </w:r>
    </w:p>
    <w:p>
      <w:pPr>
        <w:pStyle w:val="ListBullet"/>
      </w:pPr>
      <w:r>
        <w:rPr>
          <w:b w:val="0"/>
          <w:i w:val="0"/>
          <w:sz w:val="22"/>
        </w:rPr>
        <w:t>Both repos boot in devstack without errors</w:t>
      </w:r>
    </w:p>
    <w:p>
      <w:pPr>
        <w:pStyle w:val="ListBullet"/>
      </w:pPr>
      <w:r>
        <w:rPr>
          <w:b w:val="0"/>
          <w:i w:val="0"/>
          <w:sz w:val="22"/>
        </w:rPr>
        <w:t>All unit tests pass (Payouts + Tax-Compliance)</w:t>
      </w:r>
    </w:p>
    <w:p>
      <w:pPr>
        <w:pStyle w:val="ListBullet"/>
      </w:pPr>
      <w:r>
        <w:rPr>
          <w:b w:val="0"/>
          <w:i w:val="0"/>
          <w:sz w:val="22"/>
        </w:rPr>
        <w:t xml:space="preserve">E2E: BB+ single payout with TDS →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in Tax-Compliance</w:t>
      </w:r>
    </w:p>
    <w:p>
      <w:pPr>
        <w:pStyle w:val="ListBullet"/>
      </w:pPr>
      <w:r>
        <w:rPr>
          <w:b w:val="0"/>
          <w:i w:val="0"/>
          <w:sz w:val="22"/>
        </w:rPr>
        <w:t>E2E: Bulk CSV with TDS → all rows processed, entities created</w:t>
      </w:r>
    </w:p>
    <w:p>
      <w:pPr>
        <w:pStyle w:val="ListBullet"/>
      </w:pPr>
      <w:r>
        <w:rPr>
          <w:b w:val="0"/>
          <w:i w:val="0"/>
          <w:sz w:val="22"/>
        </w:rPr>
        <w:t>E2E: API merchant flow (compute → create payout) → entity created</w:t>
      </w:r>
    </w:p>
    <w:p>
      <w:pPr>
        <w:pStyle w:val="ListBullet"/>
      </w:pPr>
      <w:r>
        <w:rPr>
          <w:b w:val="0"/>
          <w:i w:val="0"/>
          <w:sz w:val="22"/>
        </w:rPr>
        <w:t>Vendor-Payments E2E tests pass (no regression)</w:t>
      </w:r>
    </w:p>
    <w:p>
      <w:pPr>
        <w:pStyle w:val="Heading3"/>
      </w:pPr>
      <w:r>
        <w:t>10.5 Test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Test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Location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Unit Tests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field handling, Kafka routing logic in Payouts; compute API, consumer in 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Per repo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Integration Tests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→ Kafka → Tax-Compliance consumer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Cross-service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E2E Tests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Full flow per channel (UI, Bulk, API)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Devstack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Regression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 TDS flows unchanged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suite</w:t>
            </w:r>
          </w:p>
        </w:tc>
      </w:tr>
    </w:tbl>
    <w:p/>
    <w:p>
      <w:pPr>
        <w:pStyle w:val="Heading3"/>
      </w:pPr>
      <w:r>
        <w:t>10.6 Constraints &amp; Guardrails</w:t>
      </w:r>
    </w:p>
    <w:p>
      <w:pPr>
        <w:pStyle w:val="ListBullet"/>
      </w:pPr>
      <w:r>
        <w:rPr>
          <w:b w:val="0"/>
          <w:i w:val="0"/>
          <w:sz w:val="22"/>
        </w:rPr>
        <w:t xml:space="preserve">Do not modify </w:t>
      </w:r>
      <w:r>
        <w:rPr>
          <w:rFonts w:ascii="Courier New" w:hAnsi="Courier New"/>
          <w:b w:val="0"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Kafka topic or its consumer (Vendor-Payments)</w:t>
      </w:r>
    </w:p>
    <w:p>
      <w:pPr>
        <w:pStyle w:val="ListBullet"/>
      </w:pPr>
      <w:r>
        <w:rPr>
          <w:b w:val="0"/>
          <w:i w:val="0"/>
          <w:sz w:val="22"/>
        </w:rPr>
        <w:t>All new Payouts fields must be optional (backward compatibility)</w:t>
      </w:r>
    </w:p>
    <w:p>
      <w:pPr>
        <w:pStyle w:val="ListBullet"/>
      </w:pPr>
      <w:r>
        <w:rPr>
          <w:b w:val="0"/>
          <w:i w:val="0"/>
          <w:sz w:val="22"/>
        </w:rPr>
        <w:t>No PAN in Kafka messages or Payouts logs</w:t>
      </w:r>
    </w:p>
    <w:p>
      <w:pPr>
        <w:pStyle w:val="ListBullet"/>
      </w:pPr>
      <w:r>
        <w:rPr>
          <w:b w:val="0"/>
          <w:i w:val="0"/>
          <w:sz w:val="22"/>
        </w:rPr>
        <w:t>Follow existing Payouts and Tax-Compliance coding standards</w:t>
      </w:r>
    </w:p>
    <w:p>
      <w:pPr>
        <w:pStyle w:val="Heading3"/>
      </w:pPr>
      <w:r>
        <w:t>10.7 Spec Location</w:t>
      </w:r>
    </w:p>
    <w:p>
      <w:r>
        <w:rPr>
          <w:b w:val="0"/>
          <w:i w:val="0"/>
          <w:sz w:val="22"/>
        </w:rPr>
        <w:t xml:space="preserve">Detailed implementation spec: </w:t>
      </w:r>
      <w:r>
        <w:rPr>
          <w:rFonts w:ascii="Courier New" w:hAnsi="Courier New"/>
          <w:b w:val="0"/>
          <w:i w:val="0"/>
          <w:sz w:val="22"/>
        </w:rPr>
        <w:t>specs/tds-payout-bb-plus.md</w:t>
      </w:r>
      <w:r>
        <w:rPr>
          <w:b w:val="0"/>
          <w:i w:val="0"/>
          <w:sz w:val="22"/>
        </w:rPr>
        <w:t xml:space="preserve"> in the Tax-Compliance repository (first deliverable before any code).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11. Feature Dependencies &amp; SLAs</w:t>
      </w:r>
    </w:p>
    <w:p>
      <w:pPr>
        <w:pStyle w:val="Heading3"/>
      </w:pPr>
      <w:r>
        <w:t>11.1 Upstream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Compute API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Required for TDS compute before payout creation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99.9% / &lt;200ms p95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team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API (/v2/payouts)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Extended with new TDS fields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SLA unchanged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team</w:t>
            </w:r>
          </w:p>
        </w:tc>
      </w:tr>
    </w:tbl>
    <w:p/>
    <w:p>
      <w:pPr>
        <w:pStyle w:val="Heading3"/>
      </w:pPr>
      <w:r>
        <w:t>11.2 Downstream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Kafka Consumer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Creates tds_payments entity from Kafka event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&lt;5s p95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team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impact — existing topic/consumer unchanged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—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 team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Data Hub / Analytics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New TDS fields in payout_details JSON; new tds_payments entity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—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Analytics team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12. Testing Plan</w:t>
      </w:r>
    </w:p>
    <w:p>
      <w:pPr>
        <w:pStyle w:val="Heading3"/>
      </w:pPr>
      <w:r>
        <w:t>12.1 Test Cases</w:t>
      </w:r>
    </w:p>
    <w:p>
      <w:pPr>
        <w:pStyle w:val="ListBullet"/>
      </w:pPr>
      <w:r>
        <w:rPr>
          <w:b w:val="0"/>
          <w:i w:val="0"/>
          <w:sz w:val="22"/>
        </w:rPr>
        <w:t xml:space="preserve">BB+ single payout with TDS: verify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after payout processed</w:t>
      </w:r>
    </w:p>
    <w:p>
      <w:pPr>
        <w:pStyle w:val="ListBullet"/>
      </w:pPr>
      <w:r>
        <w:rPr>
          <w:b w:val="0"/>
          <w:i w:val="0"/>
          <w:sz w:val="22"/>
        </w:rPr>
        <w:t xml:space="preserve">BB+ payout without TDS: 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no event on BB+ topic</w:t>
      </w:r>
    </w:p>
    <w:p>
      <w:pPr>
        <w:pStyle w:val="ListBullet"/>
      </w:pPr>
      <w:r>
        <w:rPr>
          <w:b w:val="0"/>
          <w:i w:val="0"/>
          <w:sz w:val="22"/>
        </w:rPr>
        <w:t xml:space="preserve">Vendor-Payments TDS payout: unchanged routing to </w:t>
      </w:r>
      <w:r>
        <w:rPr>
          <w:rFonts w:ascii="Courier New" w:hAnsi="Courier New"/>
          <w:b w:val="0"/>
          <w:i w:val="0"/>
          <w:sz w:val="22"/>
        </w:rPr>
        <w:t>add-tds-entry</w:t>
      </w:r>
    </w:p>
    <w:p>
      <w:pPr>
        <w:pStyle w:val="ListBullet"/>
      </w:pPr>
      <w:r>
        <w:rPr>
          <w:b w:val="0"/>
          <w:i w:val="0"/>
          <w:sz w:val="22"/>
        </w:rPr>
        <w:t>Kafka consumer failure → retry → DLQ</w:t>
      </w:r>
    </w:p>
    <w:p>
      <w:pPr>
        <w:pStyle w:val="ListBullet"/>
      </w:pPr>
      <w:r>
        <w:rPr>
          <w:b w:val="0"/>
          <w:i w:val="0"/>
          <w:sz w:val="22"/>
        </w:rPr>
        <w:t>Bulk CSV: 1000-row file — all rows produce correct TDS payouts and entities</w:t>
      </w:r>
    </w:p>
    <w:p>
      <w:pPr>
        <w:pStyle w:val="ListBullet"/>
      </w:pPr>
      <w:r>
        <w:rPr>
          <w:b w:val="0"/>
          <w:i w:val="0"/>
          <w:sz w:val="22"/>
        </w:rPr>
        <w:t>API payout: merchant calls compute → payout → entity created correctly</w:t>
      </w:r>
    </w:p>
    <w:p>
      <w:pPr>
        <w:pStyle w:val="ListBullet"/>
      </w:pPr>
      <w:r>
        <w:rPr>
          <w:b w:val="0"/>
          <w:i w:val="0"/>
          <w:sz w:val="22"/>
        </w:rPr>
        <w:t>LDC applied: verify effective rate and breakdown stored correctly</w:t>
      </w:r>
    </w:p>
    <w:p>
      <w:pPr>
        <w:pStyle w:val="Heading3"/>
      </w:pPr>
      <w:r>
        <w:t>12.2 UAT Testing</w:t>
      </w:r>
    </w:p>
    <w:p>
      <w:r>
        <w:rPr>
          <w:b w:val="0"/>
          <w:i w:val="0"/>
          <w:sz w:val="22"/>
        </w:rPr>
        <w:t xml:space="preserve">BB+ merchant UAT on staging: create TDS payout via UI, verify TDS breakdown preview, confirm payout, verify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accessible via Tax-Compliance query API.</w:t>
      </w:r>
    </w:p>
    <w:p>
      <w:pPr>
        <w:pStyle w:val="Heading3"/>
      </w:pPr>
      <w:r>
        <w:t>12.3 Performance / Load Testing</w:t>
      </w:r>
    </w:p>
    <w:p>
      <w:pPr>
        <w:pStyle w:val="ListBullet"/>
      </w:pPr>
      <w:r>
        <w:rPr>
          <w:b w:val="0"/>
          <w:i w:val="0"/>
          <w:sz w:val="22"/>
        </w:rPr>
        <w:t>Bulk CSV: 10,000 rows — end-to-end processing time &lt; 30 minutes</w:t>
      </w:r>
    </w:p>
    <w:p>
      <w:pPr>
        <w:pStyle w:val="ListBullet"/>
      </w:pPr>
      <w:r>
        <w:rPr>
          <w:b w:val="0"/>
          <w:i w:val="0"/>
          <w:sz w:val="22"/>
        </w:rPr>
        <w:t>Tax-Compliance compute API: 500 concurrent requests — p95 &lt; 200ms</w:t>
      </w:r>
    </w:p>
    <w:p>
      <w:pPr>
        <w:pStyle w:val="ListBullet"/>
      </w:pPr>
      <w:r>
        <w:rPr>
          <w:b w:val="0"/>
          <w:i w:val="0"/>
          <w:sz w:val="22"/>
        </w:rPr>
        <w:t>Kafka consumer throughput: 1,000 messages/min sustained — lag &lt; 100 messages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13. Go-Live Plan</w:t>
      </w:r>
    </w:p>
    <w:p>
      <w:pPr>
        <w:pStyle w:val="Heading3"/>
      </w:pPr>
      <w:r>
        <w:t>13.1 Production Rollout and Ramp Plan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Risk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service: add optional TDS fields + Kafka topic routing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source == "bb_plus"</w:t>
            </w:r>
            <w:r>
              <w:rPr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>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UI change; fully backward-compatible; Vendor-Payments unaffected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2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Tax-Compliance: build compute API endpoint + Kafka consumer +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tds_payments</w:t>
            </w:r>
            <w:r>
              <w:rPr>
                <w:b w:val="0"/>
                <w:i w:val="0"/>
                <w:sz w:val="22"/>
              </w:rPr>
              <w:t xml:space="preserve"> entity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Independent of Payouts; can be tested in isolation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3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BFF: UI single-payout flow (preview TDS → confirm → create payout)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First user-facing feature; gated behind feature flag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4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Bulk CSV integration: TDS columns in CSV template, row-by-row compute, preview file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Reuses Phase 1 + 2 work; validate with 10,000-row load test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documentation + external merchant guide for two-call (compute → payout) pattern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Completes all channels; opens API Payouts to BB+ merchants</w:t>
            </w:r>
          </w:p>
        </w:tc>
      </w:tr>
    </w:tbl>
    <w:p/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Feature Flag Strategy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>Each phase deployed behind a Splitz flag (</w:t>
      </w:r>
      <w:r>
        <w:rPr>
          <w:rFonts w:ascii="Courier New" w:hAnsi="Courier New"/>
          <w:b w:val="0"/>
          <w:i w:val="0"/>
          <w:sz w:val="22"/>
        </w:rPr>
        <w:t>tds_bb_plus_enabled</w:t>
      </w:r>
      <w:r>
        <w:rPr>
          <w:b w:val="0"/>
          <w:i w:val="0"/>
          <w:sz w:val="22"/>
        </w:rPr>
        <w:t>). Phases 1–2 can be merged to main immediately — they are no-ops until the flag is enabled. Phases 3–5 ramp by merchant cohort.</w:t>
      </w:r>
    </w:p>
    <w:p>
      <w:pPr>
        <w:spacing w:before="0" w:after="80"/>
      </w:pPr>
    </w:p>
    <w:p>
      <w:pPr>
        <w:pStyle w:val="Heading3"/>
      </w:pPr>
      <w:r>
        <w:t>13.2 Backward Compatibility</w:t>
      </w:r>
    </w:p>
    <w:p>
      <w:r>
        <w:rPr>
          <w:b w:val="0"/>
          <w:i w:val="0"/>
          <w:sz w:val="22"/>
        </w:rPr>
        <w:t xml:space="preserve">All new Payouts fields are optional. Existing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calls without TDS fields continue to work exactly as before. Vendor-Payments flows are unaffected.</w:t>
      </w:r>
    </w:p>
    <w:p>
      <w:pPr>
        <w:pStyle w:val="Heading3"/>
      </w:pPr>
      <w:r>
        <w:t>13.3 Rollback Plan</w:t>
      </w:r>
    </w:p>
    <w:p>
      <w:pPr>
        <w:pStyle w:val="ListBullet"/>
      </w:pPr>
      <w:r>
        <w:rPr>
          <w:b w:val="0"/>
          <w:i w:val="0"/>
          <w:sz w:val="22"/>
        </w:rPr>
        <w:t xml:space="preserve">Feature flag to disable BB+ Kafka routing — falls back to no-op (no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created)</w:t>
      </w:r>
    </w:p>
    <w:p>
      <w:pPr>
        <w:pStyle w:val="ListBullet"/>
      </w:pPr>
      <w:r>
        <w:rPr>
          <w:b w:val="0"/>
          <w:i w:val="0"/>
          <w:sz w:val="22"/>
        </w:rPr>
        <w:t>New fields in Payouts are additive — rollback is deploy of previous version with no data loss</w:t>
      </w:r>
    </w:p>
    <w:p>
      <w:pPr>
        <w:pStyle w:val="ListBullet"/>
      </w:pPr>
      <w:r>
        <w:rPr>
          <w:b w:val="0"/>
          <w:i w:val="0"/>
          <w:sz w:val="22"/>
        </w:rPr>
        <w:t>Tax-Compliance Kafka consumer can be stopped independently with no Payouts impact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14. Monitoring &amp; Logging</w:t>
      </w:r>
    </w:p>
    <w:p>
      <w:pPr>
        <w:pStyle w:val="Heading3"/>
      </w:pPr>
      <w:r>
        <w:t>14.1 Error Handling</w:t>
      </w:r>
    </w:p>
    <w:p>
      <w:pPr>
        <w:pStyle w:val="ListBullet"/>
      </w:pPr>
      <w:r>
        <w:rPr>
          <w:b/>
          <w:i w:val="0"/>
          <w:sz w:val="22"/>
        </w:rPr>
        <w:t>Compute API errors:</w:t>
      </w:r>
      <w:r>
        <w:rPr>
          <w:b w:val="0"/>
          <w:i w:val="0"/>
          <w:sz w:val="22"/>
        </w:rPr>
        <w:t xml:space="preserve"> Return clear error messages (e.g., invalid category, PAN not found, LDC expired)</w:t>
      </w:r>
    </w:p>
    <w:p>
      <w:pPr>
        <w:pStyle w:val="ListBullet"/>
      </w:pPr>
      <w:r>
        <w:rPr>
          <w:b/>
          <w:i w:val="0"/>
          <w:sz w:val="22"/>
        </w:rPr>
        <w:t>Payout creation errors:</w:t>
      </w:r>
      <w:r>
        <w:rPr>
          <w:b w:val="0"/>
          <w:i w:val="0"/>
          <w:sz w:val="22"/>
        </w:rPr>
        <w:t xml:space="preserve"> Same as existing payout errors (no change)</w:t>
      </w:r>
    </w:p>
    <w:p>
      <w:pPr>
        <w:pStyle w:val="ListBullet"/>
      </w:pPr>
      <w:r>
        <w:rPr>
          <w:b/>
          <w:i w:val="0"/>
          <w:sz w:val="22"/>
        </w:rPr>
        <w:t>Kafka publish failures:</w:t>
      </w:r>
      <w:r>
        <w:rPr>
          <w:b w:val="0"/>
          <w:i w:val="0"/>
          <w:sz w:val="22"/>
        </w:rPr>
        <w:t xml:space="preserve"> Use outbox pattern for at-least-once delivery</w:t>
      </w:r>
    </w:p>
    <w:p>
      <w:pPr>
        <w:pStyle w:val="ListBullet"/>
      </w:pPr>
      <w:r>
        <w:rPr>
          <w:b/>
          <w:i w:val="0"/>
          <w:sz w:val="22"/>
        </w:rPr>
        <w:t>Kafka consumer failures:</w:t>
      </w:r>
      <w:r>
        <w:rPr>
          <w:b w:val="0"/>
          <w:i w:val="0"/>
          <w:sz w:val="22"/>
        </w:rPr>
        <w:t xml:space="preserve"> Retry with exponential backoff; send to DLQ after max retries</w:t>
      </w:r>
    </w:p>
    <w:p>
      <w:pPr>
        <w:pStyle w:val="ListBullet"/>
      </w:pPr>
      <w:r>
        <w:rPr>
          <w:b/>
          <w:i w:val="0"/>
          <w:sz w:val="22"/>
        </w:rPr>
        <w:t>Reconciliation:</w:t>
      </w:r>
      <w:r>
        <w:rPr>
          <w:b w:val="0"/>
          <w:i w:val="0"/>
          <w:sz w:val="22"/>
        </w:rPr>
        <w:t xml:space="preserve"> Daily job to detect payouts with TDS but no TDS Payment entity (alert ops team)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15. Milestones &amp; Timelines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Milestone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Deliverables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Enrichment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Internal enrichment endpoint, TDS computation, tds_payments entity creation, event listener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2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Enrichment Hook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Optional TDS fields in API, enrichment hook (~20 LOC), feature flag, timeout/circuit breaker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3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Dashboard UI Integration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form fields, preview display, Payouts API integration with TDS fields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4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Bulk CSV Integration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TDS columns in CSV template, enrichment for each row, preview with TDS breakdown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Documentation &amp; Rollout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docs for merchants, gradual rollout via feature flag, monitoring dashboard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16.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Term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Definition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 Deducted at Source — a form of advance tax collected by the payer at the time of payment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BB+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Business Banking Plus — Razorpay's platform for business payouts and 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LDC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Lower Deduction Certificate — allows a reduced TDS rate certified by tax authorities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Enrichment Hook Pattern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calls Tax-Compliance enrichment endpoint if TDS fields present; TDS computed inline during payout creation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Enrichment Endpoint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internal API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/internal/tds/enrich</w:t>
            </w:r>
            <w:r>
              <w:rPr>
                <w:b w:val="0"/>
                <w:i w:val="0"/>
                <w:sz w:val="22"/>
              </w:rPr>
              <w:t>) that computes TDS, creates tds_payments entity, and returns enriched data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Gross Amount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Total payment before TDS deduction (e.g., ₹10,000)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Net Amount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Amount actually transferred to vendor after TDS (e.g., ₹9,000)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tds_payments entity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record for a TDS deduction event used for government filing; created synchronously during enrichment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tds_payment_id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Unique identifier for tds_payments entity; returned in enrichment response and stored in payout metadata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DLQ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Dead Letter Queue — Kafka queue for messages that failed after max retries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17. Appendix</w:t>
      </w:r>
    </w:p>
    <w:p>
      <w:pPr>
        <w:pStyle w:val="ListBullet"/>
      </w:pPr>
      <w:hyperlink r:id="rId9">
        <w:r>
          <w:rPr>
            <w:color w:val="1A73E8"/>
            <w:u w:val="single"/>
            <w:sz w:val="22"/>
            <w:szCs w:val="22"/>
          </w:rPr>
          <w:t>Full Technical Specification</w:t>
        </w:r>
      </w:hyperlink>
      <w:r>
        <w:rPr>
          <w:b w:val="0"/>
          <w:i w:val="0"/>
          <w:sz w:val="22"/>
        </w:rPr>
        <w:t xml:space="preserve"> — API contracts, implementation details, SQL schemas, and test plans</w:t>
      </w:r>
    </w:p>
    <w:p>
      <w:pPr>
        <w:pStyle w:val="ListBullet"/>
      </w:pPr>
      <w:hyperlink r:id="rId10">
        <w:r>
          <w:rPr>
            <w:color w:val="1A73E8"/>
            <w:u w:val="single"/>
            <w:sz w:val="22"/>
            <w:szCs w:val="22"/>
          </w:rPr>
          <w:t>GitHub Pages — Live Documentation</w:t>
        </w:r>
      </w:hyperlink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Note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summary document covers problem statement, approach analysis, and the recommended solution. For detailed implementation specifications, API contracts, struct definitions, SQL schemas, codebase analysis, and test plans, refer to the </w:t>
      </w:r>
      <w:hyperlink r:id="rId9">
        <w:r>
          <w:rPr>
            <w:color w:val="1A73E8"/>
            <w:u w:val="single"/>
            <w:sz w:val="22"/>
            <w:szCs w:val="22"/>
          </w:rPr>
          <w:t>Full Technical Specification</w:t>
        </w:r>
      </w:hyperlink>
      <w:r>
        <w:rPr>
          <w:b w:val="0"/>
          <w:i w:val="0"/>
          <w:sz w:val="22"/>
        </w:rPr>
        <w:t xml:space="preserve">. </w:t>
      </w:r>
    </w:p>
    <w:p>
      <w:pPr>
        <w:spacing w:before="0" w:after="8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3415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DS_Payout_Integration_Tech_Spec_Comprehensive.html" TargetMode="External"/><Relationship Id="rId10" Type="http://schemas.openxmlformats.org/officeDocument/2006/relationships/hyperlink" Target="https://flanker-23.github.io/bb-plus-tds-tech-spec/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#final-approa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