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5C6B" w14:textId="473DD5C4" w:rsidR="00BB361B" w:rsidRDefault="00BB361B" w:rsidP="00BB361B">
      <w:pPr>
        <w:pStyle w:val="Titre2"/>
        <w:rPr>
          <w:noProof/>
        </w:rPr>
      </w:pPr>
      <w:r>
        <w:rPr>
          <w:noProof/>
        </w:rPr>
        <w:t xml:space="preserve">Résultats </w:t>
      </w:r>
      <w:r>
        <w:rPr>
          <w:noProof/>
        </w:rPr>
        <w:t>:</w:t>
      </w:r>
    </w:p>
    <w:p w14:paraId="437E091B" w14:textId="77777777" w:rsidR="00BB361B" w:rsidRDefault="00BB361B" w:rsidP="00171582">
      <w:pPr>
        <w:jc w:val="center"/>
        <w:rPr>
          <w:b/>
          <w:bCs/>
          <w:noProof/>
        </w:rPr>
      </w:pPr>
    </w:p>
    <w:p w14:paraId="053AFCAB" w14:textId="1C0316D9" w:rsidR="00C22850" w:rsidRDefault="00C22850" w:rsidP="00C22850">
      <w:pPr>
        <w:rPr>
          <w:noProof/>
        </w:rPr>
      </w:pPr>
      <w:r>
        <w:rPr>
          <w:noProof/>
        </w:rPr>
        <w:t>Les résultats ont été obtenu</w:t>
      </w:r>
      <w:r w:rsidR="00DC5764">
        <w:rPr>
          <w:noProof/>
        </w:rPr>
        <w:t>s</w:t>
      </w:r>
      <w:r>
        <w:rPr>
          <w:noProof/>
        </w:rPr>
        <w:t xml:space="preserve"> en effectuant les calculs à partir du même ordinateur, nous avons décid</w:t>
      </w:r>
      <w:r w:rsidR="00DC5764">
        <w:rPr>
          <w:noProof/>
        </w:rPr>
        <w:t>é</w:t>
      </w:r>
      <w:r>
        <w:rPr>
          <w:noProof/>
        </w:rPr>
        <w:t xml:space="preserve"> d’utiliser l’ordinateur offrant les meilleures performances pour nos calculs.  Nous avons choisi six tailles de clusters (k) différentes pour obtenir l’ensemble des résultats et nous av</w:t>
      </w:r>
      <w:r w:rsidR="00DC5764">
        <w:rPr>
          <w:noProof/>
        </w:rPr>
        <w:t>ons</w:t>
      </w:r>
      <w:r>
        <w:rPr>
          <w:noProof/>
        </w:rPr>
        <w:t xml:space="preserve"> test</w:t>
      </w:r>
      <w:r w:rsidR="00DC5764">
        <w:rPr>
          <w:noProof/>
        </w:rPr>
        <w:t>é</w:t>
      </w:r>
      <w:r>
        <w:rPr>
          <w:noProof/>
        </w:rPr>
        <w:t xml:space="preserve"> les calculs sur trois taille</w:t>
      </w:r>
      <w:r w:rsidR="00DC5764">
        <w:rPr>
          <w:noProof/>
        </w:rPr>
        <w:t>s</w:t>
      </w:r>
      <w:r>
        <w:rPr>
          <w:noProof/>
        </w:rPr>
        <w:t xml:space="preserve"> de fenêtre différentes (5,7 et 9).</w:t>
      </w:r>
    </w:p>
    <w:p w14:paraId="15832E4A" w14:textId="24485427" w:rsidR="00C22850" w:rsidRDefault="00C22850" w:rsidP="00C22850">
      <w:pPr>
        <w:rPr>
          <w:b/>
          <w:bCs/>
          <w:noProof/>
        </w:rPr>
      </w:pPr>
      <w:r>
        <w:rPr>
          <w:noProof/>
        </w:rPr>
        <w:t>Étant donné le temps nécessaire pour compléter le calcul pour le k500 et k250 et que nous désirions garder un seul ordinateur pour les calculs, nous n’avons pu faire plusieurs calculs avec les même</w:t>
      </w:r>
      <w:r w:rsidR="00DC5764">
        <w:rPr>
          <w:noProof/>
        </w:rPr>
        <w:t>s</w:t>
      </w:r>
      <w:r>
        <w:rPr>
          <w:noProof/>
        </w:rPr>
        <w:t xml:space="preserve"> paramètres. Ainsi, nous n’avons pas la possibilité d’analyser la variance des résultats avec les mêmes paramètres, c’est pourquoi nous avons décidé de présent</w:t>
      </w:r>
      <w:r w:rsidR="00DC5764">
        <w:rPr>
          <w:noProof/>
        </w:rPr>
        <w:t>er</w:t>
      </w:r>
      <w:r>
        <w:rPr>
          <w:noProof/>
        </w:rPr>
        <w:t xml:space="preserve"> les résultats sous forme de moyenne de tous nos résultats. </w:t>
      </w:r>
    </w:p>
    <w:p w14:paraId="088E5161" w14:textId="77777777" w:rsidR="002458D2" w:rsidRDefault="002458D2" w:rsidP="00C22850">
      <w:pPr>
        <w:jc w:val="center"/>
        <w:rPr>
          <w:b/>
          <w:bCs/>
          <w:noProof/>
        </w:rPr>
      </w:pPr>
    </w:p>
    <w:tbl>
      <w:tblPr>
        <w:tblpPr w:leftFromText="141" w:rightFromText="141" w:vertAnchor="page" w:horzAnchor="margin" w:tblpY="5581"/>
        <w:tblW w:w="9383" w:type="dxa"/>
        <w:tblCellMar>
          <w:left w:w="70" w:type="dxa"/>
          <w:right w:w="70" w:type="dxa"/>
        </w:tblCellMar>
        <w:tblLook w:val="04A0" w:firstRow="1" w:lastRow="0" w:firstColumn="1" w:lastColumn="0" w:noHBand="0" w:noVBand="1"/>
      </w:tblPr>
      <w:tblGrid>
        <w:gridCol w:w="2962"/>
        <w:gridCol w:w="976"/>
        <w:gridCol w:w="1250"/>
        <w:gridCol w:w="1089"/>
        <w:gridCol w:w="1089"/>
        <w:gridCol w:w="1089"/>
        <w:gridCol w:w="928"/>
      </w:tblGrid>
      <w:tr w:rsidR="002458D2" w:rsidRPr="00171582" w14:paraId="2897A7FC" w14:textId="77777777" w:rsidTr="002458D2">
        <w:trPr>
          <w:trHeight w:val="330"/>
        </w:trPr>
        <w:tc>
          <w:tcPr>
            <w:tcW w:w="2962" w:type="dxa"/>
            <w:tcBorders>
              <w:top w:val="single" w:sz="12" w:space="0" w:color="000000"/>
              <w:left w:val="single" w:sz="12" w:space="0" w:color="000000"/>
              <w:bottom w:val="single" w:sz="4" w:space="0" w:color="000000"/>
              <w:right w:val="single" w:sz="12" w:space="0" w:color="000000"/>
            </w:tcBorders>
            <w:shd w:val="clear" w:color="FFFFFF" w:fill="FFFFFF"/>
            <w:noWrap/>
            <w:vAlign w:val="bottom"/>
            <w:hideMark/>
          </w:tcPr>
          <w:p w14:paraId="2DF50DAB" w14:textId="77777777" w:rsidR="002458D2" w:rsidRPr="00171582" w:rsidRDefault="002458D2" w:rsidP="002458D2">
            <w:pPr>
              <w:spacing w:after="0" w:line="240" w:lineRule="auto"/>
              <w:rPr>
                <w:rFonts w:ascii="Arial" w:eastAsia="Times New Roman" w:hAnsi="Arial" w:cs="Arial"/>
                <w:b/>
                <w:bCs/>
                <w:color w:val="000000"/>
                <w:lang w:eastAsia="fr-CA"/>
              </w:rPr>
            </w:pPr>
            <w:r w:rsidRPr="00171582">
              <w:rPr>
                <w:rFonts w:ascii="Arial" w:eastAsia="Times New Roman" w:hAnsi="Arial" w:cs="Arial"/>
                <w:b/>
                <w:bCs/>
                <w:color w:val="000000"/>
                <w:lang w:eastAsia="fr-CA"/>
              </w:rPr>
              <w:t>Nombre de clusters</w:t>
            </w:r>
          </w:p>
        </w:tc>
        <w:tc>
          <w:tcPr>
            <w:tcW w:w="976" w:type="dxa"/>
            <w:tcBorders>
              <w:top w:val="single" w:sz="12" w:space="0" w:color="000000"/>
              <w:left w:val="single" w:sz="12" w:space="0" w:color="000000"/>
              <w:bottom w:val="single" w:sz="12" w:space="0" w:color="000000"/>
              <w:right w:val="single" w:sz="4" w:space="0" w:color="000000"/>
            </w:tcBorders>
            <w:shd w:val="clear" w:color="FFFFFF" w:fill="FFFFFF"/>
            <w:noWrap/>
            <w:vAlign w:val="bottom"/>
            <w:hideMark/>
          </w:tcPr>
          <w:p w14:paraId="2D1A35BC"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500</w:t>
            </w:r>
          </w:p>
        </w:tc>
        <w:tc>
          <w:tcPr>
            <w:tcW w:w="1250"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618C3441"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250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5ABD7BFA"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100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324A01E9"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50</w:t>
            </w:r>
          </w:p>
        </w:tc>
        <w:tc>
          <w:tcPr>
            <w:tcW w:w="1089" w:type="dxa"/>
            <w:tcBorders>
              <w:top w:val="single" w:sz="12" w:space="0" w:color="000000"/>
              <w:left w:val="single" w:sz="4" w:space="0" w:color="000000"/>
              <w:bottom w:val="single" w:sz="12" w:space="0" w:color="000000"/>
              <w:right w:val="single" w:sz="4" w:space="0" w:color="000000"/>
            </w:tcBorders>
            <w:shd w:val="clear" w:color="FFFFFF" w:fill="FFFFFF"/>
            <w:noWrap/>
            <w:vAlign w:val="bottom"/>
            <w:hideMark/>
          </w:tcPr>
          <w:p w14:paraId="5C38042F"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20</w:t>
            </w:r>
          </w:p>
        </w:tc>
        <w:tc>
          <w:tcPr>
            <w:tcW w:w="928" w:type="dxa"/>
            <w:tcBorders>
              <w:top w:val="single" w:sz="12" w:space="0" w:color="000000"/>
              <w:left w:val="single" w:sz="4" w:space="0" w:color="000000"/>
              <w:bottom w:val="single" w:sz="12" w:space="0" w:color="000000"/>
              <w:right w:val="single" w:sz="12" w:space="0" w:color="000000"/>
            </w:tcBorders>
            <w:shd w:val="clear" w:color="FFFFFF" w:fill="FFFFFF"/>
            <w:noWrap/>
            <w:vAlign w:val="bottom"/>
            <w:hideMark/>
          </w:tcPr>
          <w:p w14:paraId="6C057648" w14:textId="77777777" w:rsidR="002458D2" w:rsidRPr="00171582" w:rsidRDefault="002458D2" w:rsidP="002458D2">
            <w:pPr>
              <w:spacing w:after="0" w:line="240" w:lineRule="auto"/>
              <w:jc w:val="right"/>
              <w:rPr>
                <w:rFonts w:ascii="Calibri" w:eastAsia="Times New Roman" w:hAnsi="Calibri" w:cs="Calibri"/>
                <w:b/>
                <w:bCs/>
                <w:color w:val="000000"/>
                <w:lang w:eastAsia="fr-CA"/>
              </w:rPr>
            </w:pPr>
            <w:r w:rsidRPr="00171582">
              <w:rPr>
                <w:rFonts w:ascii="Calibri" w:eastAsia="Times New Roman" w:hAnsi="Calibri" w:cs="Calibri"/>
                <w:b/>
                <w:bCs/>
                <w:color w:val="000000"/>
                <w:lang w:eastAsia="fr-CA"/>
              </w:rPr>
              <w:t>10</w:t>
            </w:r>
          </w:p>
        </w:tc>
      </w:tr>
      <w:tr w:rsidR="002458D2" w:rsidRPr="00171582" w14:paraId="3DB14AB7" w14:textId="77777777" w:rsidTr="002458D2">
        <w:trPr>
          <w:trHeight w:val="315"/>
        </w:trPr>
        <w:tc>
          <w:tcPr>
            <w:tcW w:w="2962" w:type="dxa"/>
            <w:tcBorders>
              <w:top w:val="single" w:sz="12" w:space="0" w:color="000000"/>
              <w:left w:val="single" w:sz="12" w:space="0" w:color="000000"/>
              <w:bottom w:val="single" w:sz="4" w:space="0" w:color="000000"/>
              <w:right w:val="single" w:sz="12" w:space="0" w:color="000000"/>
            </w:tcBorders>
            <w:shd w:val="clear" w:color="FDDCE8" w:fill="FDDCE8"/>
            <w:noWrap/>
            <w:vAlign w:val="bottom"/>
            <w:hideMark/>
          </w:tcPr>
          <w:p w14:paraId="5D1443E4" w14:textId="77777777" w:rsidR="002458D2" w:rsidRPr="00171582" w:rsidRDefault="002458D2" w:rsidP="002458D2">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Nombre d’itérations</w:t>
            </w:r>
          </w:p>
        </w:tc>
        <w:tc>
          <w:tcPr>
            <w:tcW w:w="976" w:type="dxa"/>
            <w:tcBorders>
              <w:top w:val="single" w:sz="12" w:space="0" w:color="000000"/>
              <w:left w:val="single" w:sz="12" w:space="0" w:color="000000"/>
              <w:bottom w:val="single" w:sz="4" w:space="0" w:color="000000"/>
              <w:right w:val="single" w:sz="4" w:space="0" w:color="000000"/>
            </w:tcBorders>
            <w:shd w:val="clear" w:color="FDDCE8" w:fill="FDDCE8"/>
            <w:noWrap/>
            <w:vAlign w:val="bottom"/>
            <w:hideMark/>
          </w:tcPr>
          <w:p w14:paraId="6D7D5765"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59,67</w:t>
            </w:r>
          </w:p>
        </w:tc>
        <w:tc>
          <w:tcPr>
            <w:tcW w:w="1250"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7C8EA829"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107,00</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07D63172"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118,67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F33A254"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159,67</w:t>
            </w:r>
          </w:p>
        </w:tc>
        <w:tc>
          <w:tcPr>
            <w:tcW w:w="1089" w:type="dxa"/>
            <w:tcBorders>
              <w:top w:val="single" w:sz="12" w:space="0" w:color="000000"/>
              <w:left w:val="single" w:sz="4" w:space="0" w:color="000000"/>
              <w:bottom w:val="single" w:sz="4" w:space="0" w:color="000000"/>
              <w:right w:val="single" w:sz="4" w:space="0" w:color="000000"/>
            </w:tcBorders>
            <w:shd w:val="clear" w:color="FDDCE8" w:fill="FDDCE8"/>
            <w:noWrap/>
            <w:vAlign w:val="bottom"/>
            <w:hideMark/>
          </w:tcPr>
          <w:p w14:paraId="3AE74808"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88,00</w:t>
            </w:r>
          </w:p>
        </w:tc>
        <w:tc>
          <w:tcPr>
            <w:tcW w:w="928" w:type="dxa"/>
            <w:tcBorders>
              <w:top w:val="single" w:sz="12" w:space="0" w:color="000000"/>
              <w:left w:val="single" w:sz="4" w:space="0" w:color="000000"/>
              <w:bottom w:val="single" w:sz="4" w:space="0" w:color="000000"/>
              <w:right w:val="single" w:sz="12" w:space="0" w:color="000000"/>
            </w:tcBorders>
            <w:shd w:val="clear" w:color="FDDCE8" w:fill="FDDCE8"/>
            <w:noWrap/>
            <w:vAlign w:val="bottom"/>
            <w:hideMark/>
          </w:tcPr>
          <w:p w14:paraId="55C33ABD"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68,00</w:t>
            </w:r>
          </w:p>
        </w:tc>
      </w:tr>
      <w:tr w:rsidR="002458D2" w:rsidRPr="00171582" w14:paraId="0B863B58" w14:textId="77777777" w:rsidTr="002458D2">
        <w:trPr>
          <w:trHeight w:val="300"/>
        </w:trPr>
        <w:tc>
          <w:tcPr>
            <w:tcW w:w="2962" w:type="dxa"/>
            <w:tcBorders>
              <w:top w:val="single" w:sz="4" w:space="0" w:color="000000"/>
              <w:left w:val="single" w:sz="12" w:space="0" w:color="000000"/>
              <w:bottom w:val="single" w:sz="4" w:space="0" w:color="000000"/>
              <w:right w:val="single" w:sz="12" w:space="0" w:color="000000"/>
            </w:tcBorders>
            <w:shd w:val="clear" w:color="FFFFFF" w:fill="FFFFFF"/>
            <w:noWrap/>
            <w:vAlign w:val="bottom"/>
            <w:hideMark/>
          </w:tcPr>
          <w:p w14:paraId="558C1117" w14:textId="77777777" w:rsidR="002458D2" w:rsidRPr="00171582" w:rsidRDefault="002458D2" w:rsidP="002458D2">
            <w:pPr>
              <w:spacing w:after="0" w:line="240" w:lineRule="auto"/>
              <w:rPr>
                <w:rFonts w:ascii="Calibri" w:eastAsia="Times New Roman" w:hAnsi="Calibri" w:cs="Calibri"/>
                <w:color w:val="000000"/>
                <w:lang w:eastAsia="fr-CA"/>
              </w:rPr>
            </w:pPr>
            <w:r w:rsidRPr="00171582">
              <w:rPr>
                <w:rFonts w:ascii="Calibri" w:eastAsia="Times New Roman" w:hAnsi="Calibri" w:cs="Calibri"/>
                <w:color w:val="000000"/>
                <w:lang w:eastAsia="fr-CA"/>
              </w:rPr>
              <w:t>Temps</w:t>
            </w:r>
            <w:r>
              <w:rPr>
                <w:rFonts w:ascii="Calibri" w:eastAsia="Times New Roman" w:hAnsi="Calibri" w:cs="Calibri"/>
                <w:color w:val="000000"/>
                <w:lang w:eastAsia="fr-CA"/>
              </w:rPr>
              <w:t xml:space="preserve"> </w:t>
            </w:r>
            <w:r w:rsidRPr="00171582">
              <w:rPr>
                <w:rFonts w:ascii="Calibri" w:eastAsia="Times New Roman" w:hAnsi="Calibri" w:cs="Calibri"/>
                <w:color w:val="000000"/>
                <w:lang w:eastAsia="fr-CA"/>
              </w:rPr>
              <w:t>Moyen</w:t>
            </w:r>
            <w:r>
              <w:rPr>
                <w:rFonts w:ascii="Calibri" w:eastAsia="Times New Roman" w:hAnsi="Calibri" w:cs="Calibri"/>
                <w:color w:val="000000"/>
                <w:lang w:eastAsia="fr-CA"/>
              </w:rPr>
              <w:t xml:space="preserve"> par itération </w:t>
            </w:r>
            <w:r w:rsidRPr="00171582">
              <w:rPr>
                <w:rFonts w:ascii="Calibri" w:eastAsia="Times New Roman" w:hAnsi="Calibri" w:cs="Calibri"/>
                <w:color w:val="000000"/>
                <w:lang w:eastAsia="fr-CA"/>
              </w:rPr>
              <w:t>(s)</w:t>
            </w:r>
          </w:p>
        </w:tc>
        <w:tc>
          <w:tcPr>
            <w:tcW w:w="976" w:type="dxa"/>
            <w:tcBorders>
              <w:top w:val="single" w:sz="4" w:space="0" w:color="000000"/>
              <w:left w:val="single" w:sz="12" w:space="0" w:color="000000"/>
              <w:bottom w:val="single" w:sz="4" w:space="0" w:color="000000"/>
              <w:right w:val="single" w:sz="4" w:space="0" w:color="000000"/>
            </w:tcBorders>
            <w:shd w:val="clear" w:color="FFFFFF" w:fill="FFFFFF"/>
            <w:noWrap/>
            <w:vAlign w:val="bottom"/>
            <w:hideMark/>
          </w:tcPr>
          <w:p w14:paraId="79788B8C"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382,80</w:t>
            </w:r>
          </w:p>
        </w:tc>
        <w:tc>
          <w:tcPr>
            <w:tcW w:w="125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08E8527"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180,53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696F66C"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67,31</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8784B20"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29,53</w:t>
            </w:r>
          </w:p>
        </w:tc>
        <w:tc>
          <w:tcPr>
            <w:tcW w:w="1089"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9E6E5CF"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12,69</w:t>
            </w:r>
          </w:p>
        </w:tc>
        <w:tc>
          <w:tcPr>
            <w:tcW w:w="928" w:type="dxa"/>
            <w:tcBorders>
              <w:top w:val="single" w:sz="4" w:space="0" w:color="000000"/>
              <w:left w:val="single" w:sz="4" w:space="0" w:color="000000"/>
              <w:bottom w:val="single" w:sz="4" w:space="0" w:color="000000"/>
              <w:right w:val="single" w:sz="12" w:space="0" w:color="000000"/>
            </w:tcBorders>
            <w:shd w:val="clear" w:color="FFFFFF" w:fill="FFFFFF"/>
            <w:noWrap/>
            <w:vAlign w:val="bottom"/>
            <w:hideMark/>
          </w:tcPr>
          <w:p w14:paraId="2A0B3893"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7,35</w:t>
            </w:r>
          </w:p>
        </w:tc>
      </w:tr>
      <w:tr w:rsidR="002458D2" w:rsidRPr="00171582" w14:paraId="007836C3" w14:textId="77777777" w:rsidTr="002458D2">
        <w:trPr>
          <w:trHeight w:val="315"/>
        </w:trPr>
        <w:tc>
          <w:tcPr>
            <w:tcW w:w="2962" w:type="dxa"/>
            <w:tcBorders>
              <w:top w:val="single" w:sz="4" w:space="0" w:color="000000"/>
              <w:left w:val="single" w:sz="12" w:space="0" w:color="000000"/>
              <w:bottom w:val="single" w:sz="12" w:space="0" w:color="000000"/>
              <w:right w:val="single" w:sz="12" w:space="0" w:color="000000"/>
            </w:tcBorders>
            <w:shd w:val="clear" w:color="FDDCE8" w:fill="FDDCE8"/>
            <w:noWrap/>
            <w:vAlign w:val="bottom"/>
            <w:hideMark/>
          </w:tcPr>
          <w:p w14:paraId="379F4D93" w14:textId="77777777" w:rsidR="002458D2" w:rsidRPr="00171582" w:rsidRDefault="002458D2" w:rsidP="002458D2">
            <w:pPr>
              <w:spacing w:after="0" w:line="240" w:lineRule="auto"/>
              <w:rPr>
                <w:rFonts w:ascii="Calibri" w:eastAsia="Times New Roman" w:hAnsi="Calibri" w:cs="Calibri"/>
                <w:color w:val="000000"/>
                <w:lang w:eastAsia="fr-CA"/>
              </w:rPr>
            </w:pPr>
            <w:r w:rsidRPr="00171582">
              <w:rPr>
                <w:rFonts w:ascii="Calibri" w:eastAsia="Times New Roman" w:hAnsi="Calibri" w:cs="Calibri"/>
                <w:color w:val="000000"/>
                <w:lang w:eastAsia="fr-CA"/>
              </w:rPr>
              <w:t>Temps</w:t>
            </w:r>
            <w:r>
              <w:rPr>
                <w:rFonts w:ascii="Calibri" w:eastAsia="Times New Roman" w:hAnsi="Calibri" w:cs="Calibri"/>
                <w:color w:val="000000"/>
                <w:lang w:eastAsia="fr-CA"/>
              </w:rPr>
              <w:t xml:space="preserve"> </w:t>
            </w:r>
            <w:r w:rsidRPr="00171582">
              <w:rPr>
                <w:rFonts w:ascii="Calibri" w:eastAsia="Times New Roman" w:hAnsi="Calibri" w:cs="Calibri"/>
                <w:color w:val="000000"/>
                <w:lang w:eastAsia="fr-CA"/>
              </w:rPr>
              <w:t>Total</w:t>
            </w:r>
            <w:r>
              <w:rPr>
                <w:rFonts w:ascii="Calibri" w:eastAsia="Times New Roman" w:hAnsi="Calibri" w:cs="Calibri"/>
                <w:color w:val="000000"/>
                <w:lang w:eastAsia="fr-CA"/>
              </w:rPr>
              <w:t xml:space="preserve"> </w:t>
            </w:r>
            <w:r w:rsidRPr="00171582">
              <w:rPr>
                <w:rFonts w:ascii="Calibri" w:eastAsia="Times New Roman" w:hAnsi="Calibri" w:cs="Calibri"/>
                <w:color w:val="000000"/>
                <w:lang w:eastAsia="fr-CA"/>
              </w:rPr>
              <w:t>(s)</w:t>
            </w:r>
          </w:p>
        </w:tc>
        <w:tc>
          <w:tcPr>
            <w:tcW w:w="976" w:type="dxa"/>
            <w:tcBorders>
              <w:top w:val="single" w:sz="4" w:space="0" w:color="000000"/>
              <w:left w:val="single" w:sz="12" w:space="0" w:color="000000"/>
              <w:bottom w:val="single" w:sz="12" w:space="0" w:color="000000"/>
              <w:right w:val="single" w:sz="4" w:space="0" w:color="000000"/>
            </w:tcBorders>
            <w:shd w:val="clear" w:color="FDDCE8" w:fill="FDDCE8"/>
            <w:noWrap/>
            <w:vAlign w:val="bottom"/>
            <w:hideMark/>
          </w:tcPr>
          <w:p w14:paraId="756FD97D"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22841,14</w:t>
            </w:r>
          </w:p>
        </w:tc>
        <w:tc>
          <w:tcPr>
            <w:tcW w:w="1250"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5EF78F7D"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19261,11</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5A488AA5"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8022,37</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2BFBCCC9"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4730,20</w:t>
            </w:r>
          </w:p>
        </w:tc>
        <w:tc>
          <w:tcPr>
            <w:tcW w:w="1089" w:type="dxa"/>
            <w:tcBorders>
              <w:top w:val="single" w:sz="4" w:space="0" w:color="000000"/>
              <w:left w:val="single" w:sz="4" w:space="0" w:color="000000"/>
              <w:bottom w:val="single" w:sz="12" w:space="0" w:color="000000"/>
              <w:right w:val="single" w:sz="4" w:space="0" w:color="000000"/>
            </w:tcBorders>
            <w:shd w:val="clear" w:color="FDDCE8" w:fill="FDDCE8"/>
            <w:noWrap/>
            <w:vAlign w:val="bottom"/>
            <w:hideMark/>
          </w:tcPr>
          <w:p w14:paraId="75EC039F"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1116,62</w:t>
            </w:r>
          </w:p>
        </w:tc>
        <w:tc>
          <w:tcPr>
            <w:tcW w:w="928" w:type="dxa"/>
            <w:tcBorders>
              <w:top w:val="single" w:sz="4" w:space="0" w:color="000000"/>
              <w:left w:val="single" w:sz="4" w:space="0" w:color="000000"/>
              <w:bottom w:val="single" w:sz="12" w:space="0" w:color="000000"/>
              <w:right w:val="single" w:sz="12" w:space="0" w:color="000000"/>
            </w:tcBorders>
            <w:shd w:val="clear" w:color="FDDCE8" w:fill="FDDCE8"/>
            <w:noWrap/>
            <w:vAlign w:val="bottom"/>
            <w:hideMark/>
          </w:tcPr>
          <w:p w14:paraId="7A53EB56" w14:textId="77777777" w:rsidR="002458D2" w:rsidRPr="00171582" w:rsidRDefault="002458D2" w:rsidP="002458D2">
            <w:pPr>
              <w:spacing w:after="0" w:line="240" w:lineRule="auto"/>
              <w:jc w:val="right"/>
              <w:rPr>
                <w:rFonts w:ascii="Calibri" w:eastAsia="Times New Roman" w:hAnsi="Calibri" w:cs="Calibri"/>
                <w:color w:val="000000"/>
                <w:lang w:eastAsia="fr-CA"/>
              </w:rPr>
            </w:pPr>
            <w:r w:rsidRPr="00171582">
              <w:rPr>
                <w:rFonts w:ascii="Calibri" w:eastAsia="Times New Roman" w:hAnsi="Calibri" w:cs="Calibri"/>
                <w:color w:val="000000"/>
                <w:lang w:eastAsia="fr-CA"/>
              </w:rPr>
              <w:t>500,40</w:t>
            </w:r>
          </w:p>
        </w:tc>
      </w:tr>
    </w:tbl>
    <w:p w14:paraId="1B1DA4BA" w14:textId="3D90430C" w:rsidR="00171582" w:rsidRPr="007F408A" w:rsidRDefault="007F408A" w:rsidP="00C22850">
      <w:pPr>
        <w:jc w:val="center"/>
        <w:rPr>
          <w:b/>
          <w:bCs/>
          <w:noProof/>
        </w:rPr>
      </w:pPr>
      <w:r>
        <w:rPr>
          <w:b/>
          <w:bCs/>
          <w:noProof/>
        </w:rPr>
        <w:t>Tableau</w:t>
      </w:r>
      <w:r w:rsidR="00171582" w:rsidRPr="007F408A">
        <w:rPr>
          <w:b/>
          <w:bCs/>
          <w:noProof/>
        </w:rPr>
        <w:t xml:space="preserve"> </w:t>
      </w:r>
      <w:r>
        <w:rPr>
          <w:b/>
          <w:bCs/>
          <w:noProof/>
        </w:rPr>
        <w:t>1</w:t>
      </w:r>
      <w:r w:rsidR="00171582" w:rsidRPr="007F408A">
        <w:rPr>
          <w:b/>
          <w:bCs/>
          <w:noProof/>
        </w:rPr>
        <w:t xml:space="preserve"> : </w:t>
      </w:r>
      <w:r w:rsidRPr="007F408A">
        <w:rPr>
          <w:rFonts w:ascii="Calibri" w:eastAsia="Times New Roman" w:hAnsi="Calibri" w:cs="Calibri"/>
          <w:b/>
          <w:bCs/>
          <w:color w:val="000000"/>
          <w:lang w:eastAsia="fr-CA"/>
        </w:rPr>
        <w:t>Moyenne des résultats des fenêtre</w:t>
      </w:r>
      <w:r w:rsidR="00DC5764">
        <w:rPr>
          <w:rFonts w:ascii="Calibri" w:eastAsia="Times New Roman" w:hAnsi="Calibri" w:cs="Calibri"/>
          <w:b/>
          <w:bCs/>
          <w:color w:val="000000"/>
          <w:lang w:eastAsia="fr-CA"/>
        </w:rPr>
        <w:t>s</w:t>
      </w:r>
      <w:r w:rsidRPr="007F408A">
        <w:rPr>
          <w:rFonts w:ascii="Calibri" w:eastAsia="Times New Roman" w:hAnsi="Calibri" w:cs="Calibri"/>
          <w:b/>
          <w:bCs/>
          <w:color w:val="000000"/>
          <w:lang w:eastAsia="fr-CA"/>
        </w:rPr>
        <w:t xml:space="preserve"> 5 à 9</w:t>
      </w:r>
      <w:r w:rsidR="00BB361B">
        <w:rPr>
          <w:rFonts w:ascii="Calibri" w:eastAsia="Times New Roman" w:hAnsi="Calibri" w:cs="Calibri"/>
          <w:b/>
          <w:bCs/>
          <w:color w:val="000000"/>
          <w:lang w:eastAsia="fr-CA"/>
        </w:rPr>
        <w:t xml:space="preserve"> selon le nombre de clusters</w:t>
      </w:r>
    </w:p>
    <w:p w14:paraId="09605799" w14:textId="77777777" w:rsidR="00F51279" w:rsidRDefault="00F51279">
      <w:pPr>
        <w:rPr>
          <w:noProof/>
        </w:rPr>
      </w:pPr>
    </w:p>
    <w:p w14:paraId="23306E92" w14:textId="50606DFA" w:rsidR="00BB361B" w:rsidRDefault="00C22850">
      <w:pPr>
        <w:rPr>
          <w:noProof/>
        </w:rPr>
      </w:pPr>
      <w:r>
        <w:rPr>
          <w:noProof/>
        </w:rPr>
        <w:t xml:space="preserve">En analysant les données figurant dans le </w:t>
      </w:r>
      <w:r w:rsidRPr="00BB361B">
        <w:rPr>
          <w:b/>
          <w:bCs/>
          <w:noProof/>
        </w:rPr>
        <w:t>Tableau 1</w:t>
      </w:r>
      <w:r>
        <w:rPr>
          <w:noProof/>
        </w:rPr>
        <w:t xml:space="preserve">, nous observons que le temps moyen de calcul par itération suit une augmentation constante et linéaire. Quant au temps total (en secondes) requis pour effectuer l’ensemble des calculs, </w:t>
      </w:r>
      <w:r>
        <w:rPr>
          <w:noProof/>
        </w:rPr>
        <w:t>l’augmentation ne suit pas une augmentation linéaire compte</w:t>
      </w:r>
      <w:r w:rsidR="00DC5764">
        <w:rPr>
          <w:noProof/>
        </w:rPr>
        <w:t xml:space="preserve"> </w:t>
      </w:r>
      <w:r>
        <w:rPr>
          <w:noProof/>
        </w:rPr>
        <w:t>tenu que le nombre d’itération</w:t>
      </w:r>
      <w:r w:rsidR="00DC5764">
        <w:rPr>
          <w:noProof/>
        </w:rPr>
        <w:t>s</w:t>
      </w:r>
      <w:r>
        <w:rPr>
          <w:noProof/>
        </w:rPr>
        <w:t xml:space="preserve"> varie grandement d’un exerci</w:t>
      </w:r>
      <w:r w:rsidR="00DC5764">
        <w:rPr>
          <w:noProof/>
        </w:rPr>
        <w:t>ce</w:t>
      </w:r>
      <w:r>
        <w:rPr>
          <w:noProof/>
        </w:rPr>
        <w:t xml:space="preserve"> à l’autre.</w:t>
      </w:r>
    </w:p>
    <w:p w14:paraId="10EBBBB2" w14:textId="514B00C7" w:rsidR="00171582" w:rsidRDefault="00E5145C">
      <w:pPr>
        <w:rPr>
          <w:noProof/>
        </w:rPr>
      </w:pPr>
      <w:r>
        <w:rPr>
          <w:noProof/>
        </w:rPr>
        <w:drawing>
          <wp:inline distT="0" distB="0" distL="0" distR="0" wp14:anchorId="6B6EFD6E" wp14:editId="1B4B054C">
            <wp:extent cx="4924425" cy="2581275"/>
            <wp:effectExtent l="0" t="0" r="9525" b="9525"/>
            <wp:docPr id="1" name="Graphique 1">
              <a:extLst xmlns:a="http://schemas.openxmlformats.org/drawingml/2006/main">
                <a:ext uri="{FF2B5EF4-FFF2-40B4-BE49-F238E27FC236}">
                  <a16:creationId xmlns:a16="http://schemas.microsoft.com/office/drawing/2014/main" id="{C34CCBFA-BF22-4FD1-88C1-3456FDCFE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AFC1B1" w14:textId="3E172A00" w:rsidR="00BB361B" w:rsidRPr="007F408A" w:rsidRDefault="00BB361B" w:rsidP="00BB361B">
      <w:pPr>
        <w:jc w:val="center"/>
        <w:rPr>
          <w:b/>
          <w:bCs/>
          <w:noProof/>
        </w:rPr>
      </w:pPr>
      <w:r>
        <w:rPr>
          <w:b/>
          <w:bCs/>
          <w:noProof/>
        </w:rPr>
        <w:t>Figure 1</w:t>
      </w:r>
      <w:r w:rsidRPr="007F408A">
        <w:rPr>
          <w:b/>
          <w:bCs/>
          <w:noProof/>
        </w:rPr>
        <w:t> :</w:t>
      </w:r>
      <w:r>
        <w:rPr>
          <w:b/>
          <w:bCs/>
          <w:noProof/>
        </w:rPr>
        <w:t xml:space="preserve"> Nombre moyen d’itérations selon le nombre de clusters </w:t>
      </w:r>
    </w:p>
    <w:p w14:paraId="65662D8F" w14:textId="2D99FFEE" w:rsidR="00627670" w:rsidRDefault="00F51279" w:rsidP="00F51279">
      <w:pPr>
        <w:rPr>
          <w:noProof/>
        </w:rPr>
      </w:pPr>
      <w:r>
        <w:rPr>
          <w:noProof/>
        </w:rPr>
        <w:lastRenderedPageBreak/>
        <w:t>En observant</w:t>
      </w:r>
      <w:r w:rsidR="00627670">
        <w:rPr>
          <w:noProof/>
        </w:rPr>
        <w:t xml:space="preserve"> les résu</w:t>
      </w:r>
      <w:r w:rsidR="00DC5764">
        <w:rPr>
          <w:noProof/>
        </w:rPr>
        <w:t>lt</w:t>
      </w:r>
      <w:r w:rsidR="00627670">
        <w:rPr>
          <w:noProof/>
        </w:rPr>
        <w:t>ats de la Figure 1, nous constatons que les données sont réparties sous forme de cloche s’approchant d’un</w:t>
      </w:r>
      <w:r w:rsidR="00DC5764">
        <w:rPr>
          <w:noProof/>
        </w:rPr>
        <w:t>e</w:t>
      </w:r>
      <w:r w:rsidR="00627670">
        <w:rPr>
          <w:noProof/>
        </w:rPr>
        <w:t xml:space="preserve"> courbe de distribution de la loi normale. En effet, le nombre d’itérations est nettement plus élevé pour le k50 et le k10, contrairement au nombre plus faible du k10 et k500. </w:t>
      </w:r>
    </w:p>
    <w:p w14:paraId="6F6309FE" w14:textId="7D868B46" w:rsidR="00F51279" w:rsidRPr="00F51279" w:rsidRDefault="00627670" w:rsidP="00F51279">
      <w:r>
        <w:rPr>
          <w:noProof/>
        </w:rPr>
        <w:t>Néanmoins, compte</w:t>
      </w:r>
      <w:r w:rsidR="00DC5764">
        <w:rPr>
          <w:noProof/>
        </w:rPr>
        <w:t xml:space="preserve"> </w:t>
      </w:r>
      <w:r>
        <w:rPr>
          <w:noProof/>
        </w:rPr>
        <w:t>tenu le faible échantillon disponible pour chaque catégorie (3), il est difficile de s’avancer plus loin que de la simple observation. Il aurait été intéressant d’acquérir un échantillon de données plus significatif.</w:t>
      </w:r>
    </w:p>
    <w:p w14:paraId="16E3B620" w14:textId="77777777" w:rsidR="00BB361B" w:rsidRDefault="00BB361B" w:rsidP="00BB361B">
      <w:pPr>
        <w:rPr>
          <w:noProof/>
        </w:rPr>
      </w:pPr>
      <w:r>
        <w:rPr>
          <w:noProof/>
        </w:rPr>
        <w:drawing>
          <wp:inline distT="0" distB="0" distL="0" distR="0" wp14:anchorId="6A849392" wp14:editId="2EDADEAE">
            <wp:extent cx="5486400" cy="339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2170"/>
                    </a:xfrm>
                    <a:prstGeom prst="rect">
                      <a:avLst/>
                    </a:prstGeom>
                    <a:noFill/>
                    <a:ln>
                      <a:noFill/>
                    </a:ln>
                  </pic:spPr>
                </pic:pic>
              </a:graphicData>
            </a:graphic>
          </wp:inline>
        </w:drawing>
      </w:r>
    </w:p>
    <w:p w14:paraId="38CEA45F" w14:textId="77777777" w:rsidR="00BB361B" w:rsidRPr="007F408A" w:rsidRDefault="00BB361B" w:rsidP="00BB361B">
      <w:pPr>
        <w:jc w:val="center"/>
        <w:rPr>
          <w:b/>
          <w:bCs/>
          <w:noProof/>
        </w:rPr>
      </w:pPr>
      <w:r w:rsidRPr="007F408A">
        <w:rPr>
          <w:b/>
          <w:bCs/>
          <w:noProof/>
        </w:rPr>
        <w:t xml:space="preserve">Figure </w:t>
      </w:r>
      <w:r>
        <w:rPr>
          <w:b/>
          <w:bCs/>
          <w:noProof/>
        </w:rPr>
        <w:t>2</w:t>
      </w:r>
      <w:r w:rsidRPr="007F408A">
        <w:rPr>
          <w:b/>
          <w:bCs/>
          <w:noProof/>
        </w:rPr>
        <w:t xml:space="preserve"> : </w:t>
      </w:r>
      <w:r>
        <w:rPr>
          <w:rFonts w:ascii="Calibri" w:eastAsia="Times New Roman" w:hAnsi="Calibri" w:cs="Calibri"/>
          <w:b/>
          <w:bCs/>
          <w:color w:val="000000"/>
          <w:lang w:eastAsia="fr-CA"/>
        </w:rPr>
        <w:t>Graphique démontrant le nombre de de changements par itérations pour les calculs effectués avec une fenêtre de 5.</w:t>
      </w:r>
    </w:p>
    <w:p w14:paraId="26601171" w14:textId="6CAEB8D2" w:rsidR="00BB361B" w:rsidRDefault="00BB361B" w:rsidP="00171582">
      <w:pPr>
        <w:pStyle w:val="Titre2"/>
        <w:rPr>
          <w:noProof/>
        </w:rPr>
      </w:pPr>
    </w:p>
    <w:p w14:paraId="05F530A7" w14:textId="7AC5061A" w:rsidR="00627670" w:rsidRDefault="00F277BE" w:rsidP="00627670">
      <w:r>
        <w:t xml:space="preserve">En analysant la </w:t>
      </w:r>
      <w:r w:rsidRPr="00F277BE">
        <w:rPr>
          <w:b/>
          <w:bCs/>
        </w:rPr>
        <w:t>Figure 2</w:t>
      </w:r>
      <w:r>
        <w:t xml:space="preserve">, </w:t>
      </w:r>
      <w:r w:rsidR="00DC5764">
        <w:t>l</w:t>
      </w:r>
      <w:r w:rsidR="00627670">
        <w:t>e nombre de changements par itérations suit une distribut</w:t>
      </w:r>
      <w:r w:rsidR="00DC5764">
        <w:t>i</w:t>
      </w:r>
      <w:r w:rsidR="00627670">
        <w:t xml:space="preserve">on expentionelle négative. En effet, comme l’algorithme Kmeans tend à </w:t>
      </w:r>
      <w:r>
        <w:t>stabiliser les clusters</w:t>
      </w:r>
      <w:r w:rsidR="00627670">
        <w:t xml:space="preserve">, il est normal de constater que le nombre de changements se rapprochant invariablement de zéro. </w:t>
      </w:r>
    </w:p>
    <w:p w14:paraId="5DD49B0F" w14:textId="3F90987C" w:rsidR="00627670" w:rsidRPr="00627670" w:rsidRDefault="00627670" w:rsidP="00627670"/>
    <w:p w14:paraId="1D6320BC" w14:textId="70B2F9E5" w:rsidR="00BB361B" w:rsidRDefault="00BB361B" w:rsidP="00171582">
      <w:pPr>
        <w:pStyle w:val="Titre2"/>
        <w:rPr>
          <w:noProof/>
        </w:rPr>
      </w:pPr>
    </w:p>
    <w:p w14:paraId="1D29B96F" w14:textId="64BB98E2" w:rsidR="00F277BE" w:rsidRDefault="00F277BE" w:rsidP="00F277BE"/>
    <w:p w14:paraId="0BE513D6" w14:textId="6E36A446" w:rsidR="00F277BE" w:rsidRDefault="00F277BE" w:rsidP="00F277BE"/>
    <w:p w14:paraId="4148FFB9" w14:textId="2887446F" w:rsidR="00F277BE" w:rsidRDefault="00F277BE" w:rsidP="00F277BE"/>
    <w:p w14:paraId="68592333" w14:textId="3EA8434E" w:rsidR="00F277BE" w:rsidRDefault="00F277BE" w:rsidP="00F277BE"/>
    <w:p w14:paraId="582AD0C4" w14:textId="77777777" w:rsidR="00F277BE" w:rsidRPr="00F277BE" w:rsidRDefault="00F277BE" w:rsidP="00F277BE"/>
    <w:p w14:paraId="234CE6C0" w14:textId="167F11C3" w:rsidR="00171582" w:rsidRDefault="00BB361B" w:rsidP="00171582">
      <w:pPr>
        <w:pStyle w:val="Titre2"/>
        <w:rPr>
          <w:noProof/>
        </w:rPr>
      </w:pPr>
      <w:r>
        <w:rPr>
          <w:noProof/>
        </w:rPr>
        <w:lastRenderedPageBreak/>
        <w:t>Discussion</w:t>
      </w:r>
      <w:r w:rsidR="00171582">
        <w:rPr>
          <w:noProof/>
        </w:rPr>
        <w:t> :</w:t>
      </w:r>
    </w:p>
    <w:p w14:paraId="0687AE14" w14:textId="1AD34295" w:rsidR="00171582" w:rsidRDefault="00171582">
      <w:pPr>
        <w:rPr>
          <w:noProof/>
        </w:rPr>
      </w:pPr>
    </w:p>
    <w:p w14:paraId="35AE189C" w14:textId="6AB93B01" w:rsidR="00F277BE" w:rsidRDefault="00F277BE">
      <w:pPr>
        <w:rPr>
          <w:noProof/>
        </w:rPr>
      </w:pPr>
    </w:p>
    <w:p w14:paraId="27C0AC83" w14:textId="38C21121" w:rsidR="00F277BE" w:rsidRDefault="00F277BE" w:rsidP="00F277BE">
      <w:pPr>
        <w:pStyle w:val="Titre3"/>
      </w:pPr>
      <w:r>
        <w:t>Hypothèse</w:t>
      </w:r>
      <w:r>
        <w:t> : Plus le score sera élevé, plus le mot sera commun.</w:t>
      </w:r>
    </w:p>
    <w:p w14:paraId="0817E0EE" w14:textId="171CB7F2" w:rsidR="00F277BE" w:rsidRDefault="00F277BE" w:rsidP="00F277BE"/>
    <w:tbl>
      <w:tblPr>
        <w:tblW w:w="0" w:type="dxa"/>
        <w:jc w:val="center"/>
        <w:tblCellMar>
          <w:left w:w="0" w:type="dxa"/>
          <w:right w:w="0" w:type="dxa"/>
        </w:tblCellMar>
        <w:tblLook w:val="04A0" w:firstRow="1" w:lastRow="0" w:firstColumn="1" w:lastColumn="0" w:noHBand="0" w:noVBand="1"/>
      </w:tblPr>
      <w:tblGrid>
        <w:gridCol w:w="1732"/>
        <w:gridCol w:w="2116"/>
      </w:tblGrid>
      <w:tr w:rsidR="00F277BE" w:rsidRPr="00F277BE" w14:paraId="05FEEBBD" w14:textId="77777777" w:rsidTr="00F277BE">
        <w:trPr>
          <w:trHeight w:val="300"/>
          <w:jc w:val="center"/>
        </w:trPr>
        <w:tc>
          <w:tcPr>
            <w:tcW w:w="0" w:type="auto"/>
            <w:gridSpan w:val="2"/>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387574" w14:textId="77777777" w:rsidR="00F277BE" w:rsidRPr="00F277BE" w:rsidRDefault="00F277BE" w:rsidP="00F277BE">
            <w:pPr>
              <w:spacing w:after="0" w:line="240" w:lineRule="auto"/>
              <w:jc w:val="center"/>
              <w:rPr>
                <w:rFonts w:ascii="Calibri" w:eastAsia="Times New Roman" w:hAnsi="Calibri" w:cs="Calibri"/>
                <w:lang w:eastAsia="fr-CA"/>
              </w:rPr>
            </w:pPr>
            <w:r w:rsidRPr="00F277BE">
              <w:rPr>
                <w:rFonts w:ascii="Calibri" w:eastAsia="Times New Roman" w:hAnsi="Calibri" w:cs="Calibri"/>
                <w:lang w:eastAsia="fr-CA"/>
              </w:rPr>
              <w:t>T9 - K500</w:t>
            </w:r>
          </w:p>
        </w:tc>
      </w:tr>
      <w:tr w:rsidR="00F277BE" w:rsidRPr="00F277BE" w14:paraId="76F5ECEB"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1FA66A3C" w14:textId="77777777" w:rsidR="00F277BE" w:rsidRPr="00F277BE" w:rsidRDefault="00F277BE" w:rsidP="00F277BE">
            <w:pPr>
              <w:spacing w:after="0" w:line="240" w:lineRule="auto"/>
              <w:rPr>
                <w:rFonts w:ascii="Calibri" w:eastAsia="Times New Roman" w:hAnsi="Calibri" w:cs="Calibri"/>
                <w:b/>
                <w:bCs/>
                <w:color w:val="000000"/>
                <w:lang w:eastAsia="fr-CA"/>
              </w:rPr>
            </w:pPr>
            <w:r w:rsidRPr="00F277BE">
              <w:rPr>
                <w:rFonts w:ascii="Calibri" w:eastAsia="Times New Roman" w:hAnsi="Calibri" w:cs="Calibri"/>
                <w:b/>
                <w:bCs/>
                <w:color w:val="000000"/>
                <w:lang w:eastAsia="fr-CA"/>
              </w:rPr>
              <w:t xml:space="preserve">Groupe 62 </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4E463898" w14:textId="77777777" w:rsidR="00F277BE" w:rsidRPr="00F277BE" w:rsidRDefault="00F277BE" w:rsidP="00F277BE">
            <w:pPr>
              <w:spacing w:after="0" w:line="240" w:lineRule="auto"/>
              <w:rPr>
                <w:rFonts w:ascii="Calibri" w:eastAsia="Times New Roman" w:hAnsi="Calibri" w:cs="Calibri"/>
                <w:b/>
                <w:bCs/>
                <w:color w:val="000000"/>
                <w:lang w:eastAsia="fr-CA"/>
              </w:rPr>
            </w:pPr>
            <w:r w:rsidRPr="00F277BE">
              <w:rPr>
                <w:rFonts w:ascii="Calibri" w:eastAsia="Times New Roman" w:hAnsi="Calibri" w:cs="Calibri"/>
                <w:b/>
                <w:bCs/>
                <w:color w:val="000000"/>
                <w:lang w:eastAsia="fr-CA"/>
              </w:rPr>
              <w:t>Groupe 106</w:t>
            </w:r>
          </w:p>
        </w:tc>
      </w:tr>
      <w:tr w:rsidR="00F277BE" w:rsidRPr="00F277BE" w14:paraId="38A1100C"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8EDB12" w14:textId="77777777" w:rsidR="00F277BE" w:rsidRPr="00F277BE" w:rsidRDefault="00F277BE" w:rsidP="00F277BE">
            <w:pPr>
              <w:spacing w:after="0" w:line="240" w:lineRule="auto"/>
              <w:rPr>
                <w:rFonts w:ascii="Calibri" w:eastAsia="Times New Roman" w:hAnsi="Calibri" w:cs="Calibri"/>
                <w:b/>
                <w:bCs/>
                <w:color w:val="000000"/>
                <w:lang w:eastAsia="fr-CA"/>
              </w:rPr>
            </w:pPr>
            <w:r w:rsidRPr="00F277BE">
              <w:rPr>
                <w:rFonts w:ascii="Calibri" w:eastAsia="Times New Roman" w:hAnsi="Calibri" w:cs="Calibri"/>
                <w:b/>
                <w:bCs/>
                <w:color w:val="000000"/>
                <w:lang w:eastAsia="fr-CA"/>
              </w:rPr>
              <w:t>Score bas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772A5E" w14:textId="77777777" w:rsidR="00F277BE" w:rsidRPr="00F277BE" w:rsidRDefault="00F277BE" w:rsidP="00F277BE">
            <w:pPr>
              <w:spacing w:after="0" w:line="240" w:lineRule="auto"/>
              <w:rPr>
                <w:rFonts w:ascii="Calibri" w:eastAsia="Times New Roman" w:hAnsi="Calibri" w:cs="Calibri"/>
                <w:b/>
                <w:bCs/>
                <w:color w:val="000000"/>
                <w:lang w:eastAsia="fr-CA"/>
              </w:rPr>
            </w:pPr>
            <w:r w:rsidRPr="00F277BE">
              <w:rPr>
                <w:rFonts w:ascii="Calibri" w:eastAsia="Times New Roman" w:hAnsi="Calibri" w:cs="Calibri"/>
                <w:b/>
                <w:bCs/>
                <w:color w:val="000000"/>
                <w:lang w:eastAsia="fr-CA"/>
              </w:rPr>
              <w:t>Score haut</w:t>
            </w:r>
          </w:p>
        </w:tc>
      </w:tr>
      <w:tr w:rsidR="00F277BE" w:rsidRPr="00F277BE" w14:paraId="19DDF1B1"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15F1632B"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confondît --&gt; 5.14</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6876350C"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moi --&gt; 46182.33</w:t>
            </w:r>
          </w:p>
        </w:tc>
      </w:tr>
      <w:tr w:rsidR="00F277BE" w:rsidRPr="00F277BE" w14:paraId="74E7740E"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8DCF17"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massacrât --&gt; 5.30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4EA39C"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monsieur --&gt; 51899.50</w:t>
            </w:r>
          </w:p>
        </w:tc>
      </w:tr>
      <w:tr w:rsidR="00F277BE" w:rsidRPr="00F277BE" w14:paraId="127C7221"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6E5C3BDD"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foute --&gt; 5.34</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63717403"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donc --&gt; 59870.66</w:t>
            </w:r>
          </w:p>
        </w:tc>
      </w:tr>
      <w:tr w:rsidR="00F277BE" w:rsidRPr="00F277BE" w14:paraId="5BC4637E"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332A10"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ouvrît --&gt; 5.37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E18BFF"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votre --&gt; 83933.16</w:t>
            </w:r>
          </w:p>
        </w:tc>
      </w:tr>
      <w:tr w:rsidR="00F277BE" w:rsidRPr="00F277BE" w14:paraId="1AAD71F6"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1829B8E9"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grondât --&gt; 5.39</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13A777D9"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mon --&gt; 94099.33</w:t>
            </w:r>
          </w:p>
        </w:tc>
      </w:tr>
      <w:tr w:rsidR="00F277BE" w:rsidRPr="00F277BE" w14:paraId="6065907E"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9B1B4"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fichât --&gt; 5.44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2F6DF"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fait --&gt; 95692.16</w:t>
            </w:r>
          </w:p>
        </w:tc>
      </w:tr>
      <w:tr w:rsidR="00F277BE" w:rsidRPr="00F277BE" w14:paraId="6908F82E"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3365168E"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beignets --&gt; 5.45</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481F04D3"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me --&gt; 96515.33</w:t>
            </w:r>
          </w:p>
        </w:tc>
      </w:tr>
      <w:tr w:rsidR="00F277BE" w:rsidRPr="00F277BE" w14:paraId="327729B2"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5DB46"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jase --&gt; 5.48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9C8BE"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athos --&gt; 134285.16</w:t>
            </w:r>
          </w:p>
        </w:tc>
      </w:tr>
      <w:tr w:rsidR="00F277BE" w:rsidRPr="00F277BE" w14:paraId="73F398A5"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20875121"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outrée --&gt; 5.48</w:t>
            </w:r>
          </w:p>
        </w:tc>
        <w:tc>
          <w:tcPr>
            <w:tcW w:w="0" w:type="auto"/>
            <w:tcBorders>
              <w:top w:val="single" w:sz="6" w:space="0" w:color="CCCCCC"/>
              <w:left w:val="single" w:sz="6" w:space="0" w:color="CCCCCC"/>
              <w:bottom w:val="single" w:sz="6" w:space="0" w:color="CCCCCC"/>
              <w:right w:val="single" w:sz="6" w:space="0" w:color="CCCCCC"/>
            </w:tcBorders>
            <w:shd w:val="clear" w:color="auto" w:fill="E2EFDA"/>
            <w:tcMar>
              <w:top w:w="0" w:type="dxa"/>
              <w:left w:w="45" w:type="dxa"/>
              <w:bottom w:w="0" w:type="dxa"/>
              <w:right w:w="45" w:type="dxa"/>
            </w:tcMar>
            <w:vAlign w:val="bottom"/>
            <w:hideMark/>
          </w:tcPr>
          <w:p w14:paraId="02403310"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nous --&gt; 238999.33</w:t>
            </w:r>
          </w:p>
        </w:tc>
      </w:tr>
      <w:tr w:rsidR="00F277BE" w:rsidRPr="00F277BE" w14:paraId="37349088" w14:textId="77777777" w:rsidTr="00F277BE">
        <w:trPr>
          <w:trHeight w:val="300"/>
          <w:jc w:val="center"/>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3D5BF"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emportât --&gt; 5.48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9BEF34" w14:textId="77777777" w:rsidR="00F277BE" w:rsidRPr="00F277BE" w:rsidRDefault="00F277BE" w:rsidP="00F277BE">
            <w:pPr>
              <w:spacing w:after="0" w:line="240" w:lineRule="auto"/>
              <w:rPr>
                <w:rFonts w:ascii="Calibri" w:eastAsia="Times New Roman" w:hAnsi="Calibri" w:cs="Calibri"/>
                <w:color w:val="000000"/>
                <w:lang w:eastAsia="fr-CA"/>
              </w:rPr>
            </w:pPr>
            <w:r w:rsidRPr="00F277BE">
              <w:rPr>
                <w:rFonts w:ascii="Calibri" w:eastAsia="Times New Roman" w:hAnsi="Calibri" w:cs="Calibri"/>
                <w:color w:val="000000"/>
                <w:lang w:eastAsia="fr-CA"/>
              </w:rPr>
              <w:t>bien --&gt; 265233.33</w:t>
            </w:r>
          </w:p>
        </w:tc>
      </w:tr>
    </w:tbl>
    <w:p w14:paraId="43C97C35" w14:textId="559A8141" w:rsidR="00F277BE" w:rsidRPr="00F277BE" w:rsidRDefault="00F277BE" w:rsidP="00F277BE">
      <w:pPr>
        <w:jc w:val="center"/>
        <w:rPr>
          <w:b/>
          <w:bCs/>
        </w:rPr>
      </w:pPr>
      <w:r w:rsidRPr="00F277BE">
        <w:rPr>
          <w:b/>
          <w:bCs/>
        </w:rPr>
        <w:t>Tableau 2</w:t>
      </w:r>
      <w:r>
        <w:rPr>
          <w:b/>
          <w:bCs/>
        </w:rPr>
        <w:t> : Exemple de résultats avec score haut et score bas</w:t>
      </w:r>
    </w:p>
    <w:p w14:paraId="37696DBD" w14:textId="7511B157" w:rsidR="00BB361B" w:rsidRDefault="00382BC7">
      <w:pPr>
        <w:rPr>
          <w:noProof/>
        </w:rPr>
      </w:pPr>
      <w:r>
        <w:rPr>
          <w:noProof/>
        </w:rPr>
        <w:t xml:space="preserve">En prenant l’exemple du </w:t>
      </w:r>
      <w:r w:rsidRPr="00382BC7">
        <w:rPr>
          <w:b/>
          <w:bCs/>
          <w:noProof/>
        </w:rPr>
        <w:t>Tableau 2</w:t>
      </w:r>
      <w:r>
        <w:rPr>
          <w:b/>
          <w:bCs/>
          <w:noProof/>
        </w:rPr>
        <w:t xml:space="preserve">, </w:t>
      </w:r>
      <w:r>
        <w:rPr>
          <w:noProof/>
        </w:rPr>
        <w:t>nous constatons que lorsque les mots réunis dans un groupe possèdent un score élevé, ces mots sont généralement des mots plus fr</w:t>
      </w:r>
      <w:r w:rsidR="00DC5764">
        <w:rPr>
          <w:noProof/>
        </w:rPr>
        <w:t>é</w:t>
      </w:r>
      <w:r>
        <w:rPr>
          <w:noProof/>
        </w:rPr>
        <w:t>quemment utilisé</w:t>
      </w:r>
      <w:r w:rsidR="00DC5764">
        <w:rPr>
          <w:noProof/>
        </w:rPr>
        <w:t>s</w:t>
      </w:r>
      <w:r>
        <w:rPr>
          <w:noProof/>
        </w:rPr>
        <w:t xml:space="preserve"> dans l</w:t>
      </w:r>
      <w:r w:rsidR="00DC5764">
        <w:rPr>
          <w:noProof/>
        </w:rPr>
        <w:t>e</w:t>
      </w:r>
      <w:r>
        <w:rPr>
          <w:noProof/>
        </w:rPr>
        <w:t xml:space="preserve"> langage français. Tandis que, lorsqu’un groupe de mots possède un score plus bas, ces mots ont tendance à être moins commun dans le langage commun.</w:t>
      </w:r>
    </w:p>
    <w:p w14:paraId="11491CD6" w14:textId="25B30240" w:rsidR="00382BC7" w:rsidRDefault="00382BC7">
      <w:pPr>
        <w:rPr>
          <w:noProof/>
        </w:rPr>
      </w:pPr>
      <w:r>
        <w:rPr>
          <w:noProof/>
        </w:rPr>
        <w:t>Par exemple, six mots du groupe 62 emploient le passé simple comme temps de verbe (fichât, emportât, confondît, massacrât, ouvrît, grond</w:t>
      </w:r>
      <w:r w:rsidR="00DC5764">
        <w:rPr>
          <w:noProof/>
        </w:rPr>
        <w:t>î</w:t>
      </w:r>
      <w:r>
        <w:rPr>
          <w:noProof/>
        </w:rPr>
        <w:t>t). Il s’agit ici de mo</w:t>
      </w:r>
      <w:r w:rsidR="00651257">
        <w:rPr>
          <w:noProof/>
        </w:rPr>
        <w:t>t</w:t>
      </w:r>
      <w:r>
        <w:rPr>
          <w:noProof/>
        </w:rPr>
        <w:t>s devant être utilisé</w:t>
      </w:r>
      <w:r w:rsidR="00DC5764">
        <w:rPr>
          <w:noProof/>
        </w:rPr>
        <w:t>s</w:t>
      </w:r>
      <w:r>
        <w:rPr>
          <w:noProof/>
        </w:rPr>
        <w:t xml:space="preserve"> dans un contexte </w:t>
      </w:r>
      <w:r w:rsidR="00651257">
        <w:rPr>
          <w:noProof/>
        </w:rPr>
        <w:t xml:space="preserve">plus précis et moins commun. </w:t>
      </w:r>
      <w:r>
        <w:rPr>
          <w:noProof/>
        </w:rPr>
        <w:t>Le groupe 106 quant à lui, utilise des déterminants possessif</w:t>
      </w:r>
      <w:r w:rsidR="00DC5764">
        <w:rPr>
          <w:noProof/>
        </w:rPr>
        <w:t>s</w:t>
      </w:r>
      <w:r>
        <w:rPr>
          <w:noProof/>
        </w:rPr>
        <w:t xml:space="preserve"> (moi, votre, mon, me, nous) ou des allocations de titre ou de personnage (monsieur, </w:t>
      </w:r>
      <w:r w:rsidR="00DC5764">
        <w:rPr>
          <w:noProof/>
        </w:rPr>
        <w:t>A</w:t>
      </w:r>
      <w:r>
        <w:rPr>
          <w:noProof/>
        </w:rPr>
        <w:t>thos).</w:t>
      </w:r>
      <w:r w:rsidR="00651257">
        <w:rPr>
          <w:noProof/>
        </w:rPr>
        <w:t xml:space="preserve"> Il s’agit ici de mots pouvant être utilisés très réguli</w:t>
      </w:r>
      <w:r w:rsidR="00DC5764">
        <w:rPr>
          <w:noProof/>
        </w:rPr>
        <w:t>è</w:t>
      </w:r>
      <w:r w:rsidR="00651257">
        <w:rPr>
          <w:noProof/>
        </w:rPr>
        <w:t xml:space="preserve">rement dans un roman. </w:t>
      </w:r>
    </w:p>
    <w:p w14:paraId="325A52AA" w14:textId="0E711E2C" w:rsidR="00651257" w:rsidRDefault="00651257">
      <w:r>
        <w:t>Compte</w:t>
      </w:r>
      <w:r w:rsidR="00DC5764">
        <w:t xml:space="preserve"> </w:t>
      </w:r>
      <w:r>
        <w:t xml:space="preserve">tenu la taille du corpus, des mots non reliés </w:t>
      </w:r>
      <w:r>
        <w:t>en apparences</w:t>
      </w:r>
      <w:r>
        <w:t xml:space="preserve"> pourraient être associés parce qu’il</w:t>
      </w:r>
      <w:r w:rsidR="00DC5764">
        <w:t>s</w:t>
      </w:r>
      <w:r>
        <w:t xml:space="preserve"> n’ont pas été utilisé</w:t>
      </w:r>
      <w:r w:rsidR="00DC5764">
        <w:t>s</w:t>
      </w:r>
      <w:r>
        <w:t xml:space="preserve"> à de nombreuses reprises dans les textes. </w:t>
      </w:r>
    </w:p>
    <w:sectPr w:rsidR="0065125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99D6" w14:textId="77777777" w:rsidR="00CA374B" w:rsidRDefault="00CA374B" w:rsidP="00DC5764">
      <w:pPr>
        <w:spacing w:after="0" w:line="240" w:lineRule="auto"/>
      </w:pPr>
      <w:r>
        <w:separator/>
      </w:r>
    </w:p>
  </w:endnote>
  <w:endnote w:type="continuationSeparator" w:id="0">
    <w:p w14:paraId="158889D0" w14:textId="77777777" w:rsidR="00CA374B" w:rsidRDefault="00CA374B" w:rsidP="00DC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05A4" w14:textId="77777777" w:rsidR="00DC5764" w:rsidRDefault="00DC57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29A8" w14:textId="77777777" w:rsidR="00DC5764" w:rsidRDefault="00DC57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A001" w14:textId="77777777" w:rsidR="00DC5764" w:rsidRDefault="00DC57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832F" w14:textId="77777777" w:rsidR="00CA374B" w:rsidRDefault="00CA374B" w:rsidP="00DC5764">
      <w:pPr>
        <w:spacing w:after="0" w:line="240" w:lineRule="auto"/>
      </w:pPr>
      <w:r>
        <w:separator/>
      </w:r>
    </w:p>
  </w:footnote>
  <w:footnote w:type="continuationSeparator" w:id="0">
    <w:p w14:paraId="41B76D8B" w14:textId="77777777" w:rsidR="00CA374B" w:rsidRDefault="00CA374B" w:rsidP="00DC5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9D88" w14:textId="77777777" w:rsidR="00DC5764" w:rsidRDefault="00DC57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39FA" w14:textId="77777777" w:rsidR="00DC5764" w:rsidRDefault="00DC57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7F95" w14:textId="77777777" w:rsidR="00DC5764" w:rsidRDefault="00DC57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6D8"/>
    <w:multiLevelType w:val="multilevel"/>
    <w:tmpl w:val="BBC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82"/>
    <w:rsid w:val="00171582"/>
    <w:rsid w:val="002458D2"/>
    <w:rsid w:val="00382BC7"/>
    <w:rsid w:val="00627670"/>
    <w:rsid w:val="00651257"/>
    <w:rsid w:val="00744ABF"/>
    <w:rsid w:val="007F408A"/>
    <w:rsid w:val="009B55CB"/>
    <w:rsid w:val="00BB361B"/>
    <w:rsid w:val="00C22850"/>
    <w:rsid w:val="00CA374B"/>
    <w:rsid w:val="00DC5764"/>
    <w:rsid w:val="00E5145C"/>
    <w:rsid w:val="00F277BE"/>
    <w:rsid w:val="00F512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A3FC"/>
  <w15:chartTrackingRefBased/>
  <w15:docId w15:val="{9A2EB518-4033-4442-857F-C8BC3164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7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7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15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77B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F277B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C5764"/>
    <w:pPr>
      <w:tabs>
        <w:tab w:val="center" w:pos="4320"/>
        <w:tab w:val="right" w:pos="8640"/>
      </w:tabs>
      <w:spacing w:after="0" w:line="240" w:lineRule="auto"/>
    </w:pPr>
  </w:style>
  <w:style w:type="character" w:customStyle="1" w:styleId="En-tteCar">
    <w:name w:val="En-tête Car"/>
    <w:basedOn w:val="Policepardfaut"/>
    <w:link w:val="En-tte"/>
    <w:uiPriority w:val="99"/>
    <w:rsid w:val="00DC5764"/>
  </w:style>
  <w:style w:type="paragraph" w:styleId="Pieddepage">
    <w:name w:val="footer"/>
    <w:basedOn w:val="Normal"/>
    <w:link w:val="PieddepageCar"/>
    <w:uiPriority w:val="99"/>
    <w:unhideWhenUsed/>
    <w:rsid w:val="00DC576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52393">
      <w:bodyDiv w:val="1"/>
      <w:marLeft w:val="0"/>
      <w:marRight w:val="0"/>
      <w:marTop w:val="0"/>
      <w:marBottom w:val="0"/>
      <w:divBdr>
        <w:top w:val="none" w:sz="0" w:space="0" w:color="auto"/>
        <w:left w:val="none" w:sz="0" w:space="0" w:color="auto"/>
        <w:bottom w:val="none" w:sz="0" w:space="0" w:color="auto"/>
        <w:right w:val="none" w:sz="0" w:space="0" w:color="auto"/>
      </w:divBdr>
    </w:div>
    <w:div w:id="1592011154">
      <w:bodyDiv w:val="1"/>
      <w:marLeft w:val="0"/>
      <w:marRight w:val="0"/>
      <w:marTop w:val="0"/>
      <w:marBottom w:val="0"/>
      <w:divBdr>
        <w:top w:val="none" w:sz="0" w:space="0" w:color="auto"/>
        <w:left w:val="none" w:sz="0" w:space="0" w:color="auto"/>
        <w:bottom w:val="none" w:sz="0" w:space="0" w:color="auto"/>
        <w:right w:val="none" w:sz="0" w:space="0" w:color="auto"/>
      </w:divBdr>
    </w:div>
    <w:div w:id="1905289148">
      <w:bodyDiv w:val="1"/>
      <w:marLeft w:val="0"/>
      <w:marRight w:val="0"/>
      <w:marTop w:val="0"/>
      <w:marBottom w:val="0"/>
      <w:divBdr>
        <w:top w:val="none" w:sz="0" w:space="0" w:color="auto"/>
        <w:left w:val="none" w:sz="0" w:space="0" w:color="auto"/>
        <w:bottom w:val="none" w:sz="0" w:space="0" w:color="auto"/>
        <w:right w:val="none" w:sz="0" w:space="0" w:color="auto"/>
      </w:divBdr>
    </w:div>
    <w:div w:id="2010131968">
      <w:bodyDiv w:val="1"/>
      <w:marLeft w:val="0"/>
      <w:marRight w:val="0"/>
      <w:marTop w:val="0"/>
      <w:marBottom w:val="0"/>
      <w:divBdr>
        <w:top w:val="none" w:sz="0" w:space="0" w:color="auto"/>
        <w:left w:val="none" w:sz="0" w:space="0" w:color="auto"/>
        <w:bottom w:val="none" w:sz="0" w:space="0" w:color="auto"/>
        <w:right w:val="none" w:sz="0" w:space="0" w:color="auto"/>
      </w:divBdr>
      <w:divsChild>
        <w:div w:id="1059591286">
          <w:marLeft w:val="0"/>
          <w:marRight w:val="0"/>
          <w:marTop w:val="0"/>
          <w:marBottom w:val="0"/>
          <w:divBdr>
            <w:top w:val="none" w:sz="0" w:space="0" w:color="auto"/>
            <w:left w:val="none" w:sz="0" w:space="0" w:color="auto"/>
            <w:bottom w:val="none" w:sz="0" w:space="0" w:color="auto"/>
            <w:right w:val="none" w:sz="0" w:space="0" w:color="auto"/>
          </w:divBdr>
          <w:divsChild>
            <w:div w:id="854804383">
              <w:marLeft w:val="0"/>
              <w:marRight w:val="0"/>
              <w:marTop w:val="0"/>
              <w:marBottom w:val="0"/>
              <w:divBdr>
                <w:top w:val="none" w:sz="0" w:space="0" w:color="auto"/>
                <w:left w:val="none" w:sz="0" w:space="0" w:color="auto"/>
                <w:bottom w:val="none" w:sz="0" w:space="0" w:color="auto"/>
                <w:right w:val="none" w:sz="0" w:space="0" w:color="auto"/>
              </w:divBdr>
            </w:div>
          </w:divsChild>
        </w:div>
        <w:div w:id="688794404">
          <w:marLeft w:val="0"/>
          <w:marRight w:val="0"/>
          <w:marTop w:val="0"/>
          <w:marBottom w:val="0"/>
          <w:divBdr>
            <w:top w:val="none" w:sz="0" w:space="0" w:color="auto"/>
            <w:left w:val="none" w:sz="0" w:space="0" w:color="auto"/>
            <w:bottom w:val="none" w:sz="0" w:space="0" w:color="auto"/>
            <w:right w:val="none" w:sz="0" w:space="0" w:color="auto"/>
          </w:divBdr>
          <w:divsChild>
            <w:div w:id="1899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DEC\3-H2021\Git\420-C62-IN_AI\Projet3\AI-II-Projet3-TableauDonn&#233;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Feuil1!$B$18</c:f>
              <c:strCache>
                <c:ptCount val="1"/>
                <c:pt idx="0">
                  <c:v>500</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AE3-4BB8-8477-D111383A4F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Feuil1!$B$19</c:f>
              <c:numCache>
                <c:formatCode>0.00</c:formatCode>
                <c:ptCount val="1"/>
                <c:pt idx="0">
                  <c:v>59.666666666666664</c:v>
                </c:pt>
              </c:numCache>
            </c:numRef>
          </c:val>
          <c:extLst>
            <c:ext xmlns:c16="http://schemas.microsoft.com/office/drawing/2014/chart" uri="{C3380CC4-5D6E-409C-BE32-E72D297353CC}">
              <c16:uniqueId val="{00000001-0AE3-4BB8-8477-D111383A4F50}"/>
            </c:ext>
          </c:extLst>
        </c:ser>
        <c:ser>
          <c:idx val="1"/>
          <c:order val="1"/>
          <c:tx>
            <c:strRef>
              <c:f>Feuil1!$C$18</c:f>
              <c:strCache>
                <c:ptCount val="1"/>
                <c:pt idx="0">
                  <c:v>250</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AE3-4BB8-8477-D111383A4F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Feuil1!$C$19</c:f>
              <c:numCache>
                <c:formatCode>0.00</c:formatCode>
                <c:ptCount val="1"/>
                <c:pt idx="0">
                  <c:v>107</c:v>
                </c:pt>
              </c:numCache>
            </c:numRef>
          </c:val>
          <c:extLst>
            <c:ext xmlns:c16="http://schemas.microsoft.com/office/drawing/2014/chart" uri="{C3380CC4-5D6E-409C-BE32-E72D297353CC}">
              <c16:uniqueId val="{00000003-0AE3-4BB8-8477-D111383A4F50}"/>
            </c:ext>
          </c:extLst>
        </c:ser>
        <c:ser>
          <c:idx val="2"/>
          <c:order val="2"/>
          <c:tx>
            <c:strRef>
              <c:f>Feuil1!$D$18</c:f>
              <c:strCache>
                <c:ptCount val="1"/>
                <c:pt idx="0">
                  <c:v>100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Feuil1!$D$19</c:f>
              <c:numCache>
                <c:formatCode>0.00</c:formatCode>
                <c:ptCount val="1"/>
                <c:pt idx="0">
                  <c:v>118.66666666666667</c:v>
                </c:pt>
              </c:numCache>
            </c:numRef>
          </c:val>
          <c:extLst>
            <c:ext xmlns:c16="http://schemas.microsoft.com/office/drawing/2014/chart" uri="{C3380CC4-5D6E-409C-BE32-E72D297353CC}">
              <c16:uniqueId val="{00000004-0AE3-4BB8-8477-D111383A4F50}"/>
            </c:ext>
          </c:extLst>
        </c:ser>
        <c:ser>
          <c:idx val="3"/>
          <c:order val="3"/>
          <c:tx>
            <c:strRef>
              <c:f>Feuil1!$E$18</c:f>
              <c:strCache>
                <c:ptCount val="1"/>
                <c:pt idx="0">
                  <c:v>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Feuil1!$E$19</c:f>
              <c:numCache>
                <c:formatCode>0.00</c:formatCode>
                <c:ptCount val="1"/>
                <c:pt idx="0">
                  <c:v>159.66666666666666</c:v>
                </c:pt>
              </c:numCache>
            </c:numRef>
          </c:val>
          <c:extLst>
            <c:ext xmlns:c16="http://schemas.microsoft.com/office/drawing/2014/chart" uri="{C3380CC4-5D6E-409C-BE32-E72D297353CC}">
              <c16:uniqueId val="{00000005-0AE3-4BB8-8477-D111383A4F50}"/>
            </c:ext>
          </c:extLst>
        </c:ser>
        <c:ser>
          <c:idx val="4"/>
          <c:order val="4"/>
          <c:tx>
            <c:strRef>
              <c:f>Feuil1!$F$18</c:f>
              <c:strCache>
                <c:ptCount val="1"/>
                <c:pt idx="0">
                  <c:v>20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Feuil1!$F$19</c:f>
              <c:numCache>
                <c:formatCode>0.00</c:formatCode>
                <c:ptCount val="1"/>
                <c:pt idx="0">
                  <c:v>88</c:v>
                </c:pt>
              </c:numCache>
            </c:numRef>
          </c:val>
          <c:extLst>
            <c:ext xmlns:c16="http://schemas.microsoft.com/office/drawing/2014/chart" uri="{C3380CC4-5D6E-409C-BE32-E72D297353CC}">
              <c16:uniqueId val="{00000006-0AE3-4BB8-8477-D111383A4F50}"/>
            </c:ext>
          </c:extLst>
        </c:ser>
        <c:ser>
          <c:idx val="5"/>
          <c:order val="5"/>
          <c:tx>
            <c:strRef>
              <c:f>Feuil1!$G$18</c:f>
              <c:strCache>
                <c:ptCount val="1"/>
                <c:pt idx="0">
                  <c:v>10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Feuil1!$A$18:$A$19</c:f>
              <c:strCache>
                <c:ptCount val="2"/>
                <c:pt idx="0">
                  <c:v>Nombre de clusters</c:v>
                </c:pt>
                <c:pt idx="1">
                  <c:v>NbITerations</c:v>
                </c:pt>
              </c:strCache>
            </c:strRef>
          </c:cat>
          <c:val>
            <c:numRef>
              <c:f>Feuil1!$G$19</c:f>
              <c:numCache>
                <c:formatCode>0.00</c:formatCode>
                <c:ptCount val="1"/>
                <c:pt idx="0">
                  <c:v>68</c:v>
                </c:pt>
              </c:numCache>
            </c:numRef>
          </c:val>
          <c:extLst>
            <c:ext xmlns:c16="http://schemas.microsoft.com/office/drawing/2014/chart" uri="{C3380CC4-5D6E-409C-BE32-E72D297353CC}">
              <c16:uniqueId val="{00000007-0AE3-4BB8-8477-D111383A4F50}"/>
            </c:ext>
          </c:extLst>
        </c:ser>
        <c:dLbls>
          <c:showLegendKey val="0"/>
          <c:showVal val="0"/>
          <c:showCatName val="0"/>
          <c:showSerName val="0"/>
          <c:showPercent val="0"/>
          <c:showBubbleSize val="0"/>
        </c:dLbls>
        <c:gapWidth val="150"/>
        <c:axId val="822135023"/>
        <c:axId val="305581471"/>
      </c:barChart>
      <c:catAx>
        <c:axId val="82213502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de clusters</a:t>
                </a:r>
              </a:p>
            </c:rich>
          </c:tx>
          <c:layout>
            <c:manualLayout>
              <c:xMode val="edge"/>
              <c:yMode val="edge"/>
              <c:x val="0.46491082066222994"/>
              <c:y val="0.91809472438407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crossAx val="305581471"/>
        <c:crosses val="autoZero"/>
        <c:auto val="1"/>
        <c:lblAlgn val="ctr"/>
        <c:lblOffset val="100"/>
        <c:noMultiLvlLbl val="0"/>
      </c:catAx>
      <c:valAx>
        <c:axId val="30558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moyen</a:t>
                </a:r>
              </a:p>
              <a:p>
                <a:pPr>
                  <a:defRPr/>
                </a:pPr>
                <a:r>
                  <a:rPr lang="fr-CA" baseline="0"/>
                  <a:t> d'itérations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2135023"/>
        <c:crosses val="autoZero"/>
        <c:crossBetween val="between"/>
      </c:valAx>
      <c:spPr>
        <a:noFill/>
        <a:ln>
          <a:noFill/>
        </a:ln>
        <a:effectLst/>
      </c:spPr>
    </c:plotArea>
    <c:legend>
      <c:legendPos val="b"/>
      <c:layout>
        <c:manualLayout>
          <c:xMode val="edge"/>
          <c:yMode val="edge"/>
          <c:x val="0.18256222135616107"/>
          <c:y val="0.84396222508912488"/>
          <c:w val="0.72833798349741086"/>
          <c:h val="5.739834554653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3</Pages>
  <Words>621</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Viens</dc:creator>
  <cp:keywords/>
  <dc:description/>
  <cp:lastModifiedBy>Dany Viens</cp:lastModifiedBy>
  <cp:revision>6</cp:revision>
  <dcterms:created xsi:type="dcterms:W3CDTF">2021-05-13T14:07:00Z</dcterms:created>
  <dcterms:modified xsi:type="dcterms:W3CDTF">2021-05-17T17:03:00Z</dcterms:modified>
</cp:coreProperties>
</file>