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Oracle &amp; Wiwynn 產業分析月報</w:t>
      </w:r>
    </w:p>
    <w:p>
      <w:pPr>
        <w:pStyle w:val="Heading2"/>
      </w:pPr>
      <w:r>
        <w:t>【市場趨勢】</w:t>
      </w:r>
    </w:p>
    <w:p>
      <w:r>
        <w:t>（請貼上 AI 產生的專業分析內容）</w:t>
      </w:r>
    </w:p>
    <w:p>
      <w:pPr>
        <w:pStyle w:val="Heading2"/>
      </w:pPr>
      <w:r>
        <w:t>【技術更新】</w:t>
      </w:r>
    </w:p>
    <w:p>
      <w:r>
        <w:t>（請貼上 AI 產生的專業分析內容）</w:t>
      </w:r>
    </w:p>
    <w:p>
      <w:pPr>
        <w:pStyle w:val="Heading2"/>
      </w:pPr>
      <w:r>
        <w:t>【財務與策略訊號】</w:t>
      </w:r>
    </w:p>
    <w:p>
      <w:r>
        <w:t>（請貼上 AI 產生的專業分析內容）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