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Fonts w:ascii="Arial" w:hAnsi="Arial"/>
          <w:sz w:val="24"/>
        </w:rPr>
        <w:t xml:space="preserve">2023</w:t>
      </w:r>
      <w:r>
        <w:rPr>
          <w:rFonts w:ascii="Arial" w:hAnsi="Arial"/>
          <w:sz w:val="24"/>
        </w:rPr>
        <w:t xml:space="preserve"> </w:t>
      </w:r>
      <w:r>
        <w:rPr>
          <w:rFonts w:ascii="Arial" w:hAnsi="Arial"/>
          <w:sz w:val="24"/>
        </w:rPr>
        <w:t xml:space="preserve">Finance</w:t>
      </w:r>
      <w:r>
        <w:rPr>
          <w:rFonts w:ascii="Arial" w:hAnsi="Arial"/>
          <w:sz w:val="24"/>
        </w:rPr>
        <w:t xml:space="preserve"> </w:t>
      </w:r>
      <w:r>
        <w:rPr>
          <w:rFonts w:ascii="Arial" w:hAnsi="Arial"/>
          <w:sz w:val="24"/>
        </w:rPr>
        <w:t xml:space="preserve">Report</w:t>
      </w:r>
      <w:r>
        <w:rPr>
          <w:rFonts w:ascii="Arial" w:hAnsi="Arial"/>
          <w:sz w:val="24"/>
        </w:rPr>
        <w:t xml:space="preserve"> </w:t>
      </w:r>
      <w:r>
        <w:rPr>
          <w:rFonts w:ascii="Arial" w:hAnsi="Arial"/>
          <w:sz w:val="24"/>
        </w:rPr>
        <w:t xml:space="preserve">-</w:t>
      </w:r>
      <w:r>
        <w:rPr>
          <w:rFonts w:ascii="Arial" w:hAnsi="Arial"/>
          <w:sz w:val="24"/>
        </w:rPr>
        <w:t xml:space="preserve"> </w:t>
      </w:r>
      <w:r>
        <w:rPr>
          <w:rFonts w:ascii="Arial" w:hAnsi="Arial"/>
          <w:sz w:val="24"/>
        </w:rPr>
        <w:t xml:space="preserve">VNext</w:t>
      </w:r>
      <w:r>
        <w:rPr>
          <w:rFonts w:ascii="Arial" w:hAnsi="Arial"/>
          <w:sz w:val="24"/>
        </w:rPr>
        <w:t xml:space="preserve"> </w:t>
      </w:r>
      <w:r>
        <w:rPr>
          <w:rFonts w:ascii="Arial" w:hAnsi="Arial"/>
          <w:sz w:val="24"/>
        </w:rPr>
        <w:t xml:space="preserve">Technologies</w:t>
      </w:r>
      <w:r>
        <w:rPr>
          <w:rFonts w:ascii="Arial" w:hAnsi="Arial"/>
          <w:sz w:val="24"/>
        </w:rPr>
        <w:t xml:space="preserve"> </w:t>
      </w:r>
      <w:r>
        <w:rPr>
          <w:rFonts w:ascii="Arial" w:hAnsi="Arial"/>
          <w:sz w:val="24"/>
        </w:rPr>
        <w:t xml:space="preserve">JSC</w:t>
      </w:r>
    </w:p>
    <w:bookmarkStart w:id="20" w:name="vnext-technologies-jsc"/>
    <w:p>
      <w:pPr>
        <w:pStyle w:val="Heading1"/>
      </w:pPr>
      <w:r>
        <w:rPr>
          <w:rFonts w:ascii="Arial" w:hAnsi="Arial"/>
          <w:sz w:val="48"/>
        </w:rPr>
        <w:t xml:space="preserve">VNext Technologies JSC</w:t>
      </w:r>
    </w:p>
    <w:bookmarkEnd w:id="20"/>
    <w:bookmarkStart w:id="30" w:name="annual-finance-report"/>
    <w:p>
      <w:pPr>
        <w:pStyle w:val="Heading1"/>
      </w:pPr>
      <w:r>
        <w:rPr>
          <w:rFonts w:ascii="Arial" w:hAnsi="Arial"/>
          <w:sz w:val="48"/>
        </w:rPr>
        <w:t xml:space="preserve">2023 Annual Finance Report</w:t>
      </w:r>
    </w:p>
    <w:p>
      <w:pPr>
        <w:pStyle w:val="FirstParagraph"/>
      </w:pPr>
      <w:r>
        <w:rPr>
          <w:rFonts w:ascii="Arial" w:hAnsi="Arial"/>
          <w:sz w:val="24"/>
        </w:rPr>
        <w:t xml:space="preserve">Specializing in Cutting-Edge AI Solutions</w:t>
      </w:r>
    </w:p>
    <w:p>
      <w:pPr>
        <w:pStyle w:val="BodyText"/>
      </w:pPr>
      <w:r>
        <w:rPr>
          <w:rFonts w:ascii="Arial" w:hAnsi="Arial"/>
          <w:sz w:val="24"/>
        </w:rPr>
        <w:t xml:space="preserve">Date: January 25, 2024</w:t>
      </w:r>
    </w:p>
    <w:bookmarkStart w:id="21" w:name="executive-summary"/>
    <w:p>
      <w:pPr>
        <w:pStyle w:val="Heading2"/>
      </w:pPr>
      <w:r>
        <w:rPr>
          <w:rFonts w:ascii="Arial" w:hAnsi="Arial"/>
          <w:sz w:val="40"/>
        </w:rPr>
        <w:t xml:space="preserve">1. Executive Summary</w:t>
      </w:r>
    </w:p>
    <w:p>
      <w:pPr>
        <w:pStyle w:val="FirstParagraph"/>
      </w:pPr>
      <w:r>
        <w:rPr>
          <w:rFonts w:ascii="Arial" w:hAnsi="Arial"/>
          <w:sz w:val="24"/>
        </w:rPr>
        <w:t xml:space="preserve">VNext Technologies JSC concluded 2023 with remarkable financial performance, driven by significant advancements and adoption of our AI solutions. The company demonstrated strong growth across all key metrics, solidifying its position as a leader in the artificial intelligence sector. Total Revenue surged by</w:t>
      </w:r>
      <w:r>
        <w:rPr>
          <w:rFonts w:ascii="Arial" w:hAnsi="Arial"/>
          <w:sz w:val="24"/>
        </w:rPr>
        <w:t xml:space="preserve"> </w:t>
      </w:r>
      <w:r>
        <w:rPr>
          <w:bCs/>
          <w:rFonts w:ascii="Arial" w:hAnsi="Arial"/>
          <w:b/>
          <w:sz w:val="24"/>
        </w:rPr>
        <w:t xml:space="preserve">35%</w:t>
      </w:r>
      <w:r>
        <w:rPr>
          <w:rFonts w:ascii="Arial" w:hAnsi="Arial"/>
          <w:sz w:val="24"/>
        </w:rPr>
        <w:t xml:space="preserve"> </w:t>
      </w:r>
      <w:r>
        <w:rPr>
          <w:rFonts w:ascii="Arial" w:hAnsi="Arial"/>
          <w:sz w:val="24"/>
        </w:rPr>
        <w:t xml:space="preserve">year-over-year, reaching</w:t>
      </w:r>
      <w:r>
        <w:rPr>
          <w:rFonts w:ascii="Arial" w:hAnsi="Arial"/>
          <w:sz w:val="24"/>
        </w:rPr>
        <w:t xml:space="preserve"> </w:t>
      </w:r>
      <w:r>
        <w:rPr>
          <w:bCs/>
          <w:rFonts w:ascii="Arial" w:hAnsi="Arial"/>
          <w:b/>
          <w:sz w:val="24"/>
        </w:rPr>
        <w:t xml:space="preserve">$125 million</w:t>
      </w:r>
      <w:r>
        <w:rPr>
          <w:rFonts w:ascii="Arial" w:hAnsi="Arial"/>
          <w:sz w:val="24"/>
        </w:rPr>
        <w:t xml:space="preserve">, primarily fueled by increased demand for our proprietary AI platforms and custom AI development services. Net Income experienced an impressive</w:t>
      </w:r>
      <w:r>
        <w:rPr>
          <w:rFonts w:ascii="Arial" w:hAnsi="Arial"/>
          <w:sz w:val="24"/>
        </w:rPr>
        <w:t xml:space="preserve"> </w:t>
      </w:r>
      <w:r>
        <w:rPr>
          <w:bCs/>
          <w:rFonts w:ascii="Arial" w:hAnsi="Arial"/>
          <w:b/>
          <w:sz w:val="24"/>
        </w:rPr>
        <w:t xml:space="preserve">45%</w:t>
      </w:r>
      <w:r>
        <w:rPr>
          <w:rFonts w:ascii="Arial" w:hAnsi="Arial"/>
          <w:sz w:val="24"/>
        </w:rPr>
        <w:t xml:space="preserve"> </w:t>
      </w:r>
      <w:r>
        <w:rPr>
          <w:rFonts w:ascii="Arial" w:hAnsi="Arial"/>
          <w:sz w:val="24"/>
        </w:rPr>
        <w:t xml:space="preserve">increase, reaching</w:t>
      </w:r>
      <w:r>
        <w:rPr>
          <w:rFonts w:ascii="Arial" w:hAnsi="Arial"/>
          <w:sz w:val="24"/>
        </w:rPr>
        <w:t xml:space="preserve"> </w:t>
      </w:r>
      <w:r>
        <w:rPr>
          <w:bCs/>
          <w:rFonts w:ascii="Arial" w:hAnsi="Arial"/>
          <w:b/>
          <w:sz w:val="24"/>
        </w:rPr>
        <w:t xml:space="preserve">$28 million</w:t>
      </w:r>
      <w:r>
        <w:rPr>
          <w:rFonts w:ascii="Arial" w:hAnsi="Arial"/>
          <w:sz w:val="24"/>
        </w:rPr>
        <w:t xml:space="preserve">. This strong performance reflects our unwavering commitment to innovation, operational efficiency, and strategic market expansion, particularly within the enterprise AI and automation domains. Our focus on scalable AI products has allowed us to capture a larger market share and generate substantial shareholder value.</w:t>
      </w:r>
    </w:p>
    <w:bookmarkEnd w:id="21"/>
    <w:bookmarkStart w:id="26" w:name="financial-performance-highlights"/>
    <w:p>
      <w:pPr>
        <w:pStyle w:val="Heading2"/>
      </w:pPr>
      <w:r>
        <w:rPr>
          <w:rFonts w:ascii="Arial" w:hAnsi="Arial"/>
          <w:sz w:val="40"/>
        </w:rPr>
        <w:t xml:space="preserve">2. Financial Performance Highlights</w:t>
      </w:r>
    </w:p>
    <w:bookmarkStart w:id="22" w:name="revenue-overview"/>
    <w:p>
      <w:pPr>
        <w:pStyle w:val="Heading3"/>
      </w:pPr>
      <w:r>
        <w:rPr>
          <w:rFonts w:ascii="Arial" w:hAnsi="Arial"/>
          <w:sz w:val="36"/>
        </w:rPr>
        <w:t xml:space="preserve">2.1. Revenue Overview</w:t>
      </w:r>
    </w:p>
    <w:p>
      <w:pPr>
        <w:pStyle w:val="FirstParagraph"/>
      </w:pPr>
      <w:r>
        <w:rPr>
          <w:rFonts w:ascii="Arial" w:hAnsi="Arial"/>
          <w:sz w:val="24"/>
        </w:rPr>
        <w:t xml:space="preserve">VNext Technologies recorded a robust revenue stream in 2023, showcasing the strong market demand for our AI products and services. The total revenue for the fiscal year amounted to</w:t>
      </w:r>
      <w:r>
        <w:rPr>
          <w:rFonts w:ascii="Arial" w:hAnsi="Arial"/>
          <w:sz w:val="24"/>
        </w:rPr>
        <w:t xml:space="preserve"> </w:t>
      </w:r>
      <w:r>
        <w:rPr>
          <w:bCs/>
          <w:rFonts w:ascii="Arial" w:hAnsi="Arial"/>
          <w:b/>
          <w:sz w:val="24"/>
        </w:rPr>
        <w:t xml:space="preserve">$125 million</w:t>
      </w:r>
      <w:r>
        <w:rPr>
          <w:rFonts w:ascii="Arial" w:hAnsi="Arial"/>
          <w:sz w:val="24"/>
        </w:rPr>
        <w:t xml:space="preserve">, a substantial increase from</w:t>
      </w:r>
      <w:r>
        <w:rPr>
          <w:rFonts w:ascii="Arial" w:hAnsi="Arial"/>
          <w:sz w:val="24"/>
        </w:rPr>
        <w:t xml:space="preserve"> </w:t>
      </w:r>
      <w:r>
        <w:rPr>
          <w:bCs/>
          <w:rFonts w:ascii="Arial" w:hAnsi="Arial"/>
          <w:b/>
          <w:sz w:val="24"/>
        </w:rPr>
        <w:t xml:space="preserve">$92.5 million</w:t>
      </w:r>
      <w:r>
        <w:rPr>
          <w:rFonts w:ascii="Arial" w:hAnsi="Arial"/>
          <w:sz w:val="24"/>
        </w:rPr>
        <w:t xml:space="preserve"> </w:t>
      </w:r>
      <w:r>
        <w:rPr>
          <w:rFonts w:ascii="Arial" w:hAnsi="Arial"/>
          <w:sz w:val="24"/>
        </w:rPr>
        <w:t xml:space="preserve">in 2022. Key revenue contributors include:</w:t>
      </w:r>
    </w:p>
    <w:p>
      <w:pPr>
        <w:numPr>
          <w:ilvl w:val="0"/>
          <w:numId w:val="1001"/>
        </w:numPr>
        <w:pStyle w:val="Compact"/>
      </w:pPr>
      <w:r>
        <w:rPr>
          <w:bCs/>
          <w:rFonts w:ascii="Arial" w:hAnsi="Arial"/>
          <w:b/>
          <w:sz w:val="24"/>
        </w:rPr>
        <w:t xml:space="preserve">AI Software Licenses &amp; Subscriptions: $80 million</w:t>
      </w:r>
      <w:r>
        <w:rPr>
          <w:rFonts w:ascii="Arial" w:hAnsi="Arial"/>
          <w:sz w:val="24"/>
        </w:rPr>
        <w:t xml:space="preserve"> </w:t>
      </w:r>
      <w:r>
        <w:rPr>
          <w:rFonts w:ascii="Arial" w:hAnsi="Arial"/>
          <w:sz w:val="24"/>
        </w:rPr>
        <w:t xml:space="preserve">(64% of total revenue)</w:t>
      </w:r>
    </w:p>
    <w:p>
      <w:pPr>
        <w:numPr>
          <w:ilvl w:val="0"/>
          <w:numId w:val="1001"/>
        </w:numPr>
        <w:pStyle w:val="Compact"/>
      </w:pPr>
      <w:r>
        <w:rPr>
          <w:bCs/>
          <w:rFonts w:ascii="Arial" w:hAnsi="Arial"/>
          <w:b/>
          <w:sz w:val="24"/>
        </w:rPr>
        <w:t xml:space="preserve">AI Consulting &amp; Implementation Services: $35 million</w:t>
      </w:r>
      <w:r>
        <w:rPr>
          <w:rFonts w:ascii="Arial" w:hAnsi="Arial"/>
          <w:sz w:val="24"/>
        </w:rPr>
        <w:t xml:space="preserve"> </w:t>
      </w:r>
      <w:r>
        <w:rPr>
          <w:rFonts w:ascii="Arial" w:hAnsi="Arial"/>
          <w:sz w:val="24"/>
        </w:rPr>
        <w:t xml:space="preserve">(28% of total revenue)</w:t>
      </w:r>
    </w:p>
    <w:p>
      <w:pPr>
        <w:numPr>
          <w:ilvl w:val="0"/>
          <w:numId w:val="1001"/>
        </w:numPr>
        <w:pStyle w:val="Compact"/>
      </w:pPr>
      <w:r>
        <w:rPr>
          <w:bCs/>
          <w:rFonts w:ascii="Arial" w:hAnsi="Arial"/>
          <w:b/>
          <w:sz w:val="24"/>
        </w:rPr>
        <w:t xml:space="preserve">AI Research &amp; Development Partnerships: $10 million</w:t>
      </w:r>
      <w:r>
        <w:rPr>
          <w:rFonts w:ascii="Arial" w:hAnsi="Arial"/>
          <w:sz w:val="24"/>
        </w:rPr>
        <w:t xml:space="preserve"> </w:t>
      </w:r>
      <w:r>
        <w:rPr>
          <w:rFonts w:ascii="Arial" w:hAnsi="Arial"/>
          <w:sz w:val="24"/>
        </w:rPr>
        <w:t xml:space="preserve">(8% of total revenue)</w:t>
      </w:r>
    </w:p>
    <w:bookmarkEnd w:id="22"/>
    <w:bookmarkStart w:id="23" w:name="cost-of-goods-sold-cogs-gross-profit"/>
    <w:p>
      <w:pPr>
        <w:pStyle w:val="Heading3"/>
      </w:pPr>
      <w:r>
        <w:rPr>
          <w:rFonts w:ascii="Arial" w:hAnsi="Arial"/>
          <w:sz w:val="36"/>
        </w:rPr>
        <w:t xml:space="preserve">2.2. Cost of Goods Sold (COGS) &amp; Gross Profit</w:t>
      </w:r>
    </w:p>
    <w:p>
      <w:pPr>
        <w:pStyle w:val="FirstParagraph"/>
      </w:pPr>
      <w:r>
        <w:rPr>
          <w:rFonts w:ascii="Arial" w:hAnsi="Arial"/>
          <w:sz w:val="24"/>
        </w:rPr>
        <w:t xml:space="preserve">Our disciplined approach to cost management ensured healthy gross margins. COGS for 2023 stood at</w:t>
      </w:r>
      <w:r>
        <w:rPr>
          <w:rFonts w:ascii="Arial" w:hAnsi="Arial"/>
          <w:sz w:val="24"/>
        </w:rPr>
        <w:t xml:space="preserve"> </w:t>
      </w:r>
      <w:r>
        <w:rPr>
          <w:bCs/>
          <w:rFonts w:ascii="Arial" w:hAnsi="Arial"/>
          <w:b/>
          <w:sz w:val="24"/>
        </w:rPr>
        <w:t xml:space="preserve">$35 million</w:t>
      </w:r>
      <w:r>
        <w:rPr>
          <w:rFonts w:ascii="Arial" w:hAnsi="Arial"/>
          <w:sz w:val="24"/>
        </w:rPr>
        <w:t xml:space="preserve">, compared to</w:t>
      </w:r>
      <w:r>
        <w:rPr>
          <w:rFonts w:ascii="Arial" w:hAnsi="Arial"/>
          <w:sz w:val="24"/>
        </w:rPr>
        <w:t xml:space="preserve"> </w:t>
      </w:r>
      <w:r>
        <w:rPr>
          <w:bCs/>
          <w:rFonts w:ascii="Arial" w:hAnsi="Arial"/>
          <w:b/>
          <w:sz w:val="24"/>
        </w:rPr>
        <w:t xml:space="preserve">$27 million</w:t>
      </w:r>
      <w:r>
        <w:rPr>
          <w:rFonts w:ascii="Arial" w:hAnsi="Arial"/>
          <w:sz w:val="24"/>
        </w:rPr>
        <w:t xml:space="preserve"> </w:t>
      </w:r>
      <w:r>
        <w:rPr>
          <w:rFonts w:ascii="Arial" w:hAnsi="Arial"/>
          <w:sz w:val="24"/>
        </w:rPr>
        <w:t xml:space="preserve">in 2022. This resulted in a Gross Profit of</w:t>
      </w:r>
      <w:r>
        <w:rPr>
          <w:rFonts w:ascii="Arial" w:hAnsi="Arial"/>
          <w:sz w:val="24"/>
        </w:rPr>
        <w:t xml:space="preserve"> </w:t>
      </w:r>
      <w:r>
        <w:rPr>
          <w:bCs/>
          <w:rFonts w:ascii="Arial" w:hAnsi="Arial"/>
          <w:b/>
          <w:sz w:val="24"/>
        </w:rPr>
        <w:t xml:space="preserve">$90 million</w:t>
      </w:r>
      <w:r>
        <w:rPr>
          <w:rFonts w:ascii="Arial" w:hAnsi="Arial"/>
          <w:sz w:val="24"/>
        </w:rPr>
        <w:t xml:space="preserve">, up from</w:t>
      </w:r>
      <w:r>
        <w:rPr>
          <w:rFonts w:ascii="Arial" w:hAnsi="Arial"/>
          <w:sz w:val="24"/>
        </w:rPr>
        <w:t xml:space="preserve"> </w:t>
      </w:r>
      <w:r>
        <w:rPr>
          <w:bCs/>
          <w:rFonts w:ascii="Arial" w:hAnsi="Arial"/>
          <w:b/>
          <w:sz w:val="24"/>
        </w:rPr>
        <w:t xml:space="preserve">$65.5 million</w:t>
      </w:r>
      <w:r>
        <w:rPr>
          <w:rFonts w:ascii="Arial" w:hAnsi="Arial"/>
          <w:sz w:val="24"/>
        </w:rPr>
        <w:t xml:space="preserve"> </w:t>
      </w:r>
      <w:r>
        <w:rPr>
          <w:rFonts w:ascii="Arial" w:hAnsi="Arial"/>
          <w:sz w:val="24"/>
        </w:rPr>
        <w:t xml:space="preserve">in the previous year, maintaining a strong Gross Profit Margin of approximately</w:t>
      </w:r>
      <w:r>
        <w:rPr>
          <w:rFonts w:ascii="Arial" w:hAnsi="Arial"/>
          <w:sz w:val="24"/>
        </w:rPr>
        <w:t xml:space="preserve"> </w:t>
      </w:r>
      <w:r>
        <w:rPr>
          <w:bCs/>
          <w:rFonts w:ascii="Arial" w:hAnsi="Arial"/>
          <w:b/>
          <w:sz w:val="24"/>
        </w:rPr>
        <w:t xml:space="preserve">72%</w:t>
      </w:r>
      <w:r>
        <w:rPr>
          <w:rFonts w:ascii="Arial" w:hAnsi="Arial"/>
          <w:sz w:val="24"/>
        </w:rPr>
        <w:t xml:space="preserve">.</w:t>
      </w:r>
    </w:p>
    <w:bookmarkEnd w:id="23"/>
    <w:bookmarkStart w:id="24" w:name="operating-expenses"/>
    <w:p>
      <w:pPr>
        <w:pStyle w:val="Heading3"/>
      </w:pPr>
      <w:r>
        <w:rPr>
          <w:rFonts w:ascii="Arial" w:hAnsi="Arial"/>
          <w:sz w:val="36"/>
        </w:rPr>
        <w:t xml:space="preserve">2.3. Operating Expenses</w:t>
      </w:r>
    </w:p>
    <w:p>
      <w:pPr>
        <w:pStyle w:val="FirstParagraph"/>
      </w:pPr>
      <w:r>
        <w:rPr>
          <w:rFonts w:ascii="Arial" w:hAnsi="Arial"/>
          <w:sz w:val="24"/>
        </w:rPr>
        <w:t xml:space="preserve">Investments in innovation and market reach remained a priority. Operating expenses for 2023 totaled</w:t>
      </w:r>
      <w:r>
        <w:rPr>
          <w:rFonts w:ascii="Arial" w:hAnsi="Arial"/>
          <w:sz w:val="24"/>
        </w:rPr>
        <w:t xml:space="preserve"> </w:t>
      </w:r>
      <w:r>
        <w:rPr>
          <w:bCs/>
          <w:rFonts w:ascii="Arial" w:hAnsi="Arial"/>
          <w:b/>
          <w:sz w:val="24"/>
        </w:rPr>
        <w:t xml:space="preserve">$50 million</w:t>
      </w:r>
      <w:r>
        <w:rPr>
          <w:rFonts w:ascii="Arial" w:hAnsi="Arial"/>
          <w:sz w:val="24"/>
        </w:rPr>
        <w:t xml:space="preserve">, an increase from</w:t>
      </w:r>
      <w:r>
        <w:rPr>
          <w:rFonts w:ascii="Arial" w:hAnsi="Arial"/>
          <w:sz w:val="24"/>
        </w:rPr>
        <w:t xml:space="preserve"> </w:t>
      </w:r>
      <w:r>
        <w:rPr>
          <w:bCs/>
          <w:rFonts w:ascii="Arial" w:hAnsi="Arial"/>
          <w:b/>
          <w:sz w:val="24"/>
        </w:rPr>
        <w:t xml:space="preserve">$38 million</w:t>
      </w:r>
      <w:r>
        <w:rPr>
          <w:rFonts w:ascii="Arial" w:hAnsi="Arial"/>
          <w:sz w:val="24"/>
        </w:rPr>
        <w:t xml:space="preserve"> </w:t>
      </w:r>
      <w:r>
        <w:rPr>
          <w:rFonts w:ascii="Arial" w:hAnsi="Arial"/>
          <w:sz w:val="24"/>
        </w:rPr>
        <w:t xml:space="preserve">in 2022. These expenses were allocated as follows:</w:t>
      </w:r>
    </w:p>
    <w:p>
      <w:pPr>
        <w:numPr>
          <w:ilvl w:val="0"/>
          <w:numId w:val="1002"/>
        </w:numPr>
        <w:pStyle w:val="Compact"/>
      </w:pPr>
      <w:r>
        <w:rPr>
          <w:bCs/>
          <w:rFonts w:ascii="Arial" w:hAnsi="Arial"/>
          <w:b/>
          <w:sz w:val="24"/>
        </w:rPr>
        <w:t xml:space="preserve">Research &amp; Development (R&amp;D): $25 million</w:t>
      </w:r>
      <w:r>
        <w:rPr>
          <w:rFonts w:ascii="Arial" w:hAnsi="Arial"/>
          <w:sz w:val="24"/>
        </w:rPr>
        <w:t xml:space="preserve"> </w:t>
      </w:r>
      <w:r>
        <w:rPr>
          <w:rFonts w:ascii="Arial" w:hAnsi="Arial"/>
          <w:sz w:val="24"/>
        </w:rPr>
        <w:t xml:space="preserve">(reflecting our commitment to advanced AI models and solutions)</w:t>
      </w:r>
    </w:p>
    <w:p>
      <w:pPr>
        <w:numPr>
          <w:ilvl w:val="0"/>
          <w:numId w:val="1002"/>
        </w:numPr>
        <w:pStyle w:val="Compact"/>
      </w:pPr>
      <w:r>
        <w:rPr>
          <w:bCs/>
          <w:rFonts w:ascii="Arial" w:hAnsi="Arial"/>
          <w:b/>
          <w:sz w:val="24"/>
        </w:rPr>
        <w:t xml:space="preserve">Sales &amp; Marketing (S&amp;M): $15 million</w:t>
      </w:r>
      <w:r>
        <w:rPr>
          <w:rFonts w:ascii="Arial" w:hAnsi="Arial"/>
          <w:sz w:val="24"/>
        </w:rPr>
        <w:t xml:space="preserve"> </w:t>
      </w:r>
      <w:r>
        <w:rPr>
          <w:rFonts w:ascii="Arial" w:hAnsi="Arial"/>
          <w:sz w:val="24"/>
        </w:rPr>
        <w:t xml:space="preserve">(to expand market presence and acquire new clients)</w:t>
      </w:r>
    </w:p>
    <w:p>
      <w:pPr>
        <w:numPr>
          <w:ilvl w:val="0"/>
          <w:numId w:val="1002"/>
        </w:numPr>
        <w:pStyle w:val="Compact"/>
      </w:pPr>
      <w:r>
        <w:rPr>
          <w:bCs/>
          <w:rFonts w:ascii="Arial" w:hAnsi="Arial"/>
          <w:b/>
          <w:sz w:val="24"/>
        </w:rPr>
        <w:t xml:space="preserve">General &amp; Administrative (G&amp;A): $10 million</w:t>
      </w:r>
      <w:r>
        <w:rPr>
          <w:rFonts w:ascii="Arial" w:hAnsi="Arial"/>
          <w:sz w:val="24"/>
        </w:rPr>
        <w:t xml:space="preserve"> </w:t>
      </w:r>
      <w:r>
        <w:rPr>
          <w:rFonts w:ascii="Arial" w:hAnsi="Arial"/>
          <w:sz w:val="24"/>
        </w:rPr>
        <w:t xml:space="preserve">(for corporate functions and infrastructure)</w:t>
      </w:r>
    </w:p>
    <w:bookmarkEnd w:id="24"/>
    <w:bookmarkStart w:id="25" w:name="net-income-profitability"/>
    <w:p>
      <w:pPr>
        <w:pStyle w:val="Heading3"/>
      </w:pPr>
      <w:r>
        <w:rPr>
          <w:rFonts w:ascii="Arial" w:hAnsi="Arial"/>
          <w:sz w:val="36"/>
        </w:rPr>
        <w:t xml:space="preserve">2.4. Net Income &amp; Profitability</w:t>
      </w:r>
    </w:p>
    <w:p>
      <w:pPr>
        <w:pStyle w:val="FirstParagraph"/>
      </w:pPr>
      <w:r>
        <w:rPr>
          <w:rFonts w:ascii="Arial" w:hAnsi="Arial"/>
          <w:sz w:val="24"/>
        </w:rPr>
        <w:t xml:space="preserve">The company achieved a Net Income of</w:t>
      </w:r>
      <w:r>
        <w:rPr>
          <w:rFonts w:ascii="Arial" w:hAnsi="Arial"/>
          <w:sz w:val="24"/>
        </w:rPr>
        <w:t xml:space="preserve"> </w:t>
      </w:r>
      <w:r>
        <w:rPr>
          <w:bCs/>
          <w:rFonts w:ascii="Arial" w:hAnsi="Arial"/>
          <w:b/>
          <w:sz w:val="24"/>
        </w:rPr>
        <w:t xml:space="preserve">$28 million</w:t>
      </w:r>
      <w:r>
        <w:rPr>
          <w:rFonts w:ascii="Arial" w:hAnsi="Arial"/>
          <w:sz w:val="24"/>
        </w:rPr>
        <w:t xml:space="preserve"> </w:t>
      </w:r>
      <w:r>
        <w:rPr>
          <w:rFonts w:ascii="Arial" w:hAnsi="Arial"/>
          <w:sz w:val="24"/>
        </w:rPr>
        <w:t xml:space="preserve">in 2023, a significant improvement from</w:t>
      </w:r>
      <w:r>
        <w:rPr>
          <w:rFonts w:ascii="Arial" w:hAnsi="Arial"/>
          <w:sz w:val="24"/>
        </w:rPr>
        <w:t xml:space="preserve"> </w:t>
      </w:r>
      <w:r>
        <w:rPr>
          <w:bCs/>
          <w:rFonts w:ascii="Arial" w:hAnsi="Arial"/>
          <w:b/>
          <w:sz w:val="24"/>
        </w:rPr>
        <w:t xml:space="preserve">$19.3 million</w:t>
      </w:r>
      <w:r>
        <w:rPr>
          <w:rFonts w:ascii="Arial" w:hAnsi="Arial"/>
          <w:sz w:val="24"/>
        </w:rPr>
        <w:t xml:space="preserve"> </w:t>
      </w:r>
      <w:r>
        <w:rPr>
          <w:rFonts w:ascii="Arial" w:hAnsi="Arial"/>
          <w:sz w:val="24"/>
        </w:rPr>
        <w:t xml:space="preserve">in 2022. This translates to a Net Profit Margin of</w:t>
      </w:r>
      <w:r>
        <w:rPr>
          <w:rFonts w:ascii="Arial" w:hAnsi="Arial"/>
          <w:sz w:val="24"/>
        </w:rPr>
        <w:t xml:space="preserve"> </w:t>
      </w:r>
      <w:r>
        <w:rPr>
          <w:bCs/>
          <w:rFonts w:ascii="Arial" w:hAnsi="Arial"/>
          <w:b/>
          <w:sz w:val="24"/>
        </w:rPr>
        <w:t xml:space="preserve">22.4%</w:t>
      </w:r>
      <w:r>
        <w:rPr>
          <w:rFonts w:ascii="Arial" w:hAnsi="Arial"/>
          <w:sz w:val="24"/>
        </w:rPr>
        <w:t xml:space="preserve">, underscoring our efficient operations and strong financial health. Earnings Per Share (EPS) for the year reached</w:t>
      </w:r>
      <w:r>
        <w:rPr>
          <w:rFonts w:ascii="Arial" w:hAnsi="Arial"/>
          <w:sz w:val="24"/>
        </w:rPr>
        <w:t xml:space="preserve"> </w:t>
      </w:r>
      <w:r>
        <w:rPr>
          <w:bCs/>
          <w:rFonts w:ascii="Arial" w:hAnsi="Arial"/>
          <w:b/>
          <w:sz w:val="24"/>
        </w:rPr>
        <w:t xml:space="preserve">$0.56</w:t>
      </w:r>
      <w:r>
        <w:rPr>
          <w:rFonts w:ascii="Arial" w:hAnsi="Arial"/>
          <w:sz w:val="24"/>
        </w:rPr>
        <w:t xml:space="preserve"> </w:t>
      </w:r>
      <w:r>
        <w:rPr>
          <w:rFonts w:ascii="Arial" w:hAnsi="Arial"/>
          <w:sz w:val="24"/>
        </w:rPr>
        <w:t xml:space="preserve">based on 50 million outstanding shares.</w:t>
      </w:r>
    </w:p>
    <w:bookmarkEnd w:id="25"/>
    <w:bookmarkEnd w:id="26"/>
    <w:bookmarkStart w:id="27" w:name="X1ff8be4d3e944ba7a30efffb44fd7a22aacced0"/>
    <w:p>
      <w:pPr>
        <w:pStyle w:val="Heading2"/>
      </w:pPr>
      <w:r>
        <w:rPr>
          <w:rFonts w:ascii="Arial" w:hAnsi="Arial"/>
          <w:sz w:val="40"/>
        </w:rPr>
        <w:t xml:space="preserve">3. Balance Sheet Snapshot (as of December 31, 2023)</w:t>
      </w:r>
    </w:p>
    <w:p>
      <w:pPr>
        <w:pStyle w:val="FirstParagraph"/>
      </w:pPr>
      <w:r>
        <w:rPr>
          <w:rFonts w:ascii="Arial" w:hAnsi="Arial"/>
          <w:sz w:val="24"/>
        </w:rPr>
        <w:t xml:space="preserve">Our balance sheet reflects a strong financial position, with a healthy asset base and manageable liabilities.</w:t>
      </w:r>
    </w:p>
    <w:tbl>
      <w:tblPr>
        <w:tblStyle w:val="Table"/>
        <w:tblW w:type="auto" w:w="0"/>
        <w:tblLook w:firstRow="1" w:lastRow="0" w:firstColumn="0" w:lastColumn="0" w:noHBand="0" w:noVBand="0" w:val="0020"/>
      </w:tblPr>
      <w:tblGrid>
        <w:gridCol w:w="2640"/>
        <w:gridCol w:w="2640"/>
        <w:gridCol w:w="2640"/>
      </w:tblGrid>
      <w:tr>
        <w:trPr>
          <w:tblHeader w:val="true"/>
        </w:trP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Category</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2023 (Millions $)</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2022 (Millions $)</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Total Assets</w:t>
            </w:r>
          </w:p>
        </w:tc>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$180</w:t>
            </w:r>
          </w:p>
        </w:tc>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$135</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Current Assets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$95</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$70</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Non-Current Assets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$85</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$65</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Total Liabilities</w:t>
            </w:r>
          </w:p>
        </w:tc>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$45</w:t>
            </w:r>
          </w:p>
        </w:tc>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$30</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Current Liabilities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$25</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$18</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Non-Current Liabilities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$12</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Total Equity</w:t>
            </w:r>
          </w:p>
        </w:tc>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$135</w:t>
            </w:r>
          </w:p>
        </w:tc>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$105</w:t>
            </w:r>
          </w:p>
        </w:tc>
      </w:tr>
    </w:tbl>
    <w:p>
      <w:pPr>
        <w:pStyle w:val="BodyText"/>
      </w:pPr>
      <w:r>
        <w:rPr>
          <w:rFonts w:ascii="Arial" w:hAnsi="Arial"/>
          <w:sz w:val="24"/>
        </w:rPr>
        <w:t xml:space="preserve">The increase in Total Assets is largely due to increased cash reserves from operations and investments in AI infrastructure and intellectual property. The increase in equity reflects retained earnings from strong profitability.</w:t>
      </w:r>
    </w:p>
    <w:bookmarkEnd w:id="27"/>
    <w:bookmarkStart w:id="28" w:name="X74fe170fa1ce56e8c0bf76a983da098c3a69d55"/>
    <w:p>
      <w:pPr>
        <w:pStyle w:val="Heading2"/>
      </w:pPr>
      <w:r>
        <w:rPr>
          <w:rFonts w:ascii="Arial" w:hAnsi="Arial"/>
          <w:sz w:val="40"/>
        </w:rPr>
        <w:t xml:space="preserve">4. Cash Flow Summary (for the year ended December 31, 2023)</w:t>
      </w:r>
    </w:p>
    <w:p>
      <w:pPr>
        <w:pStyle w:val="FirstParagraph"/>
      </w:pPr>
      <w:r>
        <w:rPr>
          <w:rFonts w:ascii="Arial" w:hAnsi="Arial"/>
          <w:sz w:val="24"/>
        </w:rPr>
        <w:t xml:space="preserve">VNext Technologies maintained a robust cash position throughout 2023, indicative of sustainable growth and effective cash management.</w:t>
      </w:r>
    </w:p>
    <w:tbl>
      <w:tblPr>
        <w:tblStyle w:val="Table"/>
        <w:tblW w:type="auto" w:w="0"/>
        <w:tblLook w:firstRow="1" w:lastRow="0" w:firstColumn="0" w:lastColumn="0" w:noHBand="0" w:noVBand="0" w:val="0020"/>
      </w:tblPr>
      <w:tblGrid>
        <w:gridCol w:w="3960"/>
        <w:gridCol w:w="3960"/>
      </w:tblGrid>
      <w:tr>
        <w:trPr>
          <w:tblHeader w:val="true"/>
        </w:trP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Cash Flow Activity</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2023 (Millions $)</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Net Cash from Operating Activities</w:t>
            </w:r>
          </w:p>
        </w:tc>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$32</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Net Cash used in Investing Activities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($15)</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Net Cash from Financing Activities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$5</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Net Increase in Cash</w:t>
            </w:r>
          </w:p>
        </w:tc>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$22</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Cash at Beginning of Year</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$48</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Cash at End of Year</w:t>
            </w:r>
          </w:p>
        </w:tc>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$70</w:t>
            </w:r>
          </w:p>
        </w:tc>
      </w:tr>
    </w:tbl>
    <w:p>
      <w:pPr>
        <w:pStyle w:val="BodyText"/>
      </w:pPr>
      <w:r>
        <w:rPr>
          <w:rFonts w:ascii="Arial" w:hAnsi="Arial"/>
          <w:sz w:val="24"/>
        </w:rPr>
        <w:t xml:space="preserve">Strong cash flow from operations enabled significant investments in our AI technology stack and potential acquisitions, while maintaining healthy liquidity.</w:t>
      </w:r>
    </w:p>
    <w:bookmarkEnd w:id="28"/>
    <w:bookmarkStart w:id="29" w:name="future-outlook"/>
    <w:p>
      <w:pPr>
        <w:pStyle w:val="Heading2"/>
      </w:pPr>
      <w:r>
        <w:rPr>
          <w:rFonts w:ascii="Arial" w:hAnsi="Arial"/>
          <w:sz w:val="40"/>
        </w:rPr>
        <w:t xml:space="preserve">5. Future Outlook</w:t>
      </w:r>
    </w:p>
    <w:p>
      <w:pPr>
        <w:pStyle w:val="FirstParagraph"/>
      </w:pPr>
      <w:r>
        <w:rPr>
          <w:rFonts w:ascii="Arial" w:hAnsi="Arial"/>
          <w:sz w:val="24"/>
        </w:rPr>
        <w:t xml:space="preserve">VNext Technologies JSC is poised for continued growth in 2024. We anticipate further expansion into new markets, particularly in industry-specific AI solutions for healthcare and finance. Our strategic focus will remain on enhancing our core AI platforms, exploring generative AI applications, and fostering key partnerships. We project a revenue growth of at least</w:t>
      </w:r>
      <w:r>
        <w:rPr>
          <w:rFonts w:ascii="Arial" w:hAnsi="Arial"/>
          <w:sz w:val="24"/>
        </w:rPr>
        <w:t xml:space="preserve"> </w:t>
      </w:r>
      <w:r>
        <w:rPr>
          <w:bCs/>
          <w:rFonts w:ascii="Arial" w:hAnsi="Arial"/>
          <w:b/>
          <w:sz w:val="24"/>
        </w:rPr>
        <w:t xml:space="preserve">25%</w:t>
      </w:r>
      <w:r>
        <w:rPr>
          <w:rFonts w:ascii="Arial" w:hAnsi="Arial"/>
          <w:sz w:val="24"/>
        </w:rPr>
        <w:t xml:space="preserve"> </w:t>
      </w:r>
      <w:r>
        <w:rPr>
          <w:rFonts w:ascii="Arial" w:hAnsi="Arial"/>
          <w:sz w:val="24"/>
        </w:rPr>
        <w:t xml:space="preserve">for 2024, aiming to reach</w:t>
      </w:r>
      <w:r>
        <w:rPr>
          <w:rFonts w:ascii="Arial" w:hAnsi="Arial"/>
          <w:sz w:val="24"/>
        </w:rPr>
        <w:t xml:space="preserve"> </w:t>
      </w:r>
      <w:r>
        <w:rPr>
          <w:bCs/>
          <w:rFonts w:ascii="Arial" w:hAnsi="Arial"/>
          <w:b/>
          <w:sz w:val="24"/>
        </w:rPr>
        <w:t xml:space="preserve">$156 million</w:t>
      </w:r>
      <w:r>
        <w:rPr>
          <w:rFonts w:ascii="Arial" w:hAnsi="Arial"/>
          <w:sz w:val="24"/>
        </w:rPr>
        <w:t xml:space="preserve">, driven by new product launches and an expanding client base. The company is committed to delivering sustained value to its shareholders and leading the charge in the global AI landscape.</w:t>
      </w:r>
    </w:p>
    <w:bookmarkEnd w:id="29"/>
    <w:p>
      <w:pPr>
        <w:pStyle w:val="BodyText"/>
      </w:pPr>
      <w:r>
        <w:rPr>
          <w:rFonts w:ascii="Arial" w:hAnsi="Arial"/>
          <w:sz w:val="24"/>
        </w:rPr>
        <w:t xml:space="preserve">© 2024 VNext Technologies JSC. All rights reserved.</w:t>
      </w:r>
    </w:p>
    <w:p>
      <w:pPr>
        <w:pStyle w:val="BodyText"/>
      </w:pPr>
      <w:r>
        <w:rPr>
          <w:rFonts w:ascii="Arial" w:hAnsi="Arial"/>
          <w:sz w:val="24"/>
        </w:rPr>
        <w:t xml:space="preserve">Confidential &amp; Proprietary</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 Finance Report - VNext Technologies JSC</dc:title>
  <dc:creator/>
  <dc:language>en</dc:language>
  <cp:keywords/>
  <dcterms:created xsi:type="dcterms:W3CDTF">2022-01-01T05:00:00Z</dcterms:created>
  <dcterms:modified xsi:type="dcterms:W3CDTF">2022-01-01T05:00:00Z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