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ascii="Arial" w:hAnsi="Arial"/>
          <w:sz w:val="24"/>
        </w:rPr>
        <w:t xml:space="preserve">2023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Marketing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Plan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-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VNext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Technologies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JSC</w:t>
      </w:r>
    </w:p>
    <w:bookmarkStart w:id="43" w:name="marketing-plan"/>
    <w:p>
      <w:pPr>
        <w:pStyle w:val="Heading1"/>
      </w:pPr>
      <w:r>
        <w:rPr>
          <w:rFonts w:ascii="Arial" w:hAnsi="Arial"/>
          <w:sz w:val="48"/>
        </w:rPr>
        <w:t xml:space="preserve">2023 Marketing Plan</w:t>
      </w:r>
    </w:p>
    <w:bookmarkStart w:id="20" w:name="X7f6787e7ec136106ba02e9594482ea8e06bbfcc"/>
    <w:p>
      <w:pPr>
        <w:pStyle w:val="Heading2"/>
      </w:pPr>
      <w:r>
        <w:rPr>
          <w:rFonts w:ascii="Arial" w:hAnsi="Arial"/>
          <w:sz w:val="40"/>
        </w:rPr>
        <w:t xml:space="preserve">VNext Technologies JSC: Advancing AI Solutions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Prepared for: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VNext Technologies JSC Leadership Team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Date: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October 26, 2023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Version: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1.0</w:t>
      </w:r>
    </w:p>
    <w:p>
      <w:pPr>
        <w:pStyle w:val="BodyText"/>
      </w:pPr>
      <w:r>
        <w:rPr>
          <w:rFonts w:ascii="Arial" w:hAnsi="Arial"/>
          <w:sz w:val="24"/>
        </w:rPr>
        <w:t xml:space="preserve">This marketing plan outlines the strategic initiatives and tactical actions for VNext Technologies JSC in 2023, focusing on solidifying our position as a leader in artificial intelligence solutions. With an aggressive growth target of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35%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year-over-year revenue increase, this plan details our approach to market penetration, brand elevation, and customer acquisition in a rapidly evolving AI landscape.</w:t>
      </w:r>
    </w:p>
    <w:bookmarkEnd w:id="20"/>
    <w:bookmarkStart w:id="21" w:name="executive-summary"/>
    <w:p>
      <w:pPr>
        <w:pStyle w:val="Heading2"/>
      </w:pPr>
      <w:r>
        <w:rPr>
          <w:rFonts w:ascii="Arial" w:hAnsi="Arial"/>
          <w:sz w:val="40"/>
        </w:rPr>
        <w:t xml:space="preserve">1. Executive Summary</w:t>
      </w:r>
    </w:p>
    <w:p>
      <w:pPr>
        <w:pStyle w:val="FirstParagraph"/>
      </w:pPr>
      <w:r>
        <w:rPr>
          <w:rFonts w:ascii="Arial" w:hAnsi="Arial"/>
          <w:sz w:val="24"/>
        </w:rPr>
        <w:t xml:space="preserve">VNext Technologies JSC, a pioneering force in Artificial Intelligence, aims to achieve significant market share growth and brand recognition in 2023. Our focus will be on two key product lines: the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VNext AI Engine 2.0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for enterprise automation and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VNext Smart Analytics Platform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for data-driven insights. We project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25%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increase in new customer acquisition and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15%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improvement in customer retention. The plan emphasizes digital marketing, strategic partnerships, and thought leadership to reach an estimated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1.5 million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B2B prospects across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3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key industries: Finance, Healthcare, and Manufacturing. Total marketing budget allocation is set at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$2.5 million</w:t>
      </w:r>
      <w:r>
        <w:rPr>
          <w:rFonts w:ascii="Arial" w:hAnsi="Arial"/>
          <w:sz w:val="24"/>
        </w:rPr>
        <w:t xml:space="preserve">, with expected ROI of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$4.00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for every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$1.00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invested.</w:t>
      </w:r>
    </w:p>
    <w:bookmarkEnd w:id="21"/>
    <w:bookmarkStart w:id="24" w:name="company-background-vision"/>
    <w:p>
      <w:pPr>
        <w:pStyle w:val="Heading2"/>
      </w:pPr>
      <w:r>
        <w:rPr>
          <w:rFonts w:ascii="Arial" w:hAnsi="Arial"/>
          <w:sz w:val="40"/>
        </w:rPr>
        <w:t xml:space="preserve">2. Company Background &amp; Vision</w:t>
      </w:r>
    </w:p>
    <w:bookmarkStart w:id="22" w:name="about-vnext-technologies-jsc"/>
    <w:p>
      <w:pPr>
        <w:pStyle w:val="Heading3"/>
      </w:pPr>
      <w:r>
        <w:rPr>
          <w:rFonts w:ascii="Arial" w:hAnsi="Arial"/>
          <w:sz w:val="36"/>
        </w:rPr>
        <w:t xml:space="preserve">2.1. About VNext Technologies JSC</w:t>
      </w:r>
    </w:p>
    <w:p>
      <w:pPr>
        <w:pStyle w:val="FirstParagraph"/>
      </w:pPr>
      <w:r>
        <w:rPr>
          <w:rFonts w:ascii="Arial" w:hAnsi="Arial"/>
          <w:sz w:val="24"/>
        </w:rPr>
        <w:t xml:space="preserve">Founded in 2018, VNext Technologies JSC has rapidly grown into a recognized innovator in AI. Starting with a team of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5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dedicated AI engineers, we now boast a workforce of over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120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professionals, including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80+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AI specialists. Our core mission is to empower businesses through intelligent automation and predictive analytics, driving efficiency and innovation. We currently serve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over 100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enterprise clients globally, with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92%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customer satisfaction rate based on our 2022 survey.</w:t>
      </w:r>
    </w:p>
    <w:bookmarkEnd w:id="22"/>
    <w:bookmarkStart w:id="23" w:name="vision-for-2023-and-beyond"/>
    <w:p>
      <w:pPr>
        <w:pStyle w:val="Heading3"/>
      </w:pPr>
      <w:r>
        <w:rPr>
          <w:rFonts w:ascii="Arial" w:hAnsi="Arial"/>
          <w:sz w:val="36"/>
        </w:rPr>
        <w:t xml:space="preserve">2.2. Vision for 2023 and Beyond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To be the preferred AI solutions provider for enterprise clients, expanding our market reach by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20%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into new geographical territories.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To launch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 new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AI-powered modules enhancing our existing product suite.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To increase our R&amp;D investment by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18%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 explore cutting-edge AI technologies like Quantum AI and Explainable AI (XAI).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To foster a community of over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10,000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AI developers and enthusiasts through our open-source initiatives.</w:t>
      </w:r>
    </w:p>
    <w:bookmarkEnd w:id="23"/>
    <w:bookmarkEnd w:id="24"/>
    <w:bookmarkStart w:id="28" w:name="market-analysis"/>
    <w:p>
      <w:pPr>
        <w:pStyle w:val="Heading2"/>
      </w:pPr>
      <w:r>
        <w:rPr>
          <w:rFonts w:ascii="Arial" w:hAnsi="Arial"/>
          <w:sz w:val="40"/>
        </w:rPr>
        <w:t xml:space="preserve">3. Market Analysis</w:t>
      </w:r>
    </w:p>
    <w:bookmarkStart w:id="25" w:name="industry-overview-ai-sector"/>
    <w:p>
      <w:pPr>
        <w:pStyle w:val="Heading3"/>
      </w:pPr>
      <w:r>
        <w:rPr>
          <w:rFonts w:ascii="Arial" w:hAnsi="Arial"/>
          <w:sz w:val="36"/>
        </w:rPr>
        <w:t xml:space="preserve">3.1. Industry Overview (AI Sector)</w:t>
      </w:r>
    </w:p>
    <w:p>
      <w:pPr>
        <w:pStyle w:val="FirstParagraph"/>
      </w:pPr>
      <w:r>
        <w:rPr>
          <w:rFonts w:ascii="Arial" w:hAnsi="Arial"/>
          <w:sz w:val="24"/>
        </w:rPr>
        <w:t xml:space="preserve">The global AI market is projected to grow at a Compound Annual Growth Rate (CAGR) of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37.3%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from 2023 to 2030, reaching an estimated value of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$1.5 trillion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by 2030. Key drivers include increased adoption of cloud-based AI solutions, demand for automation, and big data analytics. The competitive landscape is intensifying, with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hundreds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of startups and established tech giants vying for market share. VNext's distinctive advantage lies in our proprietary algorithms and a strong focus on industry-specific AI applications, giving us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10%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lead in solution deployment speed compared to competitors.</w:t>
      </w:r>
    </w:p>
    <w:bookmarkEnd w:id="25"/>
    <w:bookmarkStart w:id="26" w:name="competitor-analysis"/>
    <w:p>
      <w:pPr>
        <w:pStyle w:val="Heading3"/>
      </w:pPr>
      <w:r>
        <w:rPr>
          <w:rFonts w:ascii="Arial" w:hAnsi="Arial"/>
          <w:sz w:val="36"/>
        </w:rPr>
        <w:t xml:space="preserve">3.2. Competitor Analysis</w:t>
      </w:r>
    </w:p>
    <w:p>
      <w:pPr>
        <w:pStyle w:val="FirstParagraph"/>
      </w:pPr>
      <w:r>
        <w:rPr>
          <w:rFonts w:ascii="Arial" w:hAnsi="Arial"/>
          <w:sz w:val="24"/>
        </w:rPr>
        <w:t xml:space="preserve">Our primary competitors include: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DataGenius Inc.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(strong in data analytics,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$500M+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revenue),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AetherAI Solutions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(specializes in healthcare AI,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800+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active clients), and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RoboCorp Automation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(focused on manufacturing AI,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60%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market share in its niche). VNext differentiates itself through its superior integration capabilities (</w:t>
      </w:r>
      <w:r>
        <w:rPr>
          <w:bCs/>
          <w:rFonts w:ascii="Arial" w:hAnsi="Arial"/>
          <w:b/>
          <w:sz w:val="24"/>
        </w:rPr>
        <w:t xml:space="preserve">40% faster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deployment) and a unique "AI-as-a-Service" model, which has attracted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30%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of our current clientele.</w:t>
      </w:r>
    </w:p>
    <w:bookmarkEnd w:id="26"/>
    <w:bookmarkStart w:id="27" w:name="swot-analysis-internal-external"/>
    <w:p>
      <w:pPr>
        <w:pStyle w:val="Heading3"/>
      </w:pPr>
      <w:r>
        <w:rPr>
          <w:rFonts w:ascii="Arial" w:hAnsi="Arial"/>
          <w:sz w:val="36"/>
        </w:rPr>
        <w:t xml:space="preserve">3.3. SWOT Analysis (Internal &amp; External)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Strengths: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Strong R&amp;D team (</w:t>
      </w:r>
      <w:r>
        <w:rPr>
          <w:bCs/>
          <w:rFonts w:ascii="Arial" w:hAnsi="Arial"/>
          <w:b/>
          <w:sz w:val="24"/>
        </w:rPr>
        <w:t xml:space="preserve">80+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AI engineers), proprietary algorithms, high customer satisfaction (</w:t>
      </w:r>
      <w:r>
        <w:rPr>
          <w:bCs/>
          <w:rFonts w:ascii="Arial" w:hAnsi="Arial"/>
          <w:b/>
          <w:sz w:val="24"/>
        </w:rPr>
        <w:t xml:space="preserve">92%</w:t>
      </w:r>
      <w:r>
        <w:rPr>
          <w:rFonts w:ascii="Arial" w:hAnsi="Arial"/>
          <w:sz w:val="24"/>
        </w:rPr>
        <w:t xml:space="preserve">).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Weaknesses: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Brand awareness is at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25%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compared to larger competitors, limited global presence in certain regions.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Opportunities: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Expanding AI applications in new sectors (e.g., retail, logistics), increasing demand for ethical AI solutions.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Threats: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Rapid technological advancements requiring continuous adaptation, talent shortage in AI, potential regulatory changes.</w:t>
      </w:r>
    </w:p>
    <w:bookmarkEnd w:id="27"/>
    <w:bookmarkEnd w:id="28"/>
    <w:bookmarkStart w:id="29" w:name="marketing-objectives-for-2023"/>
    <w:p>
      <w:pPr>
        <w:pStyle w:val="Heading2"/>
      </w:pPr>
      <w:r>
        <w:rPr>
          <w:rFonts w:ascii="Arial" w:hAnsi="Arial"/>
          <w:sz w:val="40"/>
        </w:rPr>
        <w:t xml:space="preserve">4. Marketing Objectives for 2023</w:t>
      </w:r>
    </w:p>
    <w:p>
      <w:pPr>
        <w:pStyle w:val="FirstParagraph"/>
      </w:pPr>
      <w:r>
        <w:rPr>
          <w:rFonts w:ascii="Arial" w:hAnsi="Arial"/>
          <w:sz w:val="24"/>
        </w:rPr>
        <w:t xml:space="preserve">Our marketing objectives are SMART (Specific, Measurable, Achievable, Relevant, Time-bound):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Arial" w:hAnsi="Arial"/>
          <w:b/>
          <w:sz w:val="24"/>
        </w:rPr>
        <w:t xml:space="preserve">Increase Brand Awareness: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Achieve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40%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increase in brand recognition within our target industries by Q4 2023, measured by surveys and digital mentions.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Arial" w:hAnsi="Arial"/>
          <w:b/>
          <w:sz w:val="24"/>
        </w:rPr>
        <w:t xml:space="preserve">Generate Qualified Leads: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Generate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5,000+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marketing qualified leads (MQLs) and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1,200+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sales qualified leads (SQLs) by end of 2023.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Arial" w:hAnsi="Arial"/>
          <w:b/>
          <w:sz w:val="24"/>
        </w:rPr>
        <w:t xml:space="preserve">Customer Acquisition: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Secure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75 new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enterprise clients by December 31, 2023.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Arial" w:hAnsi="Arial"/>
          <w:b/>
          <w:sz w:val="24"/>
        </w:rPr>
        <w:t xml:space="preserve">Website Traffic &amp; Engagement: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Increase website traffic by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60%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and achieve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4%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conversion rate on key landing pages.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Arial" w:hAnsi="Arial"/>
          <w:b/>
          <w:sz w:val="24"/>
        </w:rPr>
        <w:t xml:space="preserve">Thought Leadership: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Publish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12+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industry whitepapers and host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4+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industry webinars to establish VNext as a key opinion leader.</w:t>
      </w:r>
    </w:p>
    <w:bookmarkEnd w:id="29"/>
    <w:bookmarkStart w:id="32" w:name="target-audience"/>
    <w:p>
      <w:pPr>
        <w:pStyle w:val="Heading2"/>
      </w:pPr>
      <w:r>
        <w:rPr>
          <w:rFonts w:ascii="Arial" w:hAnsi="Arial"/>
          <w:sz w:val="40"/>
        </w:rPr>
        <w:t xml:space="preserve">5. Target Audience</w:t>
      </w:r>
    </w:p>
    <w:bookmarkStart w:id="30" w:name="primary-target-audience"/>
    <w:p>
      <w:pPr>
        <w:pStyle w:val="Heading3"/>
      </w:pPr>
      <w:r>
        <w:rPr>
          <w:rFonts w:ascii="Arial" w:hAnsi="Arial"/>
          <w:sz w:val="36"/>
        </w:rPr>
        <w:t xml:space="preserve">5.1. Primary Target Audience</w:t>
      </w:r>
    </w:p>
    <w:p>
      <w:pPr>
        <w:pStyle w:val="FirstParagraph"/>
      </w:pPr>
      <w:r>
        <w:rPr>
          <w:rFonts w:ascii="Arial" w:hAnsi="Arial"/>
          <w:sz w:val="24"/>
        </w:rPr>
        <w:t xml:space="preserve">Our primary target audience consists of B2B enterprises with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500+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employees, annual revenue exceeding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$100 million</w:t>
      </w:r>
      <w:r>
        <w:rPr>
          <w:rFonts w:ascii="Arial" w:hAnsi="Arial"/>
          <w:sz w:val="24"/>
        </w:rPr>
        <w:t xml:space="preserve">, operating in the Finance, Healthcare, and Manufacturing sectors. Key decision-makers include: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Chief Information Officers (CIOs):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Concerned with IT infrastructure, data security, and digital transformation.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Chief Technology Officers (CTOs):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Focused on technological innovation, R&amp;D, and solution architecture.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Heads of Operations/Production: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Seeking efficiency gains, cost reduction, and automation.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Heads of Data Science/Analytics: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Requiring advanced predictive models and insights.</w:t>
      </w:r>
    </w:p>
    <w:p>
      <w:pPr>
        <w:pStyle w:val="FirstParagraph"/>
      </w:pPr>
      <w:r>
        <w:rPr>
          <w:rFonts w:ascii="Arial" w:hAnsi="Arial"/>
          <w:sz w:val="24"/>
        </w:rPr>
        <w:t xml:space="preserve">Geographically, our initial focus for 2023 will be North America and Western Europe, targeting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10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key cities.</w:t>
      </w:r>
    </w:p>
    <w:bookmarkEnd w:id="30"/>
    <w:bookmarkStart w:id="31" w:name="customer-pain-points-vnext-solutions"/>
    <w:p>
      <w:pPr>
        <w:pStyle w:val="Heading3"/>
      </w:pPr>
      <w:r>
        <w:rPr>
          <w:rFonts w:ascii="Arial" w:hAnsi="Arial"/>
          <w:sz w:val="36"/>
        </w:rPr>
        <w:t xml:space="preserve">5.2. Customer Pain Points &amp; VNext Solutions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Pain Point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VNext Solution (Benefits)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Inefficient manual processes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VNext AI Engine 2.0 (</w:t>
            </w:r>
            <w:r>
              <w:rPr>
                <w:bCs/>
                <w:rFonts w:ascii="Arial" w:hAnsi="Arial"/>
                <w:b/>
              </w:rPr>
              <w:t xml:space="preserve">30-50%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reduction in operational costs)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Lack of data insights for decision-making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VNext Smart Analytics Platform (</w:t>
            </w:r>
            <w:r>
              <w:rPr>
                <w:bCs/>
                <w:rFonts w:ascii="Arial" w:hAnsi="Arial"/>
                <w:b/>
              </w:rPr>
              <w:t xml:space="preserve">20%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improvement in decision accuracy)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Scalability issues with existing systems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Cloud-native AI solutions (Scalability up to</w:t>
            </w:r>
            <w:r>
              <w:rPr>
                <w:rFonts w:ascii="Arial" w:hAnsi="Arial"/>
              </w:rPr>
              <w:t xml:space="preserve"> </w:t>
            </w:r>
            <w:r>
              <w:rPr>
                <w:bCs/>
                <w:rFonts w:ascii="Arial" w:hAnsi="Arial"/>
                <w:b/>
              </w:rPr>
              <w:t xml:space="preserve">10x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current capacity)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High cybersecurity risks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Built-in AI security modules (</w:t>
            </w:r>
            <w:r>
              <w:rPr>
                <w:bCs/>
                <w:rFonts w:ascii="Arial" w:hAnsi="Arial"/>
                <w:b/>
              </w:rPr>
              <w:t xml:space="preserve">99.9%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threat detection accuracy)</w:t>
            </w:r>
          </w:p>
        </w:tc>
      </w:tr>
    </w:tbl>
    <w:bookmarkEnd w:id="31"/>
    <w:bookmarkEnd w:id="32"/>
    <w:bookmarkStart w:id="40" w:name="marketing-strategies-the-4-ps"/>
    <w:p>
      <w:pPr>
        <w:pStyle w:val="Heading2"/>
      </w:pPr>
      <w:r>
        <w:rPr>
          <w:rFonts w:ascii="Arial" w:hAnsi="Arial"/>
          <w:sz w:val="40"/>
        </w:rPr>
        <w:t xml:space="preserve">6. Marketing Strategies (The 4 Ps)</w:t>
      </w:r>
    </w:p>
    <w:bookmarkStart w:id="33" w:name="product-strategy"/>
    <w:p>
      <w:pPr>
        <w:pStyle w:val="Heading3"/>
      </w:pPr>
      <w:r>
        <w:rPr>
          <w:rFonts w:ascii="Arial" w:hAnsi="Arial"/>
          <w:sz w:val="36"/>
        </w:rPr>
        <w:t xml:space="preserve">6.1. Product Strategy</w:t>
      </w:r>
    </w:p>
    <w:p>
      <w:pPr>
        <w:numPr>
          <w:ilvl w:val="0"/>
          <w:numId w:val="1005"/>
        </w:numPr>
        <w:pStyle w:val="Compact"/>
      </w:pPr>
      <w:r>
        <w:rPr>
          <w:bCs/>
          <w:rFonts w:ascii="Arial" w:hAnsi="Arial"/>
          <w:b/>
          <w:sz w:val="24"/>
        </w:rPr>
        <w:t xml:space="preserve">Enhancements: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Launch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major updates to VNext AI Engine 2.0 and Smart Analytics Platform by Q3 2023, integrating advanced features like explainable AI and federated learning.</w:t>
      </w:r>
    </w:p>
    <w:p>
      <w:pPr>
        <w:numPr>
          <w:ilvl w:val="0"/>
          <w:numId w:val="1005"/>
        </w:numPr>
        <w:pStyle w:val="Compact"/>
      </w:pPr>
      <w:r>
        <w:rPr>
          <w:bCs/>
          <w:rFonts w:ascii="Arial" w:hAnsi="Arial"/>
          <w:b/>
          <w:sz w:val="24"/>
        </w:rPr>
        <w:t xml:space="preserve">New Modules: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Introduce a "Fraud Detection AI Module" for finance and a "Predictive Maintenance AI Module" for manufacturing by Q4 2023.</w:t>
      </w:r>
    </w:p>
    <w:p>
      <w:pPr>
        <w:numPr>
          <w:ilvl w:val="0"/>
          <w:numId w:val="1005"/>
        </w:numPr>
        <w:pStyle w:val="Compact"/>
      </w:pPr>
      <w:r>
        <w:rPr>
          <w:bCs/>
          <w:rFonts w:ascii="Arial" w:hAnsi="Arial"/>
          <w:b/>
          <w:sz w:val="24"/>
        </w:rPr>
        <w:t xml:space="preserve">Customer-Centric Development: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Incorporate customer feedback from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over 50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direct interviews and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200+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survey responses into product roadmap.</w:t>
      </w:r>
    </w:p>
    <w:bookmarkEnd w:id="33"/>
    <w:bookmarkStart w:id="34" w:name="price-strategy"/>
    <w:p>
      <w:pPr>
        <w:pStyle w:val="Heading3"/>
      </w:pPr>
      <w:r>
        <w:rPr>
          <w:rFonts w:ascii="Arial" w:hAnsi="Arial"/>
          <w:sz w:val="36"/>
        </w:rPr>
        <w:t xml:space="preserve">6.2. Price Strategy</w:t>
      </w:r>
    </w:p>
    <w:p>
      <w:pPr>
        <w:numPr>
          <w:ilvl w:val="0"/>
          <w:numId w:val="1006"/>
        </w:numPr>
        <w:pStyle w:val="Compact"/>
      </w:pPr>
      <w:r>
        <w:rPr>
          <w:bCs/>
          <w:rFonts w:ascii="Arial" w:hAnsi="Arial"/>
          <w:b/>
          <w:sz w:val="24"/>
        </w:rPr>
        <w:t xml:space="preserve">Tiered Subscription Model: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Offer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3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distinct subscription tiers (Standard, Premium, Enterprise) for flexible deployment. Enterprise tier will include dedicated support with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99.9%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uptime SLA.</w:t>
      </w:r>
    </w:p>
    <w:p>
      <w:pPr>
        <w:numPr>
          <w:ilvl w:val="0"/>
          <w:numId w:val="1006"/>
        </w:numPr>
        <w:pStyle w:val="Compact"/>
      </w:pPr>
      <w:r>
        <w:rPr>
          <w:bCs/>
          <w:rFonts w:ascii="Arial" w:hAnsi="Arial"/>
          <w:b/>
          <w:sz w:val="24"/>
        </w:rPr>
        <w:t xml:space="preserve">Value-Based Pricing: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Emphasize ROI and long-term cost savings, demonstrating an average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200-300%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ROI within 12 months.</w:t>
      </w:r>
    </w:p>
    <w:p>
      <w:pPr>
        <w:numPr>
          <w:ilvl w:val="0"/>
          <w:numId w:val="1006"/>
        </w:numPr>
        <w:pStyle w:val="Compact"/>
      </w:pPr>
      <w:r>
        <w:rPr>
          <w:bCs/>
          <w:rFonts w:ascii="Arial" w:hAnsi="Arial"/>
          <w:b/>
          <w:sz w:val="24"/>
        </w:rPr>
        <w:t xml:space="preserve">Pilot Programs: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Offer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3-month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complimentary pilot program for qualified large enterprises.</w:t>
      </w:r>
    </w:p>
    <w:bookmarkEnd w:id="34"/>
    <w:bookmarkStart w:id="35" w:name="place-distribution-strategy"/>
    <w:p>
      <w:pPr>
        <w:pStyle w:val="Heading3"/>
      </w:pPr>
      <w:r>
        <w:rPr>
          <w:rFonts w:ascii="Arial" w:hAnsi="Arial"/>
          <w:sz w:val="36"/>
        </w:rPr>
        <w:t xml:space="preserve">6.3. Place (Distribution) Strategy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Direct Sales: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Expand our direct sales team by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15%</w:t>
      </w:r>
      <w:r>
        <w:rPr>
          <w:rFonts w:ascii="Arial" w:hAnsi="Arial"/>
          <w:sz w:val="24"/>
        </w:rPr>
        <w:t xml:space="preserve">, focusing on enterprise accounts.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Strategic Partnerships: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Forge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5 new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partnerships with leading cloud providers (e.g., AWS, Azure, GCP) and system integrators to expand reach.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Online Presence: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Optimize our website for global accessibility and integrate a robust CRM system to manage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all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sales leads efficiently.</w:t>
      </w:r>
    </w:p>
    <w:bookmarkEnd w:id="35"/>
    <w:bookmarkStart w:id="39" w:name="promotion-strategy"/>
    <w:p>
      <w:pPr>
        <w:pStyle w:val="Heading3"/>
      </w:pPr>
      <w:r>
        <w:rPr>
          <w:rFonts w:ascii="Arial" w:hAnsi="Arial"/>
          <w:sz w:val="36"/>
        </w:rPr>
        <w:t xml:space="preserve">6.4. Promotion Strategy</w:t>
      </w:r>
    </w:p>
    <w:bookmarkStart w:id="36" w:name="digital-marketing"/>
    <w:p>
      <w:pPr>
        <w:pStyle w:val="Heading4"/>
      </w:pPr>
      <w:r>
        <w:rPr>
          <w:rFonts w:ascii="Arial" w:hAnsi="Arial"/>
          <w:sz w:val="32"/>
        </w:rPr>
        <w:t xml:space="preserve">6.4.1. Digital Marketing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Arial" w:hAnsi="Arial"/>
          <w:b/>
          <w:sz w:val="24"/>
        </w:rPr>
        <w:t xml:space="preserve">SEO &amp; Content Marketing: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Publish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200+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blog posts,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50+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case studies, and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whitepapers focused on AI trends and solutions. Target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top 3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search rankings for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50+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keywords.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Arial" w:hAnsi="Arial"/>
          <w:b/>
          <w:sz w:val="24"/>
        </w:rPr>
        <w:t xml:space="preserve">PPC &amp; Paid Social: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Allocate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40%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of the digital marketing budget to targeted LinkedIn and Google Ads campaigns reaching over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 million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professionals.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Arial" w:hAnsi="Arial"/>
          <w:b/>
          <w:sz w:val="24"/>
        </w:rPr>
        <w:t xml:space="preserve">Email Marketing: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Build an email list of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50,000+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qualified leads, sending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2-3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targeted newsletters per month.</w:t>
      </w:r>
    </w:p>
    <w:bookmarkEnd w:id="36"/>
    <w:bookmarkStart w:id="37" w:name="pr-media-relations"/>
    <w:p>
      <w:pPr>
        <w:pStyle w:val="Heading4"/>
      </w:pPr>
      <w:r>
        <w:rPr>
          <w:rFonts w:ascii="Arial" w:hAnsi="Arial"/>
          <w:sz w:val="32"/>
        </w:rPr>
        <w:t xml:space="preserve">6.4.2. PR &amp; Media Relations</w:t>
      </w:r>
    </w:p>
    <w:p>
      <w:pPr>
        <w:numPr>
          <w:ilvl w:val="0"/>
          <w:numId w:val="1009"/>
        </w:numPr>
        <w:pStyle w:val="Compact"/>
      </w:pPr>
      <w:r>
        <w:rPr>
          <w:rFonts w:ascii="Arial" w:hAnsi="Arial"/>
          <w:sz w:val="24"/>
        </w:rPr>
        <w:t xml:space="preserve">Secure features in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leading industry publications (e.g., Forbes, TechCrunch, AI Business).</w:t>
      </w:r>
    </w:p>
    <w:p>
      <w:pPr>
        <w:numPr>
          <w:ilvl w:val="0"/>
          <w:numId w:val="1009"/>
        </w:numPr>
        <w:pStyle w:val="Compact"/>
      </w:pPr>
      <w:r>
        <w:rPr>
          <w:rFonts w:ascii="Arial" w:hAnsi="Arial"/>
          <w:sz w:val="24"/>
        </w:rPr>
        <w:t xml:space="preserve">Issue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4+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press releases announcing major product launches and partnerships.</w:t>
      </w:r>
    </w:p>
    <w:bookmarkEnd w:id="37"/>
    <w:bookmarkStart w:id="38" w:name="events-webinars"/>
    <w:p>
      <w:pPr>
        <w:pStyle w:val="Heading4"/>
      </w:pPr>
      <w:r>
        <w:rPr>
          <w:rFonts w:ascii="Arial" w:hAnsi="Arial"/>
          <w:sz w:val="32"/>
        </w:rPr>
        <w:t xml:space="preserve">6.4.3. Events &amp; Webinars</w:t>
      </w:r>
    </w:p>
    <w:p>
      <w:pPr>
        <w:numPr>
          <w:ilvl w:val="0"/>
          <w:numId w:val="1010"/>
        </w:numPr>
        <w:pStyle w:val="Compact"/>
      </w:pPr>
      <w:r>
        <w:rPr>
          <w:rFonts w:ascii="Arial" w:hAnsi="Arial"/>
          <w:sz w:val="24"/>
        </w:rPr>
        <w:t xml:space="preserve">Participate in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5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major AI and industry-specific conferences (e.g., CES, HIMSS, Hannover Messe).</w:t>
      </w:r>
    </w:p>
    <w:p>
      <w:pPr>
        <w:numPr>
          <w:ilvl w:val="0"/>
          <w:numId w:val="1010"/>
        </w:numPr>
        <w:pStyle w:val="Compact"/>
      </w:pPr>
      <w:r>
        <w:rPr>
          <w:rFonts w:ascii="Arial" w:hAnsi="Arial"/>
          <w:sz w:val="24"/>
        </w:rPr>
        <w:t xml:space="preserve">Host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4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exclusive online webinars featuring VNext AI experts and case studies, attracting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500+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attendees per webinar.</w:t>
      </w:r>
    </w:p>
    <w:bookmarkEnd w:id="38"/>
    <w:bookmarkEnd w:id="39"/>
    <w:bookmarkEnd w:id="40"/>
    <w:bookmarkStart w:id="41" w:name="marketing-budget-allocation-2023"/>
    <w:p>
      <w:pPr>
        <w:pStyle w:val="Heading2"/>
      </w:pPr>
      <w:r>
        <w:rPr>
          <w:rFonts w:ascii="Arial" w:hAnsi="Arial"/>
          <w:sz w:val="40"/>
        </w:rPr>
        <w:t xml:space="preserve">7. Marketing Budget Allocation (2023)</w:t>
      </w:r>
    </w:p>
    <w:p>
      <w:pPr>
        <w:pStyle w:val="FirstParagraph"/>
      </w:pPr>
      <w:r>
        <w:rPr>
          <w:rFonts w:ascii="Arial" w:hAnsi="Arial"/>
          <w:sz w:val="24"/>
        </w:rPr>
        <w:t xml:space="preserve">Total Marketing Budget: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$2,500,000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Category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Allocated Budget ($)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Percentage (%)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Digital Advertising (PPC, Social)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800,000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32%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Content Marketing &amp; SEO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500,000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20%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Events &amp; Conferences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400,000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16%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Public Relations &amp; Media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300,000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12%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Product Marketing &amp; Launch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250,000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10%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Marketing Tools &amp; Technology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150,000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6%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Market Research &amp; Analytics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100,000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4%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Total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2,500,000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100%</w:t>
            </w:r>
          </w:p>
        </w:tc>
      </w:tr>
    </w:tbl>
    <w:bookmarkEnd w:id="41"/>
    <w:bookmarkStart w:id="42" w:name="X71b12032ba2b116fe62edd7725f9789f3b3d275"/>
    <w:p>
      <w:pPr>
        <w:pStyle w:val="Heading2"/>
      </w:pPr>
      <w:r>
        <w:rPr>
          <w:rFonts w:ascii="Arial" w:hAnsi="Arial"/>
          <w:sz w:val="40"/>
        </w:rPr>
        <w:t xml:space="preserve">8. Key Performance Indicators (KPIs) &amp; Measurement</w:t>
      </w:r>
    </w:p>
    <w:p>
      <w:pPr>
        <w:pStyle w:val="FirstParagraph"/>
      </w:pPr>
      <w:r>
        <w:rPr>
          <w:rFonts w:ascii="Arial" w:hAnsi="Arial"/>
          <w:sz w:val="24"/>
        </w:rPr>
        <w:t xml:space="preserve">We will track the following KPIs monthly and quarterly to assess the effectiveness of our marketing efforts: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Website Traffic: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Unique Visitors, Page Views, Bounce Rate. Target: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60%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growth.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Lead Generation: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MQLs (</w:t>
      </w:r>
      <w:r>
        <w:rPr>
          <w:bCs/>
          <w:rFonts w:ascii="Arial" w:hAnsi="Arial"/>
          <w:b/>
          <w:sz w:val="24"/>
        </w:rPr>
        <w:t xml:space="preserve">5,000+</w:t>
      </w:r>
      <w:r>
        <w:rPr>
          <w:rFonts w:ascii="Arial" w:hAnsi="Arial"/>
          <w:sz w:val="24"/>
        </w:rPr>
        <w:t xml:space="preserve">), SQLs (</w:t>
      </w:r>
      <w:r>
        <w:rPr>
          <w:bCs/>
          <w:rFonts w:ascii="Arial" w:hAnsi="Arial"/>
          <w:b/>
          <w:sz w:val="24"/>
        </w:rPr>
        <w:t xml:space="preserve">1,200+</w:t>
      </w:r>
      <w:r>
        <w:rPr>
          <w:rFonts w:ascii="Arial" w:hAnsi="Arial"/>
          <w:sz w:val="24"/>
        </w:rPr>
        <w:t xml:space="preserve">), Cost Per Lead (CPL) - Target: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&lt;$200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per MQL.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Conversion Rates: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Website Conversion Rate (</w:t>
      </w:r>
      <w:r>
        <w:rPr>
          <w:bCs/>
          <w:rFonts w:ascii="Arial" w:hAnsi="Arial"/>
          <w:b/>
          <w:sz w:val="24"/>
        </w:rPr>
        <w:t xml:space="preserve">4%</w:t>
      </w:r>
      <w:r>
        <w:rPr>
          <w:rFonts w:ascii="Arial" w:hAnsi="Arial"/>
          <w:sz w:val="24"/>
        </w:rPr>
        <w:t xml:space="preserve">), Lead-to-Opportunity Conversion Rate (</w:t>
      </w:r>
      <w:r>
        <w:rPr>
          <w:bCs/>
          <w:rFonts w:ascii="Arial" w:hAnsi="Arial"/>
          <w:b/>
          <w:sz w:val="24"/>
        </w:rPr>
        <w:t xml:space="preserve">25%</w:t>
      </w:r>
      <w:r>
        <w:rPr>
          <w:rFonts w:ascii="Arial" w:hAnsi="Arial"/>
          <w:sz w:val="24"/>
        </w:rPr>
        <w:t xml:space="preserve">), Opportunity-to-Win Rate (</w:t>
      </w:r>
      <w:r>
        <w:rPr>
          <w:bCs/>
          <w:rFonts w:ascii="Arial" w:hAnsi="Arial"/>
          <w:b/>
          <w:sz w:val="24"/>
        </w:rPr>
        <w:t xml:space="preserve">40%</w:t>
      </w:r>
      <w:r>
        <w:rPr>
          <w:rFonts w:ascii="Arial" w:hAnsi="Arial"/>
          <w:sz w:val="24"/>
        </w:rPr>
        <w:t xml:space="preserve">).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Brand Awareness: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Brand Mentions, Social Media Reach (Target: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 million+</w:t>
      </w:r>
      <w:r>
        <w:rPr>
          <w:rFonts w:ascii="Arial" w:hAnsi="Arial"/>
          <w:sz w:val="24"/>
        </w:rPr>
        <w:t xml:space="preserve">), PR Coverage.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Customer Acquisition Cost (CAC):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Aim for CAC of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&lt;$5,000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per new enterprise client.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Marketing ROI: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Target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4:1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return on marketing investment.</w:t>
      </w:r>
    </w:p>
    <w:p>
      <w:pPr>
        <w:pStyle w:val="FirstParagraph"/>
      </w:pPr>
      <w:r>
        <w:rPr>
          <w:rFonts w:ascii="Arial" w:hAnsi="Arial"/>
          <w:sz w:val="24"/>
        </w:rPr>
        <w:t xml:space="preserve">Regular reviews will be conducted every quarter (Q1, Q2, Q3, Q4) to adjust strategies as needed. An annual comprehensive report will summarize overall performance and inform the 2024 marketing plan.</w:t>
      </w:r>
    </w:p>
    <w:p>
      <w:pPr>
        <w:pStyle w:val="BodyText"/>
      </w:pPr>
      <w:r>
        <w:rPr>
          <w:rFonts w:ascii="Arial" w:hAnsi="Arial"/>
          <w:sz w:val="24"/>
        </w:rPr>
        <w:t xml:space="preserve">© 2023 VNext Technologies JSC. All rights reserved.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 Marketing Plan - VNext Technologies JSC</dc:title>
  <dc:creator/>
  <dc:language>en</dc:language>
  <cp:keywords/>
  <dcterms:created xsi:type="dcterms:W3CDTF">2022-01-01T05:00:00Z</dcterms:created>
  <dcterms:modified xsi:type="dcterms:W3CDTF">2022-01-01T05:00:00Z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