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ascii="Arial" w:hAnsi="Arial"/>
          <w:sz w:val="24"/>
        </w:rPr>
        <w:t xml:space="preserve">VNext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Technologies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JSC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-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2024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Finance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Report</w:t>
      </w:r>
    </w:p>
    <w:bookmarkStart w:id="27" w:name="X18cd4f94f88ffc36bad7cf5edf72b0c7b50247d"/>
    <w:p>
      <w:pPr>
        <w:pStyle w:val="Heading1"/>
      </w:pPr>
      <w:r>
        <w:rPr>
          <w:rFonts w:ascii="Arial" w:hAnsi="Arial"/>
          <w:sz w:val="48"/>
        </w:rPr>
        <w:t xml:space="preserve">VNext Technologies JSC - 2024 Finance Report</w:t>
      </w:r>
    </w:p>
    <w:p>
      <w:pPr>
        <w:pStyle w:val="FirstParagraph"/>
      </w:pPr>
      <w:r>
        <w:rPr>
          <w:rFonts w:ascii="Arial" w:hAnsi="Arial"/>
          <w:sz w:val="24"/>
        </w:rPr>
        <w:t xml:space="preserve">Date: January 15, 2025</w:t>
      </w:r>
    </w:p>
    <w:bookmarkStart w:id="20" w:name="executive-summary"/>
    <w:p>
      <w:pPr>
        <w:pStyle w:val="Heading2"/>
      </w:pPr>
      <w:r>
        <w:rPr>
          <w:rFonts w:ascii="Arial" w:hAnsi="Arial"/>
          <w:sz w:val="40"/>
        </w:rPr>
        <w:t xml:space="preserve">Executive Summary</w:t>
      </w:r>
    </w:p>
    <w:p>
      <w:pPr>
        <w:pStyle w:val="FirstParagraph"/>
      </w:pPr>
      <w:r>
        <w:rPr>
          <w:rFonts w:ascii="Arial" w:hAnsi="Arial"/>
          <w:sz w:val="24"/>
        </w:rPr>
        <w:t xml:space="preserve">VNext Technologies JSC concluded the fiscal year 2024 with robust growth, solidifying its position as a leading innovator in Artificial Intelligence. The company achieved a record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$450 million in total revenue</w:t>
      </w:r>
      <w:r>
        <w:rPr>
          <w:rFonts w:ascii="Arial" w:hAnsi="Arial"/>
          <w:sz w:val="24"/>
        </w:rPr>
        <w:t xml:space="preserve">, representing a substantial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35% year-over-year increase</w:t>
      </w:r>
      <w:r>
        <w:rPr>
          <w:rFonts w:ascii="Arial" w:hAnsi="Arial"/>
          <w:sz w:val="24"/>
        </w:rPr>
        <w:t xml:space="preserve">. This impressive performance was driven by strong demand for our proprietary AI solutions, particularly in enterprise automation and predictive analytics. Net profit soared to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$85 million</w:t>
      </w:r>
      <w:r>
        <w:rPr>
          <w:rFonts w:ascii="Arial" w:hAnsi="Arial"/>
          <w:sz w:val="24"/>
        </w:rPr>
        <w:t xml:space="preserve">, an improvement of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42% from 2023</w:t>
      </w:r>
      <w:r>
        <w:rPr>
          <w:rFonts w:ascii="Arial" w:hAnsi="Arial"/>
          <w:sz w:val="24"/>
        </w:rPr>
        <w:t xml:space="preserve">, demonstrating effective cost management alongside revenue expansion. Our strategic investments in Research &amp; Development, totaling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$120 million</w:t>
      </w:r>
      <w:r>
        <w:rPr>
          <w:rFonts w:ascii="Arial" w:hAnsi="Arial"/>
          <w:sz w:val="24"/>
        </w:rPr>
        <w:t xml:space="preserve">, have yielded significant breakthroughs, ensuring our competitive edge in a rapidly evolving market. VNext Technologies JSC is well-positioned for continued success, leveraging its innovative pipeline and strong financial foundation.</w:t>
      </w:r>
    </w:p>
    <w:bookmarkEnd w:id="20"/>
    <w:bookmarkStart w:id="21" w:name="X93e42129f5d3000eb4bbd9a4820feb249f82cba"/>
    <w:p>
      <w:pPr>
        <w:pStyle w:val="Heading2"/>
      </w:pPr>
      <w:r>
        <w:rPr>
          <w:rFonts w:ascii="Arial" w:hAnsi="Arial"/>
          <w:sz w:val="40"/>
        </w:rPr>
        <w:t xml:space="preserve">Financial Highlights (All figures in USD millions)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Metric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2023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2024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% Change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Total Revenue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$333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$450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+35.1%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Cost of Revenue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$100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$125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+25.0%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Gross Profit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$233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$325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+39.5%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Operating Expenses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$150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$220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+46.7%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-- Research &amp; Development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$80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$120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+50.0%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-- Sales &amp; Marketing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$40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$60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+50.0%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-- General &amp; Administrative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$30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$40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+33.3%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Net Profit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$60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$85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+41.7%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Cash Reserves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$110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$180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+63.6%</w:t>
            </w:r>
          </w:p>
        </w:tc>
      </w:tr>
    </w:tbl>
    <w:bookmarkEnd w:id="21"/>
    <w:bookmarkStart w:id="22" w:name="revenue-breakdown-by-segment"/>
    <w:p>
      <w:pPr>
        <w:pStyle w:val="Heading2"/>
      </w:pPr>
      <w:r>
        <w:rPr>
          <w:rFonts w:ascii="Arial" w:hAnsi="Arial"/>
          <w:sz w:val="40"/>
        </w:rPr>
        <w:t xml:space="preserve">Revenue Breakdown by Segment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AI Software &amp; Solutions: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Contributed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$280 million</w:t>
      </w:r>
      <w:r>
        <w:rPr>
          <w:rFonts w:ascii="Arial" w:hAnsi="Arial"/>
          <w:sz w:val="24"/>
        </w:rPr>
        <w:t xml:space="preserve">, accounting for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62%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of total revenue. This segment saw a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30% increase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due to enhanced product features and successful implementation of our SaaS AI platforms.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AI Consulting &amp; Services: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Generated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$120 million</w:t>
      </w:r>
      <w:r>
        <w:rPr>
          <w:rFonts w:ascii="Arial" w:hAnsi="Arial"/>
          <w:sz w:val="24"/>
        </w:rPr>
        <w:t xml:space="preserve">, or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27%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of revenue. Demand for bespoke AI model development and integration services grew by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45%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as more enterprises sought tailored AI solutions.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Data Monetization &amp; Licensing: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Accounted for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$50 million</w:t>
      </w:r>
      <w:r>
        <w:rPr>
          <w:rFonts w:ascii="Arial" w:hAnsi="Arial"/>
          <w:sz w:val="24"/>
        </w:rPr>
        <w:t xml:space="preserve">, making up the remaining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11%</w:t>
      </w:r>
      <w:r>
        <w:rPr>
          <w:rFonts w:ascii="Arial" w:hAnsi="Arial"/>
          <w:sz w:val="24"/>
        </w:rPr>
        <w:t xml:space="preserve">. This segment experienced the highest growth at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55%</w:t>
      </w:r>
      <w:r>
        <w:rPr>
          <w:rFonts w:ascii="Arial" w:hAnsi="Arial"/>
          <w:sz w:val="24"/>
        </w:rPr>
        <w:t xml:space="preserve">, driven by new licensing agreements for our proprietary datasets and AI algorithms.</w:t>
      </w:r>
    </w:p>
    <w:bookmarkEnd w:id="22"/>
    <w:bookmarkStart w:id="25" w:name="strategic-investments-achievements"/>
    <w:p>
      <w:pPr>
        <w:pStyle w:val="Heading2"/>
      </w:pPr>
      <w:r>
        <w:rPr>
          <w:rFonts w:ascii="Arial" w:hAnsi="Arial"/>
          <w:sz w:val="40"/>
        </w:rPr>
        <w:t xml:space="preserve">Strategic Investments &amp; Achievements</w:t>
      </w:r>
    </w:p>
    <w:bookmarkStart w:id="23" w:name="research-development-excellence"/>
    <w:p>
      <w:pPr>
        <w:pStyle w:val="Heading3"/>
      </w:pPr>
      <w:r>
        <w:rPr>
          <w:rFonts w:ascii="Arial" w:hAnsi="Arial"/>
          <w:sz w:val="36"/>
        </w:rPr>
        <w:t xml:space="preserve">Research &amp; Development Excellence</w:t>
      </w:r>
    </w:p>
    <w:p>
      <w:pPr>
        <w:pStyle w:val="FirstParagraph"/>
      </w:pPr>
      <w:r>
        <w:rPr>
          <w:rFonts w:ascii="Arial" w:hAnsi="Arial"/>
          <w:sz w:val="24"/>
        </w:rPr>
        <w:t xml:space="preserve">In 2024, VNext Technologies JSC intensified its R&amp;D efforts, investing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$120 million</w:t>
      </w:r>
      <w:r>
        <w:rPr>
          <w:rFonts w:ascii="Arial" w:hAnsi="Arial"/>
          <w:sz w:val="24"/>
        </w:rPr>
        <w:t xml:space="preserve">, a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50% increase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from the previous year. This investment led to: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The successful launch of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"CogniFlow 2.0"</w:t>
      </w:r>
      <w:r>
        <w:rPr>
          <w:rFonts w:ascii="Arial" w:hAnsi="Arial"/>
          <w:sz w:val="24"/>
        </w:rPr>
        <w:t xml:space="preserve">, an advanced AI automation suite, which onboarded over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150 new enterprise clients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within its first six months.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Breakthroughs in explainable AI (XAI) algorithms, leading to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2 new patent applications filed</w:t>
      </w:r>
      <w:r>
        <w:rPr>
          <w:rFonts w:ascii="Arial" w:hAnsi="Arial"/>
          <w:sz w:val="24"/>
        </w:rP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Significant progress in quantum AI computing research, securing a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$10 million grant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from a major government innovation fund.</w:t>
      </w:r>
    </w:p>
    <w:bookmarkEnd w:id="23"/>
    <w:bookmarkStart w:id="24" w:name="market-expansion-partnerships"/>
    <w:p>
      <w:pPr>
        <w:pStyle w:val="Heading3"/>
      </w:pPr>
      <w:r>
        <w:rPr>
          <w:rFonts w:ascii="Arial" w:hAnsi="Arial"/>
          <w:sz w:val="36"/>
        </w:rPr>
        <w:t xml:space="preserve">Market Expansion &amp; Partnerships</w:t>
      </w:r>
    </w:p>
    <w:p>
      <w:pPr>
        <w:pStyle w:val="FirstParagraph"/>
      </w:pPr>
      <w:r>
        <w:rPr>
          <w:rFonts w:ascii="Arial" w:hAnsi="Arial"/>
          <w:sz w:val="24"/>
        </w:rPr>
        <w:t xml:space="preserve">The company successfully penetrated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3 new international markets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(Germany, Japan, and Australia), establishing local offices and sales teams. We forged strategic partnerships with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5 global technology integrators</w:t>
      </w:r>
      <w:r>
        <w:rPr>
          <w:rFonts w:ascii="Arial" w:hAnsi="Arial"/>
          <w:sz w:val="24"/>
        </w:rPr>
        <w:t xml:space="preserve">, significantly expanding our distribution network and client reach. These initiatives contributed to a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20% growth in our international customer base</w:t>
      </w:r>
      <w:r>
        <w:rPr>
          <w:rFonts w:ascii="Arial" w:hAnsi="Arial"/>
          <w:sz w:val="24"/>
        </w:rPr>
        <w:t xml:space="preserve">.</w:t>
      </w:r>
    </w:p>
    <w:bookmarkEnd w:id="24"/>
    <w:bookmarkEnd w:id="25"/>
    <w:bookmarkStart w:id="26" w:name="outlook-2025"/>
    <w:p>
      <w:pPr>
        <w:pStyle w:val="Heading2"/>
      </w:pPr>
      <w:r>
        <w:rPr>
          <w:rFonts w:ascii="Arial" w:hAnsi="Arial"/>
          <w:sz w:val="40"/>
        </w:rPr>
        <w:t xml:space="preserve">Outlook 2025</w:t>
      </w:r>
    </w:p>
    <w:p>
      <w:pPr>
        <w:pStyle w:val="FirstParagraph"/>
      </w:pPr>
      <w:r>
        <w:rPr>
          <w:rFonts w:ascii="Arial" w:hAnsi="Arial"/>
          <w:sz w:val="24"/>
        </w:rPr>
        <w:t xml:space="preserve">VNext Technologies JSC anticipates continued strong performance in 2025. We project total revenue to reach between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$580 million and $620 million</w:t>
      </w:r>
      <w:r>
        <w:rPr>
          <w:rFonts w:ascii="Arial" w:hAnsi="Arial"/>
          <w:sz w:val="24"/>
        </w:rPr>
        <w:t xml:space="preserve">, representing a growth rate of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29% to 38%</w:t>
      </w:r>
      <w:r>
        <w:rPr>
          <w:rFonts w:ascii="Arial" w:hAnsi="Arial"/>
          <w:sz w:val="24"/>
        </w:rPr>
        <w:t xml:space="preserve">. Our focus will remain on: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Further enhancing our core AI platforms with advanced machine learning capabilities.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Expanding our market share in key sectors such as healthcare AI and financial AI.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Investing an additional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20%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 cloud infrastructure to support scaling AI operations.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Exploring potential strategic acquisitions to complement our technology portfolio.</w:t>
      </w:r>
    </w:p>
    <w:p>
      <w:pPr>
        <w:pStyle w:val="FirstParagraph"/>
      </w:pPr>
      <w:r>
        <w:rPr>
          <w:rFonts w:ascii="Arial" w:hAnsi="Arial"/>
          <w:sz w:val="24"/>
        </w:rPr>
        <w:t xml:space="preserve">We are confident that our strategic roadmap, coupled with our dedicated team and cutting-edge technology, will ensure sustained growth and value creation for our stakeholders.</w:t>
      </w:r>
    </w:p>
    <w:p>
      <w:pPr>
        <w:pStyle w:val="BodyText"/>
      </w:pPr>
      <w:r>
        <w:rPr>
          <w:rFonts w:ascii="Arial" w:hAnsi="Arial"/>
          <w:sz w:val="24"/>
        </w:rPr>
        <w:t xml:space="preserve">© 2025 VNext Technologies JSC. All Rights Reserved.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VNext Technologies JSC - 2024 Finance Report</dc:title>
  <dc:creator/>
  <dc:language>en</dc:language>
  <cp:keywords/>
  <dcterms:created xsi:type="dcterms:W3CDTF">2022-01-01T05:00:00Z</dcterms:created>
  <dcterms:modified xsi:type="dcterms:W3CDTF">2022-01-01T05:00:00Z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