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3A039A1" w14:textId="77777777" w:rsidR="004807BE" w:rsidRDefault="0013180D">
      <w:pPr>
        <w:spacing w:after="321" w:line="259" w:lineRule="auto"/>
        <w:ind w:left="194" w:firstLine="0"/>
        <w:jc w:val="left"/>
      </w:pPr>
      <w:bookmarkStart w:id="0" w:name="_GoBack"/>
      <w:bookmarkEnd w:id="0"/>
      <w:r>
        <w:rPr>
          <w:rFonts w:ascii="Calibri" w:eastAsia="Calibri" w:hAnsi="Calibri" w:cs="Calibri"/>
          <w:sz w:val="41"/>
        </w:rPr>
        <w:t>Machine-Learning Discovery of Highly Oxidized</w:t>
      </w:r>
    </w:p>
    <w:p w14:paraId="04CF9E66" w14:textId="77777777" w:rsidR="004807BE" w:rsidRDefault="0013180D">
      <w:pPr>
        <w:spacing w:after="397" w:line="259" w:lineRule="auto"/>
        <w:ind w:left="0" w:firstLine="0"/>
        <w:jc w:val="center"/>
      </w:pPr>
      <w:proofErr w:type="spellStart"/>
      <w:r>
        <w:rPr>
          <w:rFonts w:ascii="Calibri" w:eastAsia="Calibri" w:hAnsi="Calibri" w:cs="Calibri"/>
          <w:sz w:val="41"/>
        </w:rPr>
        <w:t>IrO</w:t>
      </w:r>
      <w:r>
        <w:rPr>
          <w:rFonts w:ascii="Calibri" w:eastAsia="Calibri" w:hAnsi="Calibri" w:cs="Calibri"/>
          <w:sz w:val="41"/>
          <w:vertAlign w:val="subscript"/>
        </w:rPr>
        <w:t>x</w:t>
      </w:r>
      <w:proofErr w:type="spellEnd"/>
      <w:r>
        <w:rPr>
          <w:rFonts w:ascii="Calibri" w:eastAsia="Calibri" w:hAnsi="Calibri" w:cs="Calibri"/>
          <w:sz w:val="41"/>
          <w:vertAlign w:val="subscript"/>
        </w:rPr>
        <w:t xml:space="preserve"> </w:t>
      </w:r>
      <w:r>
        <w:rPr>
          <w:rFonts w:ascii="Calibri" w:eastAsia="Calibri" w:hAnsi="Calibri" w:cs="Calibri"/>
          <w:sz w:val="41"/>
        </w:rPr>
        <w:t>Phases</w:t>
      </w:r>
    </w:p>
    <w:p w14:paraId="2BFC586B" w14:textId="77777777" w:rsidR="004807BE" w:rsidRDefault="0013180D">
      <w:pPr>
        <w:spacing w:after="292" w:line="259" w:lineRule="auto"/>
        <w:ind w:left="212" w:firstLine="0"/>
        <w:jc w:val="left"/>
      </w:pPr>
      <w:r>
        <w:rPr>
          <w:rFonts w:ascii="Calibri" w:eastAsia="Calibri" w:hAnsi="Calibri" w:cs="Calibri"/>
          <w:sz w:val="29"/>
        </w:rPr>
        <w:t xml:space="preserve">Raul A. </w:t>
      </w:r>
      <w:proofErr w:type="gramStart"/>
      <w:r>
        <w:rPr>
          <w:rFonts w:ascii="Calibri" w:eastAsia="Calibri" w:hAnsi="Calibri" w:cs="Calibri"/>
          <w:sz w:val="29"/>
        </w:rPr>
        <w:t>Flores,</w:t>
      </w:r>
      <w:r>
        <w:rPr>
          <w:sz w:val="29"/>
          <w:vertAlign w:val="superscript"/>
        </w:rPr>
        <w:t>∗</w:t>
      </w:r>
      <w:proofErr w:type="gramEnd"/>
      <w:r>
        <w:rPr>
          <w:rFonts w:ascii="Calibri" w:eastAsia="Calibri" w:hAnsi="Calibri" w:cs="Calibri"/>
          <w:sz w:val="29"/>
          <w:vertAlign w:val="superscript"/>
        </w:rPr>
        <w:t>,</w:t>
      </w:r>
      <w:r>
        <w:rPr>
          <w:sz w:val="29"/>
          <w:vertAlign w:val="superscript"/>
        </w:rPr>
        <w:t xml:space="preserve">† </w:t>
      </w:r>
      <w:r>
        <w:rPr>
          <w:rFonts w:ascii="Calibri" w:eastAsia="Calibri" w:hAnsi="Calibri" w:cs="Calibri"/>
          <w:sz w:val="29"/>
        </w:rPr>
        <w:t xml:space="preserve">Christopher </w:t>
      </w:r>
      <w:proofErr w:type="spellStart"/>
      <w:r>
        <w:rPr>
          <w:rFonts w:ascii="Calibri" w:eastAsia="Calibri" w:hAnsi="Calibri" w:cs="Calibri"/>
          <w:sz w:val="29"/>
        </w:rPr>
        <w:t>Paolucci</w:t>
      </w:r>
      <w:proofErr w:type="spellEnd"/>
      <w:r>
        <w:rPr>
          <w:rFonts w:ascii="Calibri" w:eastAsia="Calibri" w:hAnsi="Calibri" w:cs="Calibri"/>
          <w:sz w:val="29"/>
        </w:rPr>
        <w:t>,</w:t>
      </w:r>
      <w:r>
        <w:rPr>
          <w:sz w:val="29"/>
          <w:vertAlign w:val="superscript"/>
        </w:rPr>
        <w:t>∗</w:t>
      </w:r>
      <w:r>
        <w:rPr>
          <w:rFonts w:ascii="Calibri" w:eastAsia="Calibri" w:hAnsi="Calibri" w:cs="Calibri"/>
          <w:sz w:val="29"/>
          <w:vertAlign w:val="superscript"/>
        </w:rPr>
        <w:t>,</w:t>
      </w:r>
      <w:r>
        <w:rPr>
          <w:sz w:val="29"/>
          <w:vertAlign w:val="superscript"/>
        </w:rPr>
        <w:t xml:space="preserve">‡ </w:t>
      </w:r>
      <w:r>
        <w:rPr>
          <w:rFonts w:ascii="Calibri" w:eastAsia="Calibri" w:hAnsi="Calibri" w:cs="Calibri"/>
          <w:sz w:val="29"/>
        </w:rPr>
        <w:t>Ankit Jain,</w:t>
      </w:r>
      <w:r>
        <w:rPr>
          <w:sz w:val="29"/>
          <w:vertAlign w:val="superscript"/>
        </w:rPr>
        <w:t>∗</w:t>
      </w:r>
      <w:r>
        <w:rPr>
          <w:rFonts w:ascii="Calibri" w:eastAsia="Calibri" w:hAnsi="Calibri" w:cs="Calibri"/>
          <w:sz w:val="29"/>
          <w:vertAlign w:val="superscript"/>
        </w:rPr>
        <w:t>,</w:t>
      </w:r>
      <w:r>
        <w:rPr>
          <w:sz w:val="29"/>
          <w:vertAlign w:val="superscript"/>
        </w:rPr>
        <w:t xml:space="preserve">¶ </w:t>
      </w:r>
      <w:proofErr w:type="spellStart"/>
      <w:r>
        <w:rPr>
          <w:rFonts w:ascii="Calibri" w:eastAsia="Calibri" w:hAnsi="Calibri" w:cs="Calibri"/>
          <w:sz w:val="29"/>
        </w:rPr>
        <w:t>Muratahan</w:t>
      </w:r>
      <w:proofErr w:type="spellEnd"/>
      <w:r>
        <w:rPr>
          <w:rFonts w:ascii="Calibri" w:eastAsia="Calibri" w:hAnsi="Calibri" w:cs="Calibri"/>
          <w:sz w:val="29"/>
        </w:rPr>
        <w:t xml:space="preserve"> </w:t>
      </w:r>
      <w:proofErr w:type="spellStart"/>
      <w:r>
        <w:rPr>
          <w:rFonts w:ascii="Calibri" w:eastAsia="Calibri" w:hAnsi="Calibri" w:cs="Calibri"/>
          <w:sz w:val="29"/>
        </w:rPr>
        <w:t>Aykol</w:t>
      </w:r>
      <w:proofErr w:type="spellEnd"/>
      <w:r>
        <w:rPr>
          <w:rFonts w:ascii="Calibri" w:eastAsia="Calibri" w:hAnsi="Calibri" w:cs="Calibri"/>
          <w:sz w:val="29"/>
        </w:rPr>
        <w:t>,</w:t>
      </w:r>
      <w:r>
        <w:rPr>
          <w:sz w:val="29"/>
          <w:vertAlign w:val="superscript"/>
        </w:rPr>
        <w:t>∗</w:t>
      </w:r>
      <w:r>
        <w:rPr>
          <w:rFonts w:ascii="Calibri" w:eastAsia="Calibri" w:hAnsi="Calibri" w:cs="Calibri"/>
          <w:sz w:val="29"/>
          <w:vertAlign w:val="superscript"/>
        </w:rPr>
        <w:t>,</w:t>
      </w:r>
      <w:r>
        <w:rPr>
          <w:sz w:val="29"/>
          <w:vertAlign w:val="superscript"/>
        </w:rPr>
        <w:t>§</w:t>
      </w:r>
    </w:p>
    <w:p w14:paraId="0AD8BE8A" w14:textId="77777777" w:rsidR="004807BE" w:rsidRDefault="0013180D">
      <w:pPr>
        <w:spacing w:after="458" w:line="259" w:lineRule="auto"/>
        <w:ind w:left="0" w:right="10" w:firstLine="0"/>
        <w:jc w:val="center"/>
      </w:pPr>
      <w:r>
        <w:rPr>
          <w:rFonts w:ascii="Calibri" w:eastAsia="Calibri" w:hAnsi="Calibri" w:cs="Calibri"/>
          <w:sz w:val="29"/>
        </w:rPr>
        <w:t xml:space="preserve">Jens K. </w:t>
      </w:r>
      <w:proofErr w:type="spellStart"/>
      <w:proofErr w:type="gramStart"/>
      <w:r>
        <w:rPr>
          <w:rFonts w:ascii="Calibri" w:eastAsia="Calibri" w:hAnsi="Calibri" w:cs="Calibri"/>
          <w:sz w:val="29"/>
        </w:rPr>
        <w:t>Nørskov</w:t>
      </w:r>
      <w:proofErr w:type="spellEnd"/>
      <w:r>
        <w:rPr>
          <w:rFonts w:ascii="Calibri" w:eastAsia="Calibri" w:hAnsi="Calibri" w:cs="Calibri"/>
          <w:sz w:val="29"/>
        </w:rPr>
        <w:t>,</w:t>
      </w:r>
      <w:r>
        <w:rPr>
          <w:sz w:val="29"/>
          <w:vertAlign w:val="superscript"/>
        </w:rPr>
        <w:t>∗</w:t>
      </w:r>
      <w:proofErr w:type="gramEnd"/>
      <w:r>
        <w:rPr>
          <w:rFonts w:ascii="Calibri" w:eastAsia="Calibri" w:hAnsi="Calibri" w:cs="Calibri"/>
          <w:sz w:val="29"/>
          <w:vertAlign w:val="superscript"/>
        </w:rPr>
        <w:t>,</w:t>
      </w:r>
      <w:r>
        <w:rPr>
          <w:sz w:val="29"/>
          <w:vertAlign w:val="superscript"/>
        </w:rPr>
        <w:t xml:space="preserve">¶ </w:t>
      </w:r>
      <w:r>
        <w:rPr>
          <w:rFonts w:ascii="Calibri" w:eastAsia="Calibri" w:hAnsi="Calibri" w:cs="Calibri"/>
          <w:sz w:val="29"/>
        </w:rPr>
        <w:t xml:space="preserve">Michal </w:t>
      </w:r>
      <w:proofErr w:type="spellStart"/>
      <w:r>
        <w:rPr>
          <w:rFonts w:ascii="Calibri" w:eastAsia="Calibri" w:hAnsi="Calibri" w:cs="Calibri"/>
          <w:sz w:val="29"/>
        </w:rPr>
        <w:t>Bajdich</w:t>
      </w:r>
      <w:proofErr w:type="spellEnd"/>
      <w:r>
        <w:rPr>
          <w:rFonts w:ascii="Calibri" w:eastAsia="Calibri" w:hAnsi="Calibri" w:cs="Calibri"/>
          <w:sz w:val="29"/>
        </w:rPr>
        <w:t>,</w:t>
      </w:r>
      <w:r>
        <w:rPr>
          <w:sz w:val="29"/>
          <w:vertAlign w:val="superscript"/>
        </w:rPr>
        <w:t>∗</w:t>
      </w:r>
      <w:r>
        <w:rPr>
          <w:rFonts w:ascii="Calibri" w:eastAsia="Calibri" w:hAnsi="Calibri" w:cs="Calibri"/>
          <w:sz w:val="29"/>
          <w:vertAlign w:val="superscript"/>
        </w:rPr>
        <w:t>,</w:t>
      </w:r>
      <w:r>
        <w:rPr>
          <w:sz w:val="29"/>
          <w:vertAlign w:val="superscript"/>
        </w:rPr>
        <w:t xml:space="preserve">k </w:t>
      </w:r>
      <w:r>
        <w:rPr>
          <w:rFonts w:ascii="Calibri" w:eastAsia="Calibri" w:hAnsi="Calibri" w:cs="Calibri"/>
          <w:sz w:val="29"/>
        </w:rPr>
        <w:t xml:space="preserve">and Thomas </w:t>
      </w:r>
      <w:proofErr w:type="spellStart"/>
      <w:r>
        <w:rPr>
          <w:rFonts w:ascii="Calibri" w:eastAsia="Calibri" w:hAnsi="Calibri" w:cs="Calibri"/>
          <w:sz w:val="29"/>
        </w:rPr>
        <w:t>Bligaard</w:t>
      </w:r>
      <w:proofErr w:type="spellEnd"/>
      <w:r>
        <w:rPr>
          <w:sz w:val="29"/>
          <w:vertAlign w:val="superscript"/>
        </w:rPr>
        <w:t>∗</w:t>
      </w:r>
      <w:r>
        <w:rPr>
          <w:rFonts w:ascii="Calibri" w:eastAsia="Calibri" w:hAnsi="Calibri" w:cs="Calibri"/>
          <w:sz w:val="29"/>
          <w:vertAlign w:val="superscript"/>
        </w:rPr>
        <w:t>,</w:t>
      </w:r>
      <w:r>
        <w:rPr>
          <w:sz w:val="29"/>
          <w:vertAlign w:val="superscript"/>
        </w:rPr>
        <w:t>k</w:t>
      </w:r>
    </w:p>
    <w:p w14:paraId="38127A6B" w14:textId="77777777" w:rsidR="004807BE" w:rsidRDefault="0013180D">
      <w:pPr>
        <w:numPr>
          <w:ilvl w:val="0"/>
          <w:numId w:val="1"/>
        </w:numPr>
        <w:spacing w:after="179" w:line="265" w:lineRule="auto"/>
        <w:ind w:hanging="190"/>
        <w:jc w:val="center"/>
      </w:pPr>
      <w:r>
        <w:rPr>
          <w:i/>
        </w:rPr>
        <w:t>SUNCAT Center for Interface Science and Catalysis, Department of Chemical</w:t>
      </w:r>
    </w:p>
    <w:p w14:paraId="37EF1CE2" w14:textId="77777777" w:rsidR="004807BE" w:rsidRDefault="0013180D">
      <w:pPr>
        <w:spacing w:after="179" w:line="265" w:lineRule="auto"/>
        <w:jc w:val="center"/>
      </w:pPr>
      <w:r>
        <w:rPr>
          <w:i/>
        </w:rPr>
        <w:t>Engineering, Stanford University, Stanford 94305, California, USA</w:t>
      </w:r>
    </w:p>
    <w:p w14:paraId="6B33E4EA" w14:textId="77777777" w:rsidR="004807BE" w:rsidRDefault="0013180D">
      <w:pPr>
        <w:numPr>
          <w:ilvl w:val="0"/>
          <w:numId w:val="1"/>
        </w:numPr>
        <w:spacing w:after="185" w:line="259" w:lineRule="auto"/>
        <w:ind w:hanging="190"/>
        <w:jc w:val="center"/>
      </w:pPr>
      <w:r>
        <w:rPr>
          <w:i/>
        </w:rPr>
        <w:t>Department of Chemical Engineering, University of Virginia, Charlottesville, Virginia</w:t>
      </w:r>
    </w:p>
    <w:p w14:paraId="40E1C48B" w14:textId="77777777" w:rsidR="004807BE" w:rsidRDefault="0013180D">
      <w:pPr>
        <w:spacing w:after="179" w:line="265" w:lineRule="auto"/>
        <w:jc w:val="center"/>
      </w:pPr>
      <w:r>
        <w:rPr>
          <w:i/>
        </w:rPr>
        <w:t>22903, United States</w:t>
      </w:r>
    </w:p>
    <w:p w14:paraId="303DD2C0" w14:textId="77777777" w:rsidR="004807BE" w:rsidRDefault="0013180D">
      <w:pPr>
        <w:spacing w:after="208" w:line="265" w:lineRule="auto"/>
        <w:jc w:val="center"/>
      </w:pPr>
      <w:r>
        <w:t xml:space="preserve">¶ </w:t>
      </w:r>
      <w:r>
        <w:rPr>
          <w:i/>
        </w:rPr>
        <w:t>Departm</w:t>
      </w:r>
      <w:r>
        <w:rPr>
          <w:i/>
        </w:rPr>
        <w:t>ent of Physics, Technical University of Denmark, Lyngby, Denmark</w:t>
      </w:r>
    </w:p>
    <w:p w14:paraId="4ECAE9D0" w14:textId="77777777" w:rsidR="004807BE" w:rsidRDefault="0013180D">
      <w:pPr>
        <w:numPr>
          <w:ilvl w:val="0"/>
          <w:numId w:val="1"/>
        </w:numPr>
        <w:spacing w:after="208" w:line="265" w:lineRule="auto"/>
        <w:ind w:hanging="190"/>
        <w:jc w:val="center"/>
      </w:pPr>
      <w:r>
        <w:rPr>
          <w:i/>
        </w:rPr>
        <w:t>Toyota Research Institute, Los Altos, CA 94022, USA</w:t>
      </w:r>
    </w:p>
    <w:p w14:paraId="5978B723" w14:textId="77777777" w:rsidR="004807BE" w:rsidRDefault="0013180D">
      <w:pPr>
        <w:spacing w:after="179" w:line="265" w:lineRule="auto"/>
        <w:jc w:val="center"/>
      </w:pPr>
      <w:r>
        <w:t xml:space="preserve">k </w:t>
      </w:r>
      <w:r>
        <w:rPr>
          <w:i/>
        </w:rPr>
        <w:t>SUNCAT Center for Interface Science and Catalysis, SLAC National Accelerator</w:t>
      </w:r>
    </w:p>
    <w:p w14:paraId="0716AD1C" w14:textId="77777777" w:rsidR="004807BE" w:rsidRDefault="0013180D">
      <w:pPr>
        <w:spacing w:after="401" w:line="265" w:lineRule="auto"/>
        <w:jc w:val="center"/>
      </w:pPr>
      <w:r>
        <w:rPr>
          <w:i/>
        </w:rPr>
        <w:t>Laboratory, Menlo Park, CA 94025, USA</w:t>
      </w:r>
    </w:p>
    <w:p w14:paraId="0BFBB429" w14:textId="77777777" w:rsidR="004807BE" w:rsidRDefault="0013180D">
      <w:pPr>
        <w:spacing w:after="186" w:line="265" w:lineRule="auto"/>
        <w:jc w:val="center"/>
      </w:pPr>
      <w:r>
        <w:rPr>
          <w:rFonts w:ascii="Calibri" w:eastAsia="Calibri" w:hAnsi="Calibri" w:cs="Calibri"/>
        </w:rPr>
        <w:t>E-mail: flores12@stanford.edu; cp9wx@virginia.edu;</w:t>
      </w:r>
    </w:p>
    <w:p w14:paraId="523B4A15" w14:textId="77777777" w:rsidR="004807BE" w:rsidRDefault="0013180D">
      <w:pPr>
        <w:spacing w:after="175" w:line="259" w:lineRule="auto"/>
        <w:ind w:left="67" w:firstLine="0"/>
        <w:jc w:val="left"/>
      </w:pPr>
      <w:r>
        <w:rPr>
          <w:rFonts w:ascii="Calibri" w:eastAsia="Calibri" w:hAnsi="Calibri" w:cs="Calibri"/>
        </w:rPr>
        <w:t xml:space="preserve">temp </w:t>
      </w:r>
      <w:proofErr w:type="spellStart"/>
      <w:r>
        <w:rPr>
          <w:rFonts w:ascii="Calibri" w:eastAsia="Calibri" w:hAnsi="Calibri" w:cs="Calibri"/>
        </w:rPr>
        <w:t>temp</w:t>
      </w:r>
      <w:proofErr w:type="spellEnd"/>
      <w:r>
        <w:rPr>
          <w:rFonts w:ascii="Calibri" w:eastAsia="Calibri" w:hAnsi="Calibri" w:cs="Calibri"/>
        </w:rPr>
        <w:t xml:space="preserve"> </w:t>
      </w:r>
      <w:proofErr w:type="spellStart"/>
      <w:r>
        <w:rPr>
          <w:rFonts w:ascii="Calibri" w:eastAsia="Calibri" w:hAnsi="Calibri" w:cs="Calibri"/>
        </w:rPr>
        <w:t>ankits</w:t>
      </w:r>
      <w:proofErr w:type="spellEnd"/>
      <w:r>
        <w:rPr>
          <w:rFonts w:ascii="Calibri" w:eastAsia="Calibri" w:hAnsi="Calibri" w:cs="Calibri"/>
        </w:rPr>
        <w:t xml:space="preserve"> </w:t>
      </w:r>
      <w:r>
        <w:rPr>
          <w:rFonts w:ascii="Calibri" w:eastAsia="Calibri" w:hAnsi="Calibri" w:cs="Calibri"/>
          <w:noProof/>
          <w:sz w:val="22"/>
        </w:rPr>
        <mc:AlternateContent>
          <mc:Choice Requires="wpg">
            <w:drawing>
              <wp:inline distT="0" distB="0" distL="0" distR="0" wp14:anchorId="0C3CC8E4" wp14:editId="12F38209">
                <wp:extent cx="44602" cy="5055"/>
                <wp:effectExtent l="0" t="0" r="0" b="0"/>
                <wp:docPr id="5120" name="Group 5120"/>
                <wp:cNvGraphicFramePr/>
                <a:graphic xmlns:a="http://schemas.openxmlformats.org/drawingml/2006/main">
                  <a:graphicData uri="http://schemas.microsoft.com/office/word/2010/wordprocessingGroup">
                    <wpg:wgp>
                      <wpg:cNvGrpSpPr/>
                      <wpg:grpSpPr>
                        <a:xfrm>
                          <a:off x="0" y="0"/>
                          <a:ext cx="44602" cy="5055"/>
                          <a:chOff x="0" y="0"/>
                          <a:chExt cx="44602" cy="5055"/>
                        </a:xfrm>
                      </wpg:grpSpPr>
                      <wps:wsp>
                        <wps:cNvPr id="57" name="Shape 57"/>
                        <wps:cNvSpPr/>
                        <wps:spPr>
                          <a:xfrm>
                            <a:off x="0" y="0"/>
                            <a:ext cx="44602" cy="0"/>
                          </a:xfrm>
                          <a:custGeom>
                            <a:avLst/>
                            <a:gdLst/>
                            <a:ahLst/>
                            <a:cxnLst/>
                            <a:rect l="0" t="0" r="0" b="0"/>
                            <a:pathLst>
                              <a:path w="44602">
                                <a:moveTo>
                                  <a:pt x="0" y="0"/>
                                </a:moveTo>
                                <a:lnTo>
                                  <a:pt x="44602"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120" style="width:3.51199pt;height:0.398pt;mso-position-horizontal-relative:char;mso-position-vertical-relative:line" coordsize="446,50">
                <v:shape id="Shape 57" style="position:absolute;width:446;height:0;left:0;top:0;" coordsize="44602,0" path="m0,0l44602,0">
                  <v:stroke weight="0.398pt" endcap="flat" joinstyle="miter" miterlimit="10" on="true" color="#000000"/>
                  <v:fill on="false" color="#000000" opacity="0"/>
                </v:shape>
              </v:group>
            </w:pict>
          </mc:Fallback>
        </mc:AlternateContent>
      </w:r>
      <w:r>
        <w:rPr>
          <w:rFonts w:ascii="Calibri" w:eastAsia="Calibri" w:hAnsi="Calibri" w:cs="Calibri"/>
        </w:rPr>
        <w:t xml:space="preserve">email address temp temp@dtu.dk; </w:t>
      </w:r>
      <w:proofErr w:type="spellStart"/>
      <w:r>
        <w:rPr>
          <w:rFonts w:ascii="Calibri" w:eastAsia="Calibri" w:hAnsi="Calibri" w:cs="Calibri"/>
        </w:rPr>
        <w:t>muratahan.aykol@tri.global</w:t>
      </w:r>
      <w:proofErr w:type="spellEnd"/>
      <w:r>
        <w:rPr>
          <w:rFonts w:ascii="Calibri" w:eastAsia="Calibri" w:hAnsi="Calibri" w:cs="Calibri"/>
        </w:rPr>
        <w:t>; jkno@dtu.dk;</w:t>
      </w:r>
    </w:p>
    <w:p w14:paraId="4795E284" w14:textId="77777777" w:rsidR="004807BE" w:rsidRDefault="0013180D">
      <w:pPr>
        <w:spacing w:after="488" w:line="265" w:lineRule="auto"/>
        <w:jc w:val="center"/>
      </w:pPr>
      <w:r>
        <w:rPr>
          <w:rFonts w:ascii="Calibri" w:eastAsia="Calibri" w:hAnsi="Calibri" w:cs="Calibri"/>
        </w:rPr>
        <w:t>bajdich@slac.stanford.edu; bligaard@stanford.edu</w:t>
      </w:r>
    </w:p>
    <w:p w14:paraId="5C1FC874" w14:textId="77777777" w:rsidR="004807BE" w:rsidRDefault="0013180D">
      <w:pPr>
        <w:pStyle w:val="Heading1"/>
        <w:spacing w:after="285"/>
        <w:ind w:left="0" w:firstLine="0"/>
        <w:jc w:val="center"/>
      </w:pPr>
      <w:r>
        <w:rPr>
          <w:sz w:val="22"/>
        </w:rPr>
        <w:t>Abstract</w:t>
      </w:r>
    </w:p>
    <w:p w14:paraId="4A59F690" w14:textId="77777777" w:rsidR="004807BE" w:rsidRDefault="0013180D">
      <w:pPr>
        <w:spacing w:after="825" w:line="418" w:lineRule="auto"/>
        <w:ind w:left="585" w:right="585" w:firstLine="327"/>
      </w:pPr>
      <w:r>
        <w:rPr>
          <w:sz w:val="22"/>
        </w:rPr>
        <w:t xml:space="preserve">Recent advancements in statistical methods, colloquially termed as machine learning, have revolutionized a tremendous number of fields due to the ease by which we can train models that are flexible </w:t>
      </w:r>
      <w:r>
        <w:rPr>
          <w:sz w:val="22"/>
        </w:rPr>
        <w:t xml:space="preserve">enough to regress to data of interest while maintaining predictive power. Nowhere has this this impact been felt as much as in the field of materials science, which had previously been bottle-necked by relatively </w:t>
      </w:r>
      <w:r>
        <w:rPr>
          <w:sz w:val="22"/>
        </w:rPr>
        <w:lastRenderedPageBreak/>
        <w:t xml:space="preserve">computationally expensive methods. Herein, </w:t>
      </w:r>
      <w:r>
        <w:rPr>
          <w:sz w:val="22"/>
        </w:rPr>
        <w:t>we report on a ML methodology to enumerate bulk crystal structures in the IrO</w:t>
      </w:r>
      <w:r>
        <w:rPr>
          <w:sz w:val="22"/>
          <w:vertAlign w:val="subscript"/>
        </w:rPr>
        <w:t xml:space="preserve">2 </w:t>
      </w:r>
      <w:r>
        <w:rPr>
          <w:sz w:val="22"/>
        </w:rPr>
        <w:t>and IrO</w:t>
      </w:r>
      <w:r>
        <w:rPr>
          <w:sz w:val="22"/>
          <w:vertAlign w:val="subscript"/>
        </w:rPr>
        <w:t xml:space="preserve">3 </w:t>
      </w:r>
      <w:r>
        <w:rPr>
          <w:sz w:val="22"/>
        </w:rPr>
        <w:t>space.</w:t>
      </w:r>
    </w:p>
    <w:p w14:paraId="7854C5C8" w14:textId="77777777" w:rsidR="004807BE" w:rsidRDefault="0013180D">
      <w:pPr>
        <w:pStyle w:val="Heading1"/>
        <w:ind w:left="-5"/>
      </w:pPr>
      <w:r>
        <w:t>Introduction</w:t>
      </w:r>
    </w:p>
    <w:p w14:paraId="673470D5" w14:textId="77777777" w:rsidR="004807BE" w:rsidRDefault="0013180D">
      <w:pPr>
        <w:spacing w:line="425" w:lineRule="auto"/>
        <w:ind w:left="-5"/>
      </w:pPr>
      <w:r>
        <w:t xml:space="preserve">Iterative Active Machine Learning and unique prototype identification to discover stable new materials and catalysts. Motivation for </w:t>
      </w:r>
      <w:proofErr w:type="spellStart"/>
      <w:r>
        <w:t>IrO</w:t>
      </w:r>
      <w:r>
        <w:rPr>
          <w:vertAlign w:val="subscript"/>
        </w:rPr>
        <w:t>x</w:t>
      </w:r>
      <w:proofErr w:type="spellEnd"/>
      <w:r>
        <w:t>, low repre</w:t>
      </w:r>
      <w:r>
        <w:t>sentation, longstanding controversy over oxidation states and topology, and demonstrates promise for OER and Li ion batteries.</w:t>
      </w:r>
    </w:p>
    <w:p w14:paraId="61D979DD" w14:textId="77777777" w:rsidR="004807BE" w:rsidRDefault="0013180D">
      <w:pPr>
        <w:spacing w:line="422" w:lineRule="auto"/>
        <w:ind w:left="-15" w:firstLine="351"/>
      </w:pPr>
      <w:r>
        <w:t>Reported +6 oxidation state phases are achievable leading to high degree of structural variability, which is the highest for tran</w:t>
      </w:r>
      <w:r>
        <w:t>sition metals. High oxidation states (low pH high anodic voltage, harsh oxidizing conditions) unexplored, need very specific structures with precise oxygen connectivity (aka high pressure SrIrO</w:t>
      </w:r>
      <w:r>
        <w:rPr>
          <w:vertAlign w:val="subscript"/>
        </w:rPr>
        <w:t>3</w:t>
      </w:r>
      <w:r>
        <w:t>) that can exist. Machine learning is the efficient way to exp</w:t>
      </w:r>
      <w:r>
        <w:t>lore this exploring Antarctica for life sparse space. What we show</w:t>
      </w:r>
    </w:p>
    <w:p w14:paraId="6F24EEFF" w14:textId="77777777" w:rsidR="004807BE" w:rsidRDefault="0013180D">
      <w:pPr>
        <w:spacing w:after="168"/>
        <w:ind w:left="-5"/>
      </w:pPr>
      <w:r>
        <w:t>here...</w:t>
      </w:r>
    </w:p>
    <w:p w14:paraId="76F19310" w14:textId="77777777" w:rsidR="004807BE" w:rsidRDefault="0013180D">
      <w:pPr>
        <w:spacing w:after="42" w:line="406" w:lineRule="auto"/>
        <w:ind w:left="-15" w:firstLine="351"/>
      </w:pPr>
      <w:r>
        <w:t>The two key features of our algorithm that make the exploration of an expansive space possible are its use of surrogate models and active learning framework. Because DFT calculation</w:t>
      </w:r>
      <w:r>
        <w:t xml:space="preserve">s are prohibitively computationally expensive to carry out for large data sets, herein we train a Gaussian Process (GP) machine learning model to serve as a surrogate model. In </w:t>
      </w:r>
      <w:proofErr w:type="gramStart"/>
      <w:r>
        <w:t>general</w:t>
      </w:r>
      <w:proofErr w:type="gramEnd"/>
      <w:r>
        <w:t xml:space="preserve"> active learning applications, the requisite training data is not availa</w:t>
      </w:r>
      <w:r>
        <w:t>ble. Active learning frameworks are a means by which to generate the most valuable training data set, on the fly.</w:t>
      </w:r>
    </w:p>
    <w:p w14:paraId="2CA3B258" w14:textId="77777777" w:rsidR="004807BE" w:rsidRDefault="0013180D">
      <w:pPr>
        <w:spacing w:line="433" w:lineRule="auto"/>
        <w:ind w:left="-15" w:firstLine="351"/>
      </w:pPr>
      <w:r>
        <w:t xml:space="preserve">Oxides for batteries/fuel cells, Iridium Oxide, OER, </w:t>
      </w:r>
      <w:proofErr w:type="spellStart"/>
      <w:r>
        <w:t>Lithiated</w:t>
      </w:r>
      <w:proofErr w:type="spellEnd"/>
      <w:r>
        <w:t xml:space="preserve"> IrO</w:t>
      </w:r>
      <w:r>
        <w:rPr>
          <w:vertAlign w:val="subscript"/>
        </w:rPr>
        <w:t>3</w:t>
      </w:r>
      <w:r>
        <w:t>. Highly oxidized phases of oxides for fuel cell and energy storage applica</w:t>
      </w:r>
      <w:r>
        <w:t>tions.</w:t>
      </w:r>
    </w:p>
    <w:p w14:paraId="1EFD923E" w14:textId="77777777" w:rsidR="004807BE" w:rsidRDefault="0013180D">
      <w:pPr>
        <w:pStyle w:val="Heading1"/>
        <w:spacing w:after="443"/>
        <w:ind w:left="-5"/>
      </w:pPr>
      <w:r>
        <w:lastRenderedPageBreak/>
        <w:t>Results and discussion</w:t>
      </w:r>
    </w:p>
    <w:p w14:paraId="00E017D0" w14:textId="77777777" w:rsidR="004807BE" w:rsidRDefault="0013180D">
      <w:pPr>
        <w:pStyle w:val="Heading2"/>
        <w:ind w:left="-5"/>
      </w:pPr>
      <w:r>
        <w:t>I. IrO</w:t>
      </w:r>
      <w:r>
        <w:rPr>
          <w:vertAlign w:val="subscript"/>
        </w:rPr>
        <w:t>2</w:t>
      </w:r>
    </w:p>
    <w:p w14:paraId="2FFE3E63" w14:textId="77777777" w:rsidR="004807BE" w:rsidRDefault="0013180D">
      <w:pPr>
        <w:spacing w:line="409" w:lineRule="auto"/>
        <w:ind w:left="-5"/>
      </w:pPr>
      <w:r>
        <w:t>The structures that comprise the candidate data set were constructed by parsing for structurally unique systems in the OQMD and Materials Project DFT databases. The structural uniqueness was performed using a space-group symmetry classification scheme deve</w:t>
      </w:r>
      <w:r>
        <w:t>loped by TEMP-Ankit-REF which can classify any arbitrary structure based on stoichiometry (composition), space-group, and Wyckoff positioning of the atoms (see SI for more details on the structural classification scheme). To focus the scope of the study, o</w:t>
      </w:r>
      <w:r>
        <w:t>nly AB2 and AB3 stoichiometries were parsed from the databases. The AB2 formula was chosen because it includes rutile-IrO</w:t>
      </w:r>
      <w:proofErr w:type="gramStart"/>
      <w:r>
        <w:rPr>
          <w:vertAlign w:val="subscript"/>
        </w:rPr>
        <w:t xml:space="preserve">2 </w:t>
      </w:r>
      <w:r>
        <w:t>,</w:t>
      </w:r>
      <w:proofErr w:type="gramEnd"/>
      <w:r>
        <w:t xml:space="preserve"> the known most stable polymorph of IrO2. Importantly, AB3 was chosen to include high valency IrO3 structures in our search. This cl</w:t>
      </w:r>
      <w:r>
        <w:t>assification scheme can directly serve as a fingerprinting scheme and has successfully been used for the prediction of formation energies. The results of the classification scheme resulted in a XYZ AB2 and XYZ AB3 structural prototypes for which iridium an</w:t>
      </w:r>
      <w:r>
        <w:t>d oxygen were replaced for A and B sites, respectively. Finally, a coarse isotropic volume relaxation based on atomic radii was performed on the structures to accommodate the atomic radii of iridium and oxygen into the lattice. Finally, a Voronoi tessellat</w:t>
      </w:r>
      <w:r>
        <w:t xml:space="preserve">ion based fingerprinting scheme developed by </w:t>
      </w:r>
      <w:proofErr w:type="spellStart"/>
      <w:r>
        <w:t>Wolvertonpaper</w:t>
      </w:r>
      <w:proofErr w:type="spellEnd"/>
      <w:r>
        <w:t>-REF was used to encode the relevant chemical information for each structure. The Voronoi based method was used because it is insensitive to volume relaxation. PCA was used to reduce the dimensiona</w:t>
      </w:r>
      <w:r>
        <w:t>lity of the feature space from 271 to 20 features such that 99percent of the variance is captured.</w:t>
      </w:r>
    </w:p>
    <w:p w14:paraId="47AC1BCE" w14:textId="77777777" w:rsidR="004807BE" w:rsidRDefault="0013180D">
      <w:pPr>
        <w:spacing w:line="406" w:lineRule="auto"/>
        <w:ind w:left="-15" w:firstLine="351"/>
      </w:pPr>
      <w:r>
        <w:t>The active learning algorithm proceeds through iterative ML training, prediction, and acquisition steps and is visualized in figure TEMP. The A Gaussian proc</w:t>
      </w:r>
      <w:r>
        <w:t>ess (GP) regression employing a rational quadratic kernel was chosen as the ML model because it offers a high degree of flexibility and importantly, error quantification for the predicted formation energies.</w:t>
      </w:r>
    </w:p>
    <w:p w14:paraId="30B389E3" w14:textId="77777777" w:rsidR="004807BE" w:rsidRDefault="0013180D">
      <w:pPr>
        <w:spacing w:after="348"/>
        <w:ind w:left="-5"/>
      </w:pPr>
      <w:r>
        <w:lastRenderedPageBreak/>
        <w:t>Further details on the GP model, including hyper</w:t>
      </w:r>
      <w:r>
        <w:t xml:space="preserve"> parameter information, is including in the SI.</w:t>
      </w:r>
    </w:p>
    <w:p w14:paraId="72BD95BD" w14:textId="77777777" w:rsidR="004807BE" w:rsidRDefault="0013180D">
      <w:pPr>
        <w:numPr>
          <w:ilvl w:val="0"/>
          <w:numId w:val="2"/>
        </w:numPr>
        <w:spacing w:after="381"/>
        <w:ind w:hanging="299"/>
      </w:pPr>
      <w:r>
        <w:t>Candidate space of structures is generated</w:t>
      </w:r>
    </w:p>
    <w:p w14:paraId="6E26706A" w14:textId="77777777" w:rsidR="004807BE" w:rsidRDefault="0013180D">
      <w:pPr>
        <w:numPr>
          <w:ilvl w:val="0"/>
          <w:numId w:val="2"/>
        </w:numPr>
        <w:spacing w:after="381"/>
        <w:ind w:hanging="299"/>
      </w:pPr>
      <w:r>
        <w:t>Initial seed data is used to train a ML model</w:t>
      </w:r>
    </w:p>
    <w:p w14:paraId="53B37CFB" w14:textId="77777777" w:rsidR="004807BE" w:rsidRDefault="0013180D">
      <w:pPr>
        <w:numPr>
          <w:ilvl w:val="0"/>
          <w:numId w:val="2"/>
        </w:numPr>
        <w:spacing w:after="381"/>
        <w:ind w:hanging="299"/>
      </w:pPr>
      <w:r>
        <w:t>ML model predicts energy of entire candidate space</w:t>
      </w:r>
    </w:p>
    <w:p w14:paraId="27CE875F" w14:textId="77777777" w:rsidR="004807BE" w:rsidRDefault="0013180D">
      <w:pPr>
        <w:numPr>
          <w:ilvl w:val="0"/>
          <w:numId w:val="2"/>
        </w:numPr>
        <w:spacing w:after="381"/>
        <w:ind w:hanging="299"/>
      </w:pPr>
      <w:r>
        <w:t xml:space="preserve">Most valuable calculation(s) </w:t>
      </w:r>
      <w:proofErr w:type="gramStart"/>
      <w:r>
        <w:t>is</w:t>
      </w:r>
      <w:proofErr w:type="gramEnd"/>
      <w:r>
        <w:t xml:space="preserve"> selected using acquisition function</w:t>
      </w:r>
    </w:p>
    <w:p w14:paraId="392C075A" w14:textId="77777777" w:rsidR="004807BE" w:rsidRDefault="0013180D">
      <w:pPr>
        <w:numPr>
          <w:ilvl w:val="0"/>
          <w:numId w:val="2"/>
        </w:numPr>
        <w:spacing w:after="381"/>
        <w:ind w:hanging="299"/>
      </w:pPr>
      <w:r>
        <w:t>DFT calculation(s) is(are) performed to obtain additional training data points</w:t>
      </w:r>
    </w:p>
    <w:p w14:paraId="6922D83E" w14:textId="77777777" w:rsidR="004807BE" w:rsidRDefault="0013180D">
      <w:pPr>
        <w:numPr>
          <w:ilvl w:val="0"/>
          <w:numId w:val="2"/>
        </w:numPr>
        <w:spacing w:after="381"/>
        <w:ind w:hanging="299"/>
      </w:pPr>
      <w:r>
        <w:t>ML model is retrained with additional data</w:t>
      </w:r>
    </w:p>
    <w:p w14:paraId="78CEA67A" w14:textId="77777777" w:rsidR="004807BE" w:rsidRDefault="0013180D">
      <w:pPr>
        <w:numPr>
          <w:ilvl w:val="0"/>
          <w:numId w:val="2"/>
        </w:numPr>
        <w:spacing w:after="79"/>
        <w:ind w:hanging="299"/>
      </w:pPr>
      <w:r>
        <w:t>Repeat steps (TEMP) through (TEMP) until convergence criteria is reached</w:t>
      </w:r>
    </w:p>
    <w:p w14:paraId="2AD57C00" w14:textId="77777777" w:rsidR="004807BE" w:rsidRDefault="0013180D">
      <w:pPr>
        <w:spacing w:after="236" w:line="259" w:lineRule="auto"/>
        <w:ind w:left="2090" w:firstLine="0"/>
        <w:jc w:val="left"/>
      </w:pPr>
      <w:r>
        <w:rPr>
          <w:noProof/>
        </w:rPr>
        <w:drawing>
          <wp:inline distT="0" distB="0" distL="0" distR="0" wp14:anchorId="22D05762" wp14:editId="2DB5025A">
            <wp:extent cx="3240024" cy="2002536"/>
            <wp:effectExtent l="0" t="0" r="0" b="0"/>
            <wp:docPr id="163" name="Picture 163"/>
            <wp:cNvGraphicFramePr/>
            <a:graphic xmlns:a="http://schemas.openxmlformats.org/drawingml/2006/main">
              <a:graphicData uri="http://schemas.openxmlformats.org/drawingml/2006/picture">
                <pic:pic xmlns:pic="http://schemas.openxmlformats.org/drawingml/2006/picture">
                  <pic:nvPicPr>
                    <pic:cNvPr id="163" name="Picture 163"/>
                    <pic:cNvPicPr/>
                  </pic:nvPicPr>
                  <pic:blipFill>
                    <a:blip r:embed="rId7"/>
                    <a:stretch>
                      <a:fillRect/>
                    </a:stretch>
                  </pic:blipFill>
                  <pic:spPr>
                    <a:xfrm>
                      <a:off x="0" y="0"/>
                      <a:ext cx="3240024" cy="2002536"/>
                    </a:xfrm>
                    <a:prstGeom prst="rect">
                      <a:avLst/>
                    </a:prstGeom>
                  </pic:spPr>
                </pic:pic>
              </a:graphicData>
            </a:graphic>
          </wp:inline>
        </w:drawing>
      </w:r>
    </w:p>
    <w:p w14:paraId="5B02D235" w14:textId="77777777" w:rsidR="004807BE" w:rsidRDefault="0013180D">
      <w:pPr>
        <w:spacing w:after="908"/>
        <w:ind w:left="-5"/>
      </w:pPr>
      <w:r>
        <w:t xml:space="preserve">Figure 1: (a) Active learning algorithm diagram. First the </w:t>
      </w:r>
      <w:r>
        <w:t>candidate space of structures is generated, next, the machine learning model is trained on any available DFT formation energy data. The trained ML model is then used to predict the DE of the entire candidate space. Finally, an acquisition step is performed</w:t>
      </w:r>
      <w:r>
        <w:t xml:space="preserve"> to pick the next most valuable calculation to perform an-initio DFT on (b) Toy model demonstrating a GP model converging with each subsequent iteration.</w:t>
      </w:r>
    </w:p>
    <w:p w14:paraId="16471CAA" w14:textId="77777777" w:rsidR="004807BE" w:rsidRDefault="0013180D">
      <w:pPr>
        <w:pStyle w:val="Heading2"/>
        <w:spacing w:after="308"/>
        <w:ind w:left="-5"/>
      </w:pPr>
      <w:r>
        <w:lastRenderedPageBreak/>
        <w:t>II. IrO</w:t>
      </w:r>
      <w:r>
        <w:rPr>
          <w:vertAlign w:val="subscript"/>
        </w:rPr>
        <w:t>3</w:t>
      </w:r>
    </w:p>
    <w:p w14:paraId="41235E54" w14:textId="77777777" w:rsidR="004807BE" w:rsidRDefault="0013180D">
      <w:pPr>
        <w:numPr>
          <w:ilvl w:val="0"/>
          <w:numId w:val="3"/>
        </w:numPr>
        <w:spacing w:line="442" w:lineRule="auto"/>
        <w:ind w:hanging="148"/>
      </w:pPr>
      <w:r>
        <w:t xml:space="preserve">Describe relevant features - Physical intuition? - Describe convex hull plot (energy vs. </w:t>
      </w:r>
      <w:proofErr w:type="spellStart"/>
      <w:r>
        <w:t>Ir</w:t>
      </w:r>
      <w:proofErr w:type="spellEnd"/>
      <w:r>
        <w:t>-O</w:t>
      </w:r>
      <w:r>
        <w:t xml:space="preserve"> distance), computed amorphous phase to define synthesizability - While only 2 IrO</w:t>
      </w:r>
      <w:r>
        <w:rPr>
          <w:vertAlign w:val="subscript"/>
        </w:rPr>
        <w:t xml:space="preserve">2 </w:t>
      </w:r>
      <w:r>
        <w:t>in</w:t>
      </w:r>
    </w:p>
    <w:p w14:paraId="04E69BAE" w14:textId="77777777" w:rsidR="004807BE" w:rsidRDefault="0013180D">
      <w:pPr>
        <w:ind w:left="-5"/>
      </w:pPr>
      <w:r>
        <w:t>MP/OQMD, we can compare our structures to other computed IrO</w:t>
      </w:r>
      <w:r>
        <w:rPr>
          <w:vertAlign w:val="subscript"/>
        </w:rPr>
        <w:t xml:space="preserve">2 </w:t>
      </w:r>
      <w:r>
        <w:t>not in open databases.</w:t>
      </w:r>
    </w:p>
    <w:p w14:paraId="1DEF098D" w14:textId="77777777" w:rsidR="004807BE" w:rsidRDefault="0013180D">
      <w:pPr>
        <w:ind w:left="361"/>
      </w:pPr>
      <w:r>
        <w:t>This is a citation example.</w:t>
      </w:r>
      <w:r>
        <w:rPr>
          <w:vertAlign w:val="superscript"/>
        </w:rPr>
        <w:t>1</w:t>
      </w:r>
    </w:p>
    <w:p w14:paraId="764E278F" w14:textId="77777777" w:rsidR="004807BE" w:rsidRDefault="0013180D">
      <w:pPr>
        <w:spacing w:after="236" w:line="259" w:lineRule="auto"/>
        <w:ind w:left="-460" w:right="-382" w:firstLine="0"/>
        <w:jc w:val="left"/>
      </w:pPr>
      <w:r>
        <w:rPr>
          <w:noProof/>
        </w:rPr>
        <w:drawing>
          <wp:inline distT="0" distB="0" distL="0" distR="0" wp14:anchorId="1427EF92" wp14:editId="5B1E6258">
            <wp:extent cx="6478524" cy="4320540"/>
            <wp:effectExtent l="0" t="0" r="0" b="0"/>
            <wp:docPr id="187" name="Picture 187"/>
            <wp:cNvGraphicFramePr/>
            <a:graphic xmlns:a="http://schemas.openxmlformats.org/drawingml/2006/main">
              <a:graphicData uri="http://schemas.openxmlformats.org/drawingml/2006/picture">
                <pic:pic xmlns:pic="http://schemas.openxmlformats.org/drawingml/2006/picture">
                  <pic:nvPicPr>
                    <pic:cNvPr id="187" name="Picture 187"/>
                    <pic:cNvPicPr/>
                  </pic:nvPicPr>
                  <pic:blipFill>
                    <a:blip r:embed="rId8"/>
                    <a:stretch>
                      <a:fillRect/>
                    </a:stretch>
                  </pic:blipFill>
                  <pic:spPr>
                    <a:xfrm>
                      <a:off x="0" y="0"/>
                      <a:ext cx="6478524" cy="4320540"/>
                    </a:xfrm>
                    <a:prstGeom prst="rect">
                      <a:avLst/>
                    </a:prstGeom>
                  </pic:spPr>
                </pic:pic>
              </a:graphicData>
            </a:graphic>
          </wp:inline>
        </w:drawing>
      </w:r>
    </w:p>
    <w:p w14:paraId="2F5081C6" w14:textId="77777777" w:rsidR="004807BE" w:rsidRDefault="0013180D">
      <w:pPr>
        <w:spacing w:after="458"/>
        <w:ind w:left="-5"/>
      </w:pPr>
      <w:r>
        <w:t xml:space="preserve">Figure 2: Gaussian process machine learning models trained initially on (a) publicly available DFT data for IrO2 and (b) </w:t>
      </w:r>
      <w:proofErr w:type="gramStart"/>
      <w:r>
        <w:t>all of</w:t>
      </w:r>
      <w:proofErr w:type="gramEnd"/>
      <w:r>
        <w:t xml:space="preserve"> the acquired DFT calculations from the active learning algorithm. See SI for additional panels at intermediate iterations of the</w:t>
      </w:r>
      <w:r>
        <w:t xml:space="preserve"> active learning algorithm. The Gibbs formation energy (either DFT derived or predicted from the GP model) and associated GP estimated error (2 </w:t>
      </w:r>
      <w:proofErr w:type="spellStart"/>
      <w:r>
        <w:t>sigmas</w:t>
      </w:r>
      <w:proofErr w:type="spellEnd"/>
      <w:r>
        <w:t xml:space="preserve"> or something TEMP) is plotted for each polymorph in the IrO2 candidate space. The data points in each sub</w:t>
      </w:r>
      <w:r>
        <w:t>set are ordered from most to least stable (lowest to largest DE formation). The individual markers are colored based on their ordering in the final converged GP model. Acquired structures are identified by their red borders and slightly larger size. The in</w:t>
      </w:r>
      <w:r>
        <w:t xml:space="preserve">sets show the most stable TEMP structures, where several </w:t>
      </w:r>
      <w:proofErr w:type="spellStart"/>
      <w:proofErr w:type="gramStart"/>
      <w:r>
        <w:t>well known</w:t>
      </w:r>
      <w:proofErr w:type="spellEnd"/>
      <w:proofErr w:type="gramEnd"/>
      <w:r>
        <w:t xml:space="preserve"> crystal structures are labeled.</w:t>
      </w:r>
    </w:p>
    <w:p w14:paraId="3E8F6744" w14:textId="77777777" w:rsidR="004807BE" w:rsidRDefault="0013180D">
      <w:pPr>
        <w:numPr>
          <w:ilvl w:val="0"/>
          <w:numId w:val="3"/>
        </w:numPr>
        <w:spacing w:line="433" w:lineRule="auto"/>
        <w:ind w:hanging="148"/>
      </w:pPr>
      <w:r>
        <w:lastRenderedPageBreak/>
        <w:t xml:space="preserve">XYZ unique AB3 Structures, 259 unique prototypes. Substitute </w:t>
      </w:r>
      <w:proofErr w:type="spellStart"/>
      <w:r>
        <w:t>Ir</w:t>
      </w:r>
      <w:proofErr w:type="spellEnd"/>
      <w:r>
        <w:t xml:space="preserve"> and O, expand to minimum </w:t>
      </w:r>
      <w:proofErr w:type="spellStart"/>
      <w:r>
        <w:t>Ir</w:t>
      </w:r>
      <w:proofErr w:type="spellEnd"/>
      <w:r>
        <w:t>-O distance ¿ XYZ - followed same procedure as in 3.1, Training S</w:t>
      </w:r>
      <w:r>
        <w:t>et of 35 structures, 8 of which are IrO</w:t>
      </w:r>
      <w:r>
        <w:rPr>
          <w:vertAlign w:val="subscript"/>
        </w:rPr>
        <w:t xml:space="preserve">3 </w:t>
      </w:r>
      <w:r>
        <w:t>- Describe initial training and training after first 10 DFT</w:t>
      </w:r>
    </w:p>
    <w:p w14:paraId="1E79697B" w14:textId="77777777" w:rsidR="004807BE" w:rsidRDefault="0013180D">
      <w:pPr>
        <w:spacing w:after="209"/>
        <w:ind w:left="-5"/>
      </w:pPr>
      <w:r>
        <w:t>structures</w:t>
      </w:r>
    </w:p>
    <w:p w14:paraId="32D05BFE" w14:textId="77777777" w:rsidR="004807BE" w:rsidRDefault="0013180D">
      <w:pPr>
        <w:numPr>
          <w:ilvl w:val="0"/>
          <w:numId w:val="3"/>
        </w:numPr>
        <w:spacing w:after="0" w:line="259" w:lineRule="auto"/>
        <w:ind w:hanging="148"/>
      </w:pPr>
      <w:r>
        <w:t>Describe convex hull, classes of structures (</w:t>
      </w:r>
      <w:r>
        <w:rPr>
          <w:i/>
        </w:rPr>
        <w:t>α</w:t>
      </w:r>
      <w:r>
        <w:t>−</w:t>
      </w:r>
      <w:r>
        <w:t>AlF</w:t>
      </w:r>
      <w:r>
        <w:rPr>
          <w:vertAlign w:val="subscript"/>
        </w:rPr>
        <w:t xml:space="preserve">3 </w:t>
      </w:r>
      <w:r>
        <w:t>like, rutile like, and layered, should</w:t>
      </w:r>
    </w:p>
    <w:p w14:paraId="7E65DD9C" w14:textId="77777777" w:rsidR="004807BE" w:rsidRDefault="0013180D">
      <w:pPr>
        <w:spacing w:line="406" w:lineRule="auto"/>
        <w:ind w:left="-5"/>
      </w:pPr>
      <w:r>
        <w:t>be segregated in hull plot) - briefly describe struct</w:t>
      </w:r>
      <w:r>
        <w:t>ures within each class, cite in literature where appropriate</w:t>
      </w:r>
    </w:p>
    <w:p w14:paraId="24F3AEAC" w14:textId="77777777" w:rsidR="004807BE" w:rsidRDefault="0013180D">
      <w:pPr>
        <w:spacing w:after="236" w:line="259" w:lineRule="auto"/>
        <w:ind w:left="-460" w:right="-382" w:firstLine="0"/>
        <w:jc w:val="left"/>
      </w:pPr>
      <w:r>
        <w:rPr>
          <w:noProof/>
        </w:rPr>
        <w:drawing>
          <wp:inline distT="0" distB="0" distL="0" distR="0" wp14:anchorId="37AFAD8D" wp14:editId="69A1BD0E">
            <wp:extent cx="6478524" cy="4320540"/>
            <wp:effectExtent l="0" t="0" r="0" b="0"/>
            <wp:docPr id="223" name="Picture 223"/>
            <wp:cNvGraphicFramePr/>
            <a:graphic xmlns:a="http://schemas.openxmlformats.org/drawingml/2006/main">
              <a:graphicData uri="http://schemas.openxmlformats.org/drawingml/2006/picture">
                <pic:pic xmlns:pic="http://schemas.openxmlformats.org/drawingml/2006/picture">
                  <pic:nvPicPr>
                    <pic:cNvPr id="223" name="Picture 223"/>
                    <pic:cNvPicPr/>
                  </pic:nvPicPr>
                  <pic:blipFill>
                    <a:blip r:embed="rId9"/>
                    <a:stretch>
                      <a:fillRect/>
                    </a:stretch>
                  </pic:blipFill>
                  <pic:spPr>
                    <a:xfrm>
                      <a:off x="0" y="0"/>
                      <a:ext cx="6478524" cy="4320540"/>
                    </a:xfrm>
                    <a:prstGeom prst="rect">
                      <a:avLst/>
                    </a:prstGeom>
                  </pic:spPr>
                </pic:pic>
              </a:graphicData>
            </a:graphic>
          </wp:inline>
        </w:drawing>
      </w:r>
    </w:p>
    <w:p w14:paraId="3380BFD9" w14:textId="77777777" w:rsidR="004807BE" w:rsidRDefault="0013180D">
      <w:pPr>
        <w:spacing w:after="922" w:line="259" w:lineRule="auto"/>
        <w:ind w:left="0" w:firstLine="0"/>
        <w:jc w:val="center"/>
      </w:pPr>
      <w:r>
        <w:t>Figure 3: TEMP.</w:t>
      </w:r>
    </w:p>
    <w:p w14:paraId="6D4CA69F" w14:textId="77777777" w:rsidR="004807BE" w:rsidRDefault="0013180D">
      <w:pPr>
        <w:pStyle w:val="Heading2"/>
        <w:ind w:left="-5"/>
      </w:pPr>
      <w:r>
        <w:t>III. Electrochemical OER Application</w:t>
      </w:r>
    </w:p>
    <w:p w14:paraId="30A103D8" w14:textId="77777777" w:rsidR="004807BE" w:rsidRDefault="0013180D">
      <w:pPr>
        <w:spacing w:line="406" w:lineRule="auto"/>
        <w:ind w:left="-5"/>
      </w:pPr>
      <w:r>
        <w:t>In the following section we will demonstrate the merit of our stable polymorph discovery algorithm by elucidating the electrochemical proper</w:t>
      </w:r>
      <w:r>
        <w:t xml:space="preserve">ties of the four promising structures </w:t>
      </w:r>
      <w:r>
        <w:lastRenderedPageBreak/>
        <w:t xml:space="preserve">discussed in the previous section. </w:t>
      </w:r>
      <w:proofErr w:type="gramStart"/>
      <w:r>
        <w:t>In particular, surfaces</w:t>
      </w:r>
      <w:proofErr w:type="gramEnd"/>
      <w:r>
        <w:t xml:space="preserve"> constructed from the four polymorphs will be evaluated for their activity towards the oxygen evolution reaction (OER), an important chemistry with direct appli</w:t>
      </w:r>
      <w:r>
        <w:t>cation to fuel cell devices. Additionally, the surfaces will be evaluated for their stability and equilibrium surface coverage of surface oxygen and hydroxides.</w:t>
      </w:r>
    </w:p>
    <w:p w14:paraId="2C1D4678" w14:textId="77777777" w:rsidR="004807BE" w:rsidRDefault="0013180D">
      <w:pPr>
        <w:pStyle w:val="Heading3"/>
        <w:ind w:left="-5"/>
      </w:pPr>
      <w:r>
        <w:t>Bulk Pourbaix</w:t>
      </w:r>
    </w:p>
    <w:p w14:paraId="7A252AA1" w14:textId="77777777" w:rsidR="004807BE" w:rsidRDefault="0013180D">
      <w:pPr>
        <w:spacing w:line="448" w:lineRule="auto"/>
        <w:ind w:left="-5"/>
      </w:pPr>
      <w:r>
        <w:t>The electrochemical stability phase diagram (E vs. pH) was constructed by conside</w:t>
      </w:r>
      <w:r>
        <w:t xml:space="preserve">ring the equilibrium conditions of the following species: </w:t>
      </w:r>
      <w:proofErr w:type="spellStart"/>
      <w:r>
        <w:t>Ir</w:t>
      </w:r>
      <w:proofErr w:type="spellEnd"/>
      <w:r>
        <w:t>, rutile-IrO</w:t>
      </w:r>
      <w:proofErr w:type="gramStart"/>
      <w:r>
        <w:rPr>
          <w:vertAlign w:val="subscript"/>
        </w:rPr>
        <w:t xml:space="preserve">2 </w:t>
      </w:r>
      <w:r>
        <w:t>,</w:t>
      </w:r>
      <w:proofErr w:type="gramEnd"/>
      <w:r>
        <w:t xml:space="preserve"> </w:t>
      </w:r>
      <w:r>
        <w:rPr>
          <w:i/>
        </w:rPr>
        <w:t>α</w:t>
      </w:r>
      <w:r>
        <w:t>-IrO</w:t>
      </w:r>
      <w:r>
        <w:rPr>
          <w:vertAlign w:val="subscript"/>
        </w:rPr>
        <w:t xml:space="preserve">3 </w:t>
      </w:r>
      <w:r>
        <w:t>, rutile-IrO</w:t>
      </w:r>
      <w:r>
        <w:rPr>
          <w:vertAlign w:val="subscript"/>
        </w:rPr>
        <w:t>3</w:t>
      </w:r>
      <w:r>
        <w:t xml:space="preserve">, </w:t>
      </w:r>
      <w:r>
        <w:rPr>
          <w:i/>
        </w:rPr>
        <w:t>β</w:t>
      </w:r>
      <w:r>
        <w:t>IrO</w:t>
      </w:r>
      <w:r>
        <w:rPr>
          <w:vertAlign w:val="subscript"/>
        </w:rPr>
        <w:t>3</w:t>
      </w:r>
      <w:r>
        <w:t xml:space="preserve">, and an aqueous dissolved </w:t>
      </w:r>
      <w:proofErr w:type="spellStart"/>
      <w:r>
        <w:t>IrO</w:t>
      </w:r>
      <w:proofErr w:type="spellEnd"/>
      <w:r>
        <w:t>[4</w:t>
      </w:r>
      <w:r>
        <w:t>−</w:t>
      </w:r>
      <w:r>
        <w:t>] species (See TEMP—SI for additional details). The resulting diagram is shown in Fig. 4. Importantly, under acidic cond</w:t>
      </w:r>
      <w:r>
        <w:t xml:space="preserve">itions (pH ¡ 7) and in the bias region of interest for the OER </w:t>
      </w:r>
      <w:proofErr w:type="gramStart"/>
      <w:r>
        <w:t>( 1.23</w:t>
      </w:r>
      <w:proofErr w:type="gramEnd"/>
      <w:r>
        <w:t xml:space="preserve"> V vs. RHE) </w:t>
      </w:r>
      <w:r>
        <w:rPr>
          <w:i/>
        </w:rPr>
        <w:t>α</w:t>
      </w:r>
      <w:r>
        <w:t>-IrO</w:t>
      </w:r>
      <w:r>
        <w:rPr>
          <w:vertAlign w:val="subscript"/>
        </w:rPr>
        <w:t xml:space="preserve">3 </w:t>
      </w:r>
      <w:r>
        <w:t xml:space="preserve">shows a large window of stability. This indicates that the </w:t>
      </w:r>
      <w:r>
        <w:rPr>
          <w:i/>
        </w:rPr>
        <w:t>α</w:t>
      </w:r>
      <w:r>
        <w:t>-IrO</w:t>
      </w:r>
      <w:r>
        <w:rPr>
          <w:vertAlign w:val="subscript"/>
        </w:rPr>
        <w:t xml:space="preserve">3 </w:t>
      </w:r>
      <w:r>
        <w:t>phase may be stabilized under the highly oxidizing conditions of the OER. The stability regions for ru</w:t>
      </w:r>
      <w:r>
        <w:t>tile-IrO</w:t>
      </w:r>
      <w:r>
        <w:rPr>
          <w:vertAlign w:val="subscript"/>
        </w:rPr>
        <w:t>3</w:t>
      </w:r>
      <w:r>
        <w:t xml:space="preserve">and </w:t>
      </w:r>
      <w:r>
        <w:rPr>
          <w:i/>
        </w:rPr>
        <w:t>β</w:t>
      </w:r>
      <w:r>
        <w:t>-IrO</w:t>
      </w:r>
      <w:r>
        <w:rPr>
          <w:vertAlign w:val="subscript"/>
        </w:rPr>
        <w:t>3</w:t>
      </w:r>
      <w:r>
        <w:t>in the absence of any other IrO</w:t>
      </w:r>
      <w:r>
        <w:rPr>
          <w:vertAlign w:val="subscript"/>
        </w:rPr>
        <w:t xml:space="preserve">3 </w:t>
      </w:r>
      <w:r>
        <w:t>polymorphs are also indicated by the unfilled solid lines and demonstrate a sizable stability window as well. This result implies that these metastable phases may also play a role for the OER.</w:t>
      </w:r>
    </w:p>
    <w:p w14:paraId="7EE155CD" w14:textId="77777777" w:rsidR="004807BE" w:rsidRDefault="0013180D">
      <w:pPr>
        <w:spacing w:after="236" w:line="259" w:lineRule="auto"/>
        <w:ind w:left="2344" w:firstLine="0"/>
        <w:jc w:val="left"/>
      </w:pPr>
      <w:r>
        <w:rPr>
          <w:noProof/>
        </w:rPr>
        <w:drawing>
          <wp:inline distT="0" distB="0" distL="0" distR="0" wp14:anchorId="7CDEC32F" wp14:editId="08F2E102">
            <wp:extent cx="2916936" cy="1872234"/>
            <wp:effectExtent l="0" t="0" r="0" b="0"/>
            <wp:docPr id="278" name="Picture 278"/>
            <wp:cNvGraphicFramePr/>
            <a:graphic xmlns:a="http://schemas.openxmlformats.org/drawingml/2006/main">
              <a:graphicData uri="http://schemas.openxmlformats.org/drawingml/2006/picture">
                <pic:pic xmlns:pic="http://schemas.openxmlformats.org/drawingml/2006/picture">
                  <pic:nvPicPr>
                    <pic:cNvPr id="278" name="Picture 278"/>
                    <pic:cNvPicPr/>
                  </pic:nvPicPr>
                  <pic:blipFill>
                    <a:blip r:embed="rId10"/>
                    <a:stretch>
                      <a:fillRect/>
                    </a:stretch>
                  </pic:blipFill>
                  <pic:spPr>
                    <a:xfrm>
                      <a:off x="0" y="0"/>
                      <a:ext cx="2916936" cy="1872234"/>
                    </a:xfrm>
                    <a:prstGeom prst="rect">
                      <a:avLst/>
                    </a:prstGeom>
                  </pic:spPr>
                </pic:pic>
              </a:graphicData>
            </a:graphic>
          </wp:inline>
        </w:drawing>
      </w:r>
    </w:p>
    <w:p w14:paraId="25A5884B" w14:textId="77777777" w:rsidR="004807BE" w:rsidRDefault="0013180D">
      <w:pPr>
        <w:spacing w:after="888"/>
        <w:ind w:left="-5"/>
      </w:pPr>
      <w:r>
        <w:t xml:space="preserve">Figure 4: Electrochemical bulk phase stability diagram (Pourbaix) of the </w:t>
      </w:r>
      <w:proofErr w:type="spellStart"/>
      <w:r>
        <w:t>Ir</w:t>
      </w:r>
      <w:proofErr w:type="spellEnd"/>
      <w:r>
        <w:t>-O-H chemical space considering rutile-IrO</w:t>
      </w:r>
      <w:r>
        <w:rPr>
          <w:vertAlign w:val="subscript"/>
        </w:rPr>
        <w:t>2</w:t>
      </w:r>
      <w:r>
        <w:t>,</w:t>
      </w:r>
    </w:p>
    <w:p w14:paraId="5A6A7199" w14:textId="77777777" w:rsidR="004807BE" w:rsidRDefault="0013180D">
      <w:pPr>
        <w:pStyle w:val="Heading3"/>
        <w:ind w:left="-5"/>
      </w:pPr>
      <w:r>
        <w:lastRenderedPageBreak/>
        <w:t>b. OER Activities and Surfaces</w:t>
      </w:r>
    </w:p>
    <w:p w14:paraId="4094D7F1" w14:textId="77777777" w:rsidR="004807BE" w:rsidRDefault="0013180D">
      <w:pPr>
        <w:spacing w:line="418" w:lineRule="auto"/>
        <w:ind w:left="-5"/>
      </w:pPr>
      <w:r>
        <w:t>The OER activity (expressed in terms of the limiting potential) for various surfaces cut from rutile-IrO</w:t>
      </w:r>
      <w:r>
        <w:rPr>
          <w:vertAlign w:val="subscript"/>
        </w:rPr>
        <w:t>2</w:t>
      </w:r>
      <w:r>
        <w:t>, and the three polymorphs of IrO</w:t>
      </w:r>
      <w:r>
        <w:rPr>
          <w:vertAlign w:val="subscript"/>
        </w:rPr>
        <w:t xml:space="preserve">3 </w:t>
      </w:r>
      <w:r>
        <w:t>considered are shown in Fig. 5. The specific facets were chosen from the highest intensity x-ray diffraction peaks from powder-diffraction spectra simulated in VESTA, as well as using physical intuition as to which facets</w:t>
      </w:r>
      <w:r>
        <w:t xml:space="preserve"> would be most physical.</w:t>
      </w:r>
    </w:p>
    <w:p w14:paraId="292D1ED4" w14:textId="77777777" w:rsidR="004807BE" w:rsidRDefault="0013180D">
      <w:pPr>
        <w:spacing w:after="236" w:line="259" w:lineRule="auto"/>
        <w:ind w:left="-575" w:right="-497" w:firstLine="0"/>
        <w:jc w:val="left"/>
      </w:pPr>
      <w:r>
        <w:rPr>
          <w:noProof/>
        </w:rPr>
        <w:drawing>
          <wp:inline distT="0" distB="0" distL="0" distR="0" wp14:anchorId="68AEB1D0" wp14:editId="10E85939">
            <wp:extent cx="6624828" cy="5399532"/>
            <wp:effectExtent l="0" t="0" r="0" b="0"/>
            <wp:docPr id="307" name="Picture 307"/>
            <wp:cNvGraphicFramePr/>
            <a:graphic xmlns:a="http://schemas.openxmlformats.org/drawingml/2006/main">
              <a:graphicData uri="http://schemas.openxmlformats.org/drawingml/2006/picture">
                <pic:pic xmlns:pic="http://schemas.openxmlformats.org/drawingml/2006/picture">
                  <pic:nvPicPr>
                    <pic:cNvPr id="307" name="Picture 307"/>
                    <pic:cNvPicPr/>
                  </pic:nvPicPr>
                  <pic:blipFill>
                    <a:blip r:embed="rId11"/>
                    <a:stretch>
                      <a:fillRect/>
                    </a:stretch>
                  </pic:blipFill>
                  <pic:spPr>
                    <a:xfrm>
                      <a:off x="0" y="0"/>
                      <a:ext cx="6624828" cy="5399532"/>
                    </a:xfrm>
                    <a:prstGeom prst="rect">
                      <a:avLst/>
                    </a:prstGeom>
                  </pic:spPr>
                </pic:pic>
              </a:graphicData>
            </a:graphic>
          </wp:inline>
        </w:drawing>
      </w:r>
    </w:p>
    <w:p w14:paraId="43048288" w14:textId="77777777" w:rsidR="004807BE" w:rsidRDefault="0013180D">
      <w:pPr>
        <w:ind w:left="-5"/>
      </w:pPr>
      <w:r>
        <w:t xml:space="preserve">Figure 5: Summary of OER results for the four bulk structures of </w:t>
      </w:r>
      <w:proofErr w:type="spellStart"/>
      <w:r>
        <w:t>IrO</w:t>
      </w:r>
      <w:r>
        <w:rPr>
          <w:vertAlign w:val="subscript"/>
        </w:rPr>
        <w:t>x</w:t>
      </w:r>
      <w:proofErr w:type="spellEnd"/>
      <w:r>
        <w:rPr>
          <w:vertAlign w:val="subscript"/>
        </w:rPr>
        <w:t xml:space="preserve"> </w:t>
      </w:r>
      <w:r>
        <w:t>considered: rutileIrO</w:t>
      </w:r>
      <w:r>
        <w:rPr>
          <w:vertAlign w:val="subscript"/>
        </w:rPr>
        <w:t xml:space="preserve">2 </w:t>
      </w:r>
      <w:r>
        <w:t xml:space="preserve">(green), </w:t>
      </w:r>
      <w:r>
        <w:rPr>
          <w:i/>
        </w:rPr>
        <w:t>α</w:t>
      </w:r>
      <w:r>
        <w:t>-IrO</w:t>
      </w:r>
      <w:r>
        <w:rPr>
          <w:vertAlign w:val="subscript"/>
        </w:rPr>
        <w:t xml:space="preserve">3 </w:t>
      </w:r>
      <w:r>
        <w:t>(purple), rutile-IrO</w:t>
      </w:r>
      <w:r>
        <w:rPr>
          <w:vertAlign w:val="subscript"/>
        </w:rPr>
        <w:t xml:space="preserve">3 </w:t>
      </w:r>
      <w:r>
        <w:t xml:space="preserve">(orange), and </w:t>
      </w:r>
      <w:r>
        <w:rPr>
          <w:i/>
        </w:rPr>
        <w:t>β</w:t>
      </w:r>
      <w:r>
        <w:t>-IrO</w:t>
      </w:r>
      <w:r>
        <w:rPr>
          <w:vertAlign w:val="subscript"/>
        </w:rPr>
        <w:t xml:space="preserve">3 </w:t>
      </w:r>
      <w:r>
        <w:t xml:space="preserve">(pink). (a) Surface energy Pourbaix diagrams for each structure, with the surface energy of various facets and coverages shown </w:t>
      </w:r>
      <w:r>
        <w:lastRenderedPageBreak/>
        <w:t>as a function of applied potential. The bulk Pourbaix diagram’s bounds of stability at pH 0 are superimposed at the bottom of eac</w:t>
      </w:r>
      <w:r>
        <w:t xml:space="preserve">h subplot. (b) OER activity volcano for </w:t>
      </w:r>
      <w:proofErr w:type="spellStart"/>
      <w:r>
        <w:t>IrO</w:t>
      </w:r>
      <w:r>
        <w:rPr>
          <w:vertAlign w:val="subscript"/>
        </w:rPr>
        <w:t>x</w:t>
      </w:r>
      <w:proofErr w:type="spellEnd"/>
      <w:r>
        <w:rPr>
          <w:vertAlign w:val="subscript"/>
        </w:rPr>
        <w:t xml:space="preserve"> </w:t>
      </w:r>
      <w:r>
        <w:t>systems considered utilizing the ∆G</w:t>
      </w:r>
      <w:r>
        <w:rPr>
          <w:vertAlign w:val="subscript"/>
        </w:rPr>
        <w:t xml:space="preserve">O </w:t>
      </w:r>
      <w:r>
        <w:t>-∆G</w:t>
      </w:r>
      <w:r>
        <w:rPr>
          <w:vertAlign w:val="subscript"/>
        </w:rPr>
        <w:t xml:space="preserve">OH </w:t>
      </w:r>
      <w:r>
        <w:t>thermodynamic descriptor. The purple dotted line corresponds to the experimental limiting potential at 10 mA cm</w:t>
      </w:r>
      <w:r>
        <w:rPr>
          <w:vertAlign w:val="superscript"/>
        </w:rPr>
        <w:t xml:space="preserve">2 </w:t>
      </w:r>
      <w:r>
        <w:t>for IrO</w:t>
      </w:r>
      <w:r>
        <w:rPr>
          <w:vertAlign w:val="subscript"/>
        </w:rPr>
        <w:t>3</w:t>
      </w:r>
      <w:r>
        <w:t>, while the green band corresponds to the range</w:t>
      </w:r>
      <w:r>
        <w:t xml:space="preserve"> of experimentally observed overpotentials for pristine IrO</w:t>
      </w:r>
      <w:r>
        <w:rPr>
          <w:vertAlign w:val="subscript"/>
        </w:rPr>
        <w:t xml:space="preserve">2 </w:t>
      </w:r>
      <w:r>
        <w:t xml:space="preserve">catalysts. (c) Select surface facets for the four </w:t>
      </w:r>
      <w:proofErr w:type="spellStart"/>
      <w:r>
        <w:t>IrO</w:t>
      </w:r>
      <w:r>
        <w:rPr>
          <w:vertAlign w:val="subscript"/>
        </w:rPr>
        <w:t>x</w:t>
      </w:r>
      <w:proofErr w:type="spellEnd"/>
      <w:r>
        <w:rPr>
          <w:vertAlign w:val="subscript"/>
        </w:rPr>
        <w:t xml:space="preserve"> </w:t>
      </w:r>
      <w:r>
        <w:t>crystal systems considered.</w:t>
      </w:r>
    </w:p>
    <w:p w14:paraId="1F107B3E" w14:textId="77777777" w:rsidR="004807BE" w:rsidRDefault="0013180D">
      <w:pPr>
        <w:spacing w:after="335" w:line="406" w:lineRule="auto"/>
        <w:ind w:left="-15" w:firstLine="351"/>
      </w:pPr>
      <w:r>
        <w:t>To determine the most likely experimentally abundant surface facets and surface coverages, a surface energy Pour</w:t>
      </w:r>
      <w:r>
        <w:t>baix diagram was constructed (TEMP). See (SI for surface energy/Pourbaix part) for the method used to calculate surface energies.</w:t>
      </w:r>
    </w:p>
    <w:p w14:paraId="5654B936" w14:textId="77777777" w:rsidR="004807BE" w:rsidRDefault="0013180D">
      <w:pPr>
        <w:pStyle w:val="Heading3"/>
        <w:ind w:left="-5"/>
      </w:pPr>
      <w:r>
        <w:t>c. OER Intermediate Scaling</w:t>
      </w:r>
    </w:p>
    <w:p w14:paraId="0B523598" w14:textId="77777777" w:rsidR="004807BE" w:rsidRDefault="0013180D">
      <w:pPr>
        <w:spacing w:line="435" w:lineRule="auto"/>
        <w:ind w:left="-5"/>
      </w:pPr>
      <w:r>
        <w:t>Figure TEMP shows the scaling relations between the adsorption free energies of the OER intermedia</w:t>
      </w:r>
      <w:r>
        <w:t xml:space="preserve">te species for the </w:t>
      </w:r>
      <w:proofErr w:type="spellStart"/>
      <w:r>
        <w:t>IrO</w:t>
      </w:r>
      <w:r>
        <w:rPr>
          <w:vertAlign w:val="subscript"/>
        </w:rPr>
        <w:t>x</w:t>
      </w:r>
      <w:proofErr w:type="spellEnd"/>
      <w:r>
        <w:rPr>
          <w:vertAlign w:val="subscript"/>
        </w:rPr>
        <w:t xml:space="preserve"> </w:t>
      </w:r>
      <w:r>
        <w:t>systems studied herein. It can be seen clearly that the data points corresponding to the three IrO</w:t>
      </w:r>
      <w:r>
        <w:rPr>
          <w:vertAlign w:val="subscript"/>
        </w:rPr>
        <w:t xml:space="preserve">3 </w:t>
      </w:r>
      <w:r>
        <w:t>polymorphs are roughly 1 eV weaker binding than the rutile-IrO</w:t>
      </w:r>
      <w:r>
        <w:rPr>
          <w:vertAlign w:val="subscript"/>
        </w:rPr>
        <w:t xml:space="preserve">2 </w:t>
      </w:r>
      <w:r>
        <w:t>points. This generally weaker binding of the IrO</w:t>
      </w:r>
      <w:r>
        <w:rPr>
          <w:vertAlign w:val="subscript"/>
        </w:rPr>
        <w:t xml:space="preserve">3 </w:t>
      </w:r>
      <w:r>
        <w:t>stoichiometry is r</w:t>
      </w:r>
      <w:r>
        <w:t>esponsible for the observed improvement in theoretical activity. The ∆G</w:t>
      </w:r>
      <w:r>
        <w:rPr>
          <w:vertAlign w:val="subscript"/>
        </w:rPr>
        <w:t xml:space="preserve">OOH </w:t>
      </w:r>
      <w:proofErr w:type="spellStart"/>
      <w:r>
        <w:t>vs.∆G</w:t>
      </w:r>
      <w:r>
        <w:rPr>
          <w:vertAlign w:val="subscript"/>
        </w:rPr>
        <w:t>OH</w:t>
      </w:r>
      <w:proofErr w:type="spellEnd"/>
      <w:r>
        <w:rPr>
          <w:vertAlign w:val="subscript"/>
        </w:rPr>
        <w:t xml:space="preserve"> </w:t>
      </w:r>
      <w:r>
        <w:t>relationship is very close to the traditional “universal scaling relations”, demonstrating that our materials do not break the infamous ∆G</w:t>
      </w:r>
      <w:r>
        <w:rPr>
          <w:vertAlign w:val="subscript"/>
        </w:rPr>
        <w:t xml:space="preserve">OOH </w:t>
      </w:r>
      <w:r>
        <w:t>vs. ∆G</w:t>
      </w:r>
      <w:r>
        <w:rPr>
          <w:vertAlign w:val="subscript"/>
        </w:rPr>
        <w:t xml:space="preserve">OH </w:t>
      </w:r>
      <w:r>
        <w:t>scaling.</w:t>
      </w:r>
    </w:p>
    <w:p w14:paraId="6BDECE0D" w14:textId="77777777" w:rsidR="004807BE" w:rsidRDefault="0013180D">
      <w:pPr>
        <w:spacing w:after="236" w:line="259" w:lineRule="auto"/>
        <w:ind w:left="1665" w:firstLine="0"/>
        <w:jc w:val="left"/>
      </w:pPr>
      <w:r>
        <w:rPr>
          <w:noProof/>
        </w:rPr>
        <w:drawing>
          <wp:inline distT="0" distB="0" distL="0" distR="0" wp14:anchorId="3CB39F52" wp14:editId="51F3EECB">
            <wp:extent cx="3780130" cy="2520087"/>
            <wp:effectExtent l="0" t="0" r="0" b="0"/>
            <wp:docPr id="389" name="Picture 389"/>
            <wp:cNvGraphicFramePr/>
            <a:graphic xmlns:a="http://schemas.openxmlformats.org/drawingml/2006/main">
              <a:graphicData uri="http://schemas.openxmlformats.org/drawingml/2006/picture">
                <pic:pic xmlns:pic="http://schemas.openxmlformats.org/drawingml/2006/picture">
                  <pic:nvPicPr>
                    <pic:cNvPr id="389" name="Picture 389"/>
                    <pic:cNvPicPr/>
                  </pic:nvPicPr>
                  <pic:blipFill>
                    <a:blip r:embed="rId12"/>
                    <a:stretch>
                      <a:fillRect/>
                    </a:stretch>
                  </pic:blipFill>
                  <pic:spPr>
                    <a:xfrm>
                      <a:off x="0" y="0"/>
                      <a:ext cx="3780130" cy="2520087"/>
                    </a:xfrm>
                    <a:prstGeom prst="rect">
                      <a:avLst/>
                    </a:prstGeom>
                  </pic:spPr>
                </pic:pic>
              </a:graphicData>
            </a:graphic>
          </wp:inline>
        </w:drawing>
      </w:r>
    </w:p>
    <w:p w14:paraId="5D93ADA6" w14:textId="77777777" w:rsidR="004807BE" w:rsidRDefault="0013180D">
      <w:pPr>
        <w:ind w:left="-5"/>
      </w:pPr>
      <w:r>
        <w:t>Figure 6: R</w:t>
      </w:r>
      <w:r>
        <w:t>elationship between the adsorption free energies of the three key OER intermediates (*OH, *O, *OOH), with ∆G</w:t>
      </w:r>
      <w:r>
        <w:rPr>
          <w:vertAlign w:val="subscript"/>
        </w:rPr>
        <w:t xml:space="preserve">OH </w:t>
      </w:r>
      <w:r>
        <w:t>chosen as the dependent variable. Best fit lines are provided for ∆G</w:t>
      </w:r>
      <w:r>
        <w:rPr>
          <w:vertAlign w:val="subscript"/>
        </w:rPr>
        <w:t xml:space="preserve">OOH </w:t>
      </w:r>
      <w:r>
        <w:t>vs. ∆G</w:t>
      </w:r>
      <w:r>
        <w:rPr>
          <w:vertAlign w:val="subscript"/>
        </w:rPr>
        <w:t xml:space="preserve">OH </w:t>
      </w:r>
      <w:r>
        <w:t>and ∆G</w:t>
      </w:r>
      <w:r>
        <w:rPr>
          <w:vertAlign w:val="subscript"/>
        </w:rPr>
        <w:t xml:space="preserve">O </w:t>
      </w:r>
      <w:r>
        <w:t>vs. ∆</w:t>
      </w:r>
      <w:proofErr w:type="gramStart"/>
      <w:r>
        <w:t>G</w:t>
      </w:r>
      <w:r>
        <w:rPr>
          <w:vertAlign w:val="subscript"/>
        </w:rPr>
        <w:t xml:space="preserve">OH </w:t>
      </w:r>
      <w:r>
        <w:t>.</w:t>
      </w:r>
      <w:proofErr w:type="gramEnd"/>
      <w:r>
        <w:t xml:space="preserve"> Additionally, “universal scaling relations” f</w:t>
      </w:r>
      <w:r>
        <w:t xml:space="preserve">or </w:t>
      </w:r>
      <w:r>
        <w:lastRenderedPageBreak/>
        <w:t>∆G</w:t>
      </w:r>
      <w:r>
        <w:rPr>
          <w:vertAlign w:val="subscript"/>
        </w:rPr>
        <w:t xml:space="preserve">OOH </w:t>
      </w:r>
      <w:r>
        <w:t>vs. ∆G</w:t>
      </w:r>
      <w:r>
        <w:rPr>
          <w:vertAlign w:val="subscript"/>
        </w:rPr>
        <w:t xml:space="preserve">OH </w:t>
      </w:r>
      <w:r>
        <w:t>and ∆G</w:t>
      </w:r>
      <w:r>
        <w:rPr>
          <w:vertAlign w:val="subscript"/>
        </w:rPr>
        <w:t xml:space="preserve">O </w:t>
      </w:r>
      <w:r>
        <w:t>vs. ∆G</w:t>
      </w:r>
      <w:r>
        <w:rPr>
          <w:vertAlign w:val="subscript"/>
        </w:rPr>
        <w:t xml:space="preserve">OH </w:t>
      </w:r>
      <w:r>
        <w:t>are shown (black dotted lines) to emphasize our deviation from the traditionally reported scaling fits. The trivial ∆G</w:t>
      </w:r>
      <w:r>
        <w:rPr>
          <w:vertAlign w:val="subscript"/>
        </w:rPr>
        <w:t xml:space="preserve">OH </w:t>
      </w:r>
      <w:r>
        <w:t>vs.</w:t>
      </w:r>
    </w:p>
    <w:p w14:paraId="0579ACEC" w14:textId="77777777" w:rsidR="004807BE" w:rsidRDefault="0013180D">
      <w:pPr>
        <w:ind w:left="-5"/>
      </w:pPr>
      <w:r>
        <w:t>∆</w:t>
      </w:r>
      <w:r>
        <w:t>G</w:t>
      </w:r>
      <w:r>
        <w:rPr>
          <w:vertAlign w:val="subscript"/>
        </w:rPr>
        <w:t xml:space="preserve">OH </w:t>
      </w:r>
      <w:r>
        <w:t>relationship is included for completeness.</w:t>
      </w:r>
    </w:p>
    <w:p w14:paraId="27EB97A0" w14:textId="77777777" w:rsidR="004807BE" w:rsidRDefault="0013180D">
      <w:pPr>
        <w:spacing w:after="276" w:line="259" w:lineRule="auto"/>
        <w:ind w:left="-5"/>
        <w:jc w:val="left"/>
      </w:pPr>
      <w:r>
        <w:rPr>
          <w:b/>
          <w:sz w:val="34"/>
        </w:rPr>
        <w:t>Conclusion</w:t>
      </w:r>
    </w:p>
    <w:p w14:paraId="1424B051" w14:textId="77777777" w:rsidR="004807BE" w:rsidRDefault="0013180D">
      <w:pPr>
        <w:spacing w:after="776"/>
        <w:ind w:left="-5"/>
      </w:pPr>
      <w:r>
        <w:t>And in conclusion we presented work here...</w:t>
      </w:r>
    </w:p>
    <w:p w14:paraId="5E8CC913" w14:textId="77777777" w:rsidR="004807BE" w:rsidRDefault="0013180D">
      <w:pPr>
        <w:pStyle w:val="Heading1"/>
        <w:ind w:left="-5"/>
      </w:pPr>
      <w:r>
        <w:t>Acknowledgement</w:t>
      </w:r>
    </w:p>
    <w:p w14:paraId="5A0AB9D7" w14:textId="77777777" w:rsidR="004807BE" w:rsidRDefault="0013180D">
      <w:pPr>
        <w:spacing w:after="168"/>
        <w:ind w:left="-5"/>
      </w:pPr>
      <w:r>
        <w:t>Organizations to acknowledge TRI SUNCAT Stanford NERSC etc.</w:t>
      </w:r>
    </w:p>
    <w:p w14:paraId="68884212" w14:textId="77777777" w:rsidR="004807BE" w:rsidRDefault="0013180D">
      <w:pPr>
        <w:spacing w:line="406" w:lineRule="auto"/>
        <w:ind w:left="-15" w:firstLine="351"/>
      </w:pPr>
      <w:r>
        <w:t>JAGT and MB acknowledge the support by the U.S. Department of Energy, Office of Science, Office of Basic Energy Science, via Grant DE-SC0008685 to the SUNCAT Center of Interface Science and Catalysis.</w:t>
      </w:r>
    </w:p>
    <w:p w14:paraId="4E5BABFE" w14:textId="77777777" w:rsidR="004807BE" w:rsidRDefault="0013180D">
      <w:pPr>
        <w:spacing w:line="406" w:lineRule="auto"/>
        <w:ind w:left="-15" w:firstLine="351"/>
      </w:pPr>
      <w:r>
        <w:t>The authors would like to acknowledge the use of the co</w:t>
      </w:r>
      <w:r>
        <w:t xml:space="preserve">mputer time allocation for the Transition metal-oxide and metal surfaces: applications and reactivity trends in catalysis at the National Energy Research Scientific Computing Center, a DOE Office of Science User Facility supported by the Office of Science </w:t>
      </w:r>
      <w:r>
        <w:t>of the U.S. Department of Energy under Contract</w:t>
      </w:r>
    </w:p>
    <w:p w14:paraId="2DE207FD" w14:textId="77777777" w:rsidR="004807BE" w:rsidRDefault="0013180D">
      <w:pPr>
        <w:ind w:left="-5"/>
      </w:pPr>
      <w:r>
        <w:t>No. DE-AC02-05CH11231.</w:t>
      </w:r>
    </w:p>
    <w:p w14:paraId="53595125" w14:textId="77777777" w:rsidR="004807BE" w:rsidRDefault="0013180D">
      <w:pPr>
        <w:pStyle w:val="Heading1"/>
        <w:spacing w:after="391"/>
        <w:ind w:left="-5"/>
      </w:pPr>
      <w:r>
        <w:t>Supporting Information Available</w:t>
      </w:r>
    </w:p>
    <w:p w14:paraId="248AE949" w14:textId="77777777" w:rsidR="004807BE" w:rsidRDefault="0013180D">
      <w:pPr>
        <w:spacing w:after="267" w:line="259" w:lineRule="auto"/>
        <w:ind w:left="-5"/>
        <w:jc w:val="left"/>
      </w:pPr>
      <w:r>
        <w:rPr>
          <w:b/>
          <w:sz w:val="29"/>
        </w:rPr>
        <w:t>Machine Learning Algorithm Methods</w:t>
      </w:r>
    </w:p>
    <w:p w14:paraId="00245E21" w14:textId="77777777" w:rsidR="004807BE" w:rsidRDefault="0013180D">
      <w:pPr>
        <w:spacing w:after="618"/>
        <w:ind w:left="-5"/>
      </w:pPr>
      <w:r>
        <w:t>Relevant details about the ML Gaussian process here</w:t>
      </w:r>
    </w:p>
    <w:p w14:paraId="0E3BCBD8" w14:textId="77777777" w:rsidR="004807BE" w:rsidRDefault="0013180D">
      <w:pPr>
        <w:pStyle w:val="Heading2"/>
        <w:ind w:left="-5"/>
      </w:pPr>
      <w:r>
        <w:t>Electrochemical OER Computational Methods</w:t>
      </w:r>
    </w:p>
    <w:p w14:paraId="2707C542" w14:textId="77777777" w:rsidR="004807BE" w:rsidRDefault="0013180D">
      <w:pPr>
        <w:pStyle w:val="Heading3"/>
        <w:ind w:left="-5"/>
      </w:pPr>
      <w:r>
        <w:t>Density Functional Theo</w:t>
      </w:r>
      <w:r>
        <w:t>ry Methods</w:t>
      </w:r>
    </w:p>
    <w:p w14:paraId="70274820" w14:textId="77777777" w:rsidR="004807BE" w:rsidRDefault="0013180D">
      <w:pPr>
        <w:spacing w:line="406" w:lineRule="auto"/>
        <w:ind w:left="-5"/>
      </w:pPr>
      <w:r>
        <w:t xml:space="preserve">All OER calculations were performed using density functional theory (DFT) implemented via the Vienna ab-initio simulation package (VASP) and utilizing the PBE exchange-correlation functional. Dipole corrections were imposed on all non-symmetric </w:t>
      </w:r>
      <w:r>
        <w:t xml:space="preserve">slabs. A 4x4x3 k-point </w:t>
      </w:r>
      <w:r>
        <w:lastRenderedPageBreak/>
        <w:t xml:space="preserve">mesh with gamma-point centered </w:t>
      </w:r>
      <w:proofErr w:type="spellStart"/>
      <w:r>
        <w:t>Monkshort</w:t>
      </w:r>
      <w:proofErr w:type="spellEnd"/>
      <w:r>
        <w:t>-packing was used for all slabs. The plane-wave energy cutoff was 500 eV.</w:t>
      </w:r>
    </w:p>
    <w:p w14:paraId="2E06ED29" w14:textId="77777777" w:rsidR="004807BE" w:rsidRDefault="0013180D">
      <w:pPr>
        <w:spacing w:after="335" w:line="406" w:lineRule="auto"/>
        <w:ind w:left="-15" w:firstLine="351"/>
      </w:pPr>
      <w:r>
        <w:t>All slab calculations maintained a vacuum spacing of ¡15 A. All structures were relaxed utilizing a TEMP algorithm with</w:t>
      </w:r>
      <w:r>
        <w:t xml:space="preserve"> a </w:t>
      </w:r>
      <w:proofErr w:type="gramStart"/>
      <w:r>
        <w:t>stop criteria</w:t>
      </w:r>
      <w:proofErr w:type="gramEnd"/>
      <w:r>
        <w:t xml:space="preserve"> being that all atoms satisfy a maximum force threshold of 0.02 eV/A.</w:t>
      </w:r>
    </w:p>
    <w:p w14:paraId="5AC50959" w14:textId="77777777" w:rsidR="004807BE" w:rsidRDefault="0013180D">
      <w:pPr>
        <w:spacing w:after="324" w:line="263" w:lineRule="auto"/>
        <w:ind w:left="-5"/>
        <w:jc w:val="left"/>
      </w:pPr>
      <w:r>
        <w:rPr>
          <w:b/>
        </w:rPr>
        <w:t>OER Thermodynamic Methodology</w:t>
      </w:r>
    </w:p>
    <w:p w14:paraId="540471CC" w14:textId="77777777" w:rsidR="004807BE" w:rsidRDefault="0013180D">
      <w:pPr>
        <w:pStyle w:val="Heading3"/>
        <w:ind w:left="-5"/>
      </w:pPr>
      <w:r>
        <w:t>Surface Energy Pourbaix Methodology</w:t>
      </w:r>
    </w:p>
    <w:p w14:paraId="498E907A" w14:textId="77777777" w:rsidR="004807BE" w:rsidRDefault="0013180D">
      <w:pPr>
        <w:spacing w:line="406" w:lineRule="auto"/>
        <w:ind w:left="-5"/>
      </w:pPr>
      <w:r>
        <w:t>Procedure: - For the top/most stable bulk structures the following procedure was carried out</w:t>
      </w:r>
    </w:p>
    <w:p w14:paraId="7D496B56" w14:textId="77777777" w:rsidR="004807BE" w:rsidRDefault="0013180D">
      <w:pPr>
        <w:numPr>
          <w:ilvl w:val="0"/>
          <w:numId w:val="4"/>
        </w:numPr>
        <w:spacing w:line="406" w:lineRule="auto"/>
        <w:ind w:firstLine="351"/>
      </w:pPr>
      <w:r>
        <w:t xml:space="preserve">Stable </w:t>
      </w:r>
      <w:proofErr w:type="spellStart"/>
      <w:r>
        <w:t>stoicheometric</w:t>
      </w:r>
      <w:proofErr w:type="spellEnd"/>
      <w:r>
        <w:t xml:space="preserve"> terminations were cut from the bulk Stable termination </w:t>
      </w:r>
      <w:proofErr w:type="spellStart"/>
      <w:r>
        <w:t>planeswere</w:t>
      </w:r>
      <w:proofErr w:type="spellEnd"/>
      <w:r>
        <w:t xml:space="preserve"> guesstimated via intuition, and the x-ray diffraction pattern tool from Vesta</w:t>
      </w:r>
    </w:p>
    <w:p w14:paraId="04A7CC57" w14:textId="77777777" w:rsidR="004807BE" w:rsidRDefault="0013180D">
      <w:pPr>
        <w:numPr>
          <w:ilvl w:val="0"/>
          <w:numId w:val="4"/>
        </w:numPr>
        <w:spacing w:line="406" w:lineRule="auto"/>
        <w:ind w:firstLine="351"/>
      </w:pPr>
      <w:r>
        <w:t xml:space="preserve">Electrochemical surface coverage was elucidated via a surface Pourbaix analysis </w:t>
      </w:r>
      <w:proofErr w:type="spellStart"/>
      <w:r>
        <w:t>Needto</w:t>
      </w:r>
      <w:proofErr w:type="spellEnd"/>
      <w:r>
        <w:t xml:space="preserve"> kno</w:t>
      </w:r>
      <w:r>
        <w:t>w the coverage of surface under operating conditions (¿1.23 V RHE)</w:t>
      </w:r>
    </w:p>
    <w:p w14:paraId="3456D017" w14:textId="77777777" w:rsidR="004807BE" w:rsidRDefault="0013180D">
      <w:pPr>
        <w:numPr>
          <w:ilvl w:val="0"/>
          <w:numId w:val="4"/>
        </w:numPr>
        <w:spacing w:line="406" w:lineRule="auto"/>
        <w:ind w:firstLine="351"/>
      </w:pPr>
      <w:r>
        <w:t xml:space="preserve">Thermodynamic/limiting potential analysis of the OER mechanistic pathway </w:t>
      </w:r>
      <w:proofErr w:type="spellStart"/>
      <w:r>
        <w:t>Volcanoplot</w:t>
      </w:r>
      <w:proofErr w:type="spellEnd"/>
      <w:r>
        <w:t>, limiting potentials, etc.</w:t>
      </w:r>
    </w:p>
    <w:p w14:paraId="0179DBD3" w14:textId="77777777" w:rsidR="004807BE" w:rsidRDefault="0013180D">
      <w:pPr>
        <w:spacing w:after="305" w:line="259" w:lineRule="auto"/>
        <w:ind w:left="-5"/>
        <w:jc w:val="left"/>
      </w:pPr>
      <w:r>
        <w:rPr>
          <w:b/>
          <w:sz w:val="34"/>
        </w:rPr>
        <w:t>References</w:t>
      </w:r>
    </w:p>
    <w:p w14:paraId="3AF2DC7C" w14:textId="77777777" w:rsidR="004807BE" w:rsidRDefault="0013180D">
      <w:pPr>
        <w:ind w:left="-5"/>
      </w:pPr>
      <w:r>
        <w:t xml:space="preserve">(1) Smith, A.; Smith, J. TEMP title. </w:t>
      </w:r>
      <w:r>
        <w:rPr>
          <w:b/>
        </w:rPr>
        <w:t>9999</w:t>
      </w:r>
      <w:r>
        <w:t xml:space="preserve">, </w:t>
      </w:r>
      <w:r>
        <w:rPr>
          <w:i/>
        </w:rPr>
        <w:t>1</w:t>
      </w:r>
      <w:r>
        <w:t>.</w:t>
      </w:r>
      <w:r>
        <w:br w:type="page"/>
      </w:r>
    </w:p>
    <w:p w14:paraId="120148AF" w14:textId="77777777" w:rsidR="004807BE" w:rsidRDefault="0013180D">
      <w:pPr>
        <w:pStyle w:val="Heading1"/>
        <w:spacing w:after="1"/>
        <w:ind w:left="-5"/>
      </w:pPr>
      <w:r>
        <w:lastRenderedPageBreak/>
        <w:t>Graphical TOC Entry</w:t>
      </w:r>
    </w:p>
    <w:p w14:paraId="564E1307" w14:textId="77777777" w:rsidR="004807BE" w:rsidRDefault="0013180D">
      <w:pPr>
        <w:spacing w:after="0" w:line="259" w:lineRule="auto"/>
        <w:ind w:left="2065" w:firstLine="0"/>
        <w:jc w:val="left"/>
      </w:pPr>
      <w:r>
        <w:rPr>
          <w:rFonts w:ascii="Calibri" w:eastAsia="Calibri" w:hAnsi="Calibri" w:cs="Calibri"/>
          <w:noProof/>
          <w:sz w:val="22"/>
        </w:rPr>
        <mc:AlternateContent>
          <mc:Choice Requires="wpg">
            <w:drawing>
              <wp:inline distT="0" distB="0" distL="0" distR="0" wp14:anchorId="161CD211" wp14:editId="6AB3945D">
                <wp:extent cx="3320976" cy="1340976"/>
                <wp:effectExtent l="0" t="0" r="0" b="0"/>
                <wp:docPr id="6549" name="Group 6549"/>
                <wp:cNvGraphicFramePr/>
                <a:graphic xmlns:a="http://schemas.openxmlformats.org/drawingml/2006/main">
                  <a:graphicData uri="http://schemas.microsoft.com/office/word/2010/wordprocessingGroup">
                    <wpg:wgp>
                      <wpg:cNvGrpSpPr/>
                      <wpg:grpSpPr>
                        <a:xfrm>
                          <a:off x="0" y="0"/>
                          <a:ext cx="3320976" cy="1340976"/>
                          <a:chOff x="0" y="0"/>
                          <a:chExt cx="3320976" cy="1340976"/>
                        </a:xfrm>
                      </wpg:grpSpPr>
                      <pic:pic xmlns:pic="http://schemas.openxmlformats.org/drawingml/2006/picture">
                        <pic:nvPicPr>
                          <pic:cNvPr id="474" name="Picture 474"/>
                          <pic:cNvPicPr/>
                        </pic:nvPicPr>
                        <pic:blipFill>
                          <a:blip r:embed="rId13"/>
                          <a:stretch>
                            <a:fillRect/>
                          </a:stretch>
                        </pic:blipFill>
                        <pic:spPr>
                          <a:xfrm>
                            <a:off x="999563" y="40492"/>
                            <a:ext cx="1321860" cy="1260000"/>
                          </a:xfrm>
                          <a:prstGeom prst="rect">
                            <a:avLst/>
                          </a:prstGeom>
                        </pic:spPr>
                      </pic:pic>
                      <wps:wsp>
                        <wps:cNvPr id="475" name="Shape 475"/>
                        <wps:cNvSpPr/>
                        <wps:spPr>
                          <a:xfrm>
                            <a:off x="0" y="0"/>
                            <a:ext cx="3320976" cy="1340976"/>
                          </a:xfrm>
                          <a:custGeom>
                            <a:avLst/>
                            <a:gdLst/>
                            <a:ahLst/>
                            <a:cxnLst/>
                            <a:rect l="0" t="0" r="0" b="0"/>
                            <a:pathLst>
                              <a:path w="3320976" h="1340976">
                                <a:moveTo>
                                  <a:pt x="0" y="1340976"/>
                                </a:moveTo>
                                <a:lnTo>
                                  <a:pt x="3320976" y="1340976"/>
                                </a:lnTo>
                                <a:lnTo>
                                  <a:pt x="3320976" y="0"/>
                                </a:lnTo>
                                <a:lnTo>
                                  <a:pt x="0" y="0"/>
                                </a:lnTo>
                                <a:close/>
                              </a:path>
                            </a:pathLst>
                          </a:custGeom>
                          <a:ln w="5061" cap="sq">
                            <a:miter lim="100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6549" style="width:261.494pt;height:105.589pt;mso-position-horizontal-relative:char;mso-position-vertical-relative:line" coordsize="33209,13409">
                <v:shape id="Picture 474" style="position:absolute;width:13218;height:12600;left:9995;top:404;" filled="f">
                  <v:imagedata r:id="rId14"/>
                </v:shape>
                <v:shape id="Shape 475" style="position:absolute;width:33209;height:13409;left:0;top:0;" coordsize="3320976,1340976" path="m0,1340976l3320976,1340976l3320976,0l0,0x">
                  <v:stroke weight="0.398506pt" endcap="square" joinstyle="miter" miterlimit="4" on="true" color="#000000"/>
                  <v:fill on="false" color="#000000" opacity="0"/>
                </v:shape>
              </v:group>
            </w:pict>
          </mc:Fallback>
        </mc:AlternateContent>
      </w:r>
    </w:p>
    <w:sectPr w:rsidR="004807BE">
      <w:footerReference w:type="even" r:id="rId15"/>
      <w:footerReference w:type="default" r:id="rId16"/>
      <w:footerReference w:type="first" r:id="rId17"/>
      <w:pgSz w:w="12240" w:h="15840"/>
      <w:pgMar w:top="1440" w:right="1440" w:bottom="1393" w:left="1440" w:header="720" w:footer="79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5B9F994" w14:textId="77777777" w:rsidR="0013180D" w:rsidRDefault="0013180D">
      <w:pPr>
        <w:spacing w:after="0" w:line="240" w:lineRule="auto"/>
      </w:pPr>
      <w:r>
        <w:separator/>
      </w:r>
    </w:p>
  </w:endnote>
  <w:endnote w:type="continuationSeparator" w:id="0">
    <w:p w14:paraId="6B00AC27" w14:textId="77777777" w:rsidR="0013180D" w:rsidRDefault="001318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B7EB35" w14:textId="77777777" w:rsidR="004807BE" w:rsidRDefault="0013180D">
    <w:pPr>
      <w:spacing w:after="0" w:line="259" w:lineRule="auto"/>
      <w:ind w:left="0" w:firstLine="0"/>
      <w:jc w:val="center"/>
    </w:pPr>
    <w:r>
      <w:fldChar w:fldCharType="begin"/>
    </w:r>
    <w:r>
      <w:instrText xml:space="preserve"> PAGE   \* MERGEFORMAT </w:instrText>
    </w:r>
    <w:r>
      <w:fldChar w:fldCharType="separate"/>
    </w:r>
    <w: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5F5228" w14:textId="77777777" w:rsidR="004807BE" w:rsidRDefault="0013180D">
    <w:pPr>
      <w:spacing w:after="0" w:line="259" w:lineRule="auto"/>
      <w:ind w:left="0" w:firstLine="0"/>
      <w:jc w:val="center"/>
    </w:pPr>
    <w:r>
      <w:fldChar w:fldCharType="begin"/>
    </w:r>
    <w:r>
      <w:instrText xml:space="preserve"> PAGE   \* MERGEFORMAT </w:instrText>
    </w:r>
    <w:r>
      <w:fldChar w:fldCharType="separate"/>
    </w:r>
    <w:r>
      <w:t>1</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B052DC" w14:textId="77777777" w:rsidR="004807BE" w:rsidRDefault="0013180D">
    <w:pPr>
      <w:spacing w:after="0" w:line="259" w:lineRule="auto"/>
      <w:ind w:left="0" w:firstLine="0"/>
      <w:jc w:val="center"/>
    </w:pPr>
    <w:r>
      <w:fldChar w:fldCharType="begin"/>
    </w:r>
    <w:r>
      <w:instrText xml:space="preserve"> PAGE   \* MERGEFORMAT </w:instrText>
    </w:r>
    <w:r>
      <w:fldChar w:fldCharType="separate"/>
    </w:r>
    <w: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75508B4" w14:textId="77777777" w:rsidR="0013180D" w:rsidRDefault="0013180D">
      <w:pPr>
        <w:spacing w:after="0" w:line="240" w:lineRule="auto"/>
      </w:pPr>
      <w:r>
        <w:separator/>
      </w:r>
    </w:p>
  </w:footnote>
  <w:footnote w:type="continuationSeparator" w:id="0">
    <w:p w14:paraId="318AC39E" w14:textId="77777777" w:rsidR="0013180D" w:rsidRDefault="0013180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461106"/>
    <w:multiLevelType w:val="hybridMultilevel"/>
    <w:tmpl w:val="95B47F48"/>
    <w:lvl w:ilvl="0" w:tplc="7EBED0B6">
      <w:start w:val="2"/>
      <w:numFmt w:val="chicago"/>
      <w:lvlText w:val="%1"/>
      <w:lvlJc w:val="left"/>
      <w:pPr>
        <w:ind w:left="19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511036A4">
      <w:start w:val="1"/>
      <w:numFmt w:val="lowerLetter"/>
      <w:lvlText w:val="%2"/>
      <w:lvlJc w:val="left"/>
      <w:pPr>
        <w:ind w:left="187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96BC4E00">
      <w:start w:val="1"/>
      <w:numFmt w:val="lowerRoman"/>
      <w:lvlText w:val="%3"/>
      <w:lvlJc w:val="left"/>
      <w:pPr>
        <w:ind w:left="259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C3E830D4">
      <w:start w:val="1"/>
      <w:numFmt w:val="decimal"/>
      <w:lvlText w:val="%4"/>
      <w:lvlJc w:val="left"/>
      <w:pPr>
        <w:ind w:left="331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9F5E8846">
      <w:start w:val="1"/>
      <w:numFmt w:val="lowerLetter"/>
      <w:lvlText w:val="%5"/>
      <w:lvlJc w:val="left"/>
      <w:pPr>
        <w:ind w:left="403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765621AA">
      <w:start w:val="1"/>
      <w:numFmt w:val="lowerRoman"/>
      <w:lvlText w:val="%6"/>
      <w:lvlJc w:val="left"/>
      <w:pPr>
        <w:ind w:left="475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F3384FCA">
      <w:start w:val="1"/>
      <w:numFmt w:val="decimal"/>
      <w:lvlText w:val="%7"/>
      <w:lvlJc w:val="left"/>
      <w:pPr>
        <w:ind w:left="547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805234C0">
      <w:start w:val="1"/>
      <w:numFmt w:val="lowerLetter"/>
      <w:lvlText w:val="%8"/>
      <w:lvlJc w:val="left"/>
      <w:pPr>
        <w:ind w:left="619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0FA2F5FC">
      <w:start w:val="1"/>
      <w:numFmt w:val="lowerRoman"/>
      <w:lvlText w:val="%9"/>
      <w:lvlJc w:val="left"/>
      <w:pPr>
        <w:ind w:left="691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2535191E"/>
    <w:multiLevelType w:val="hybridMultilevel"/>
    <w:tmpl w:val="8064EBFA"/>
    <w:lvl w:ilvl="0" w:tplc="8C563226">
      <w:start w:val="1"/>
      <w:numFmt w:val="decimal"/>
      <w:lvlText w:val="%1."/>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334682B0">
      <w:start w:val="1"/>
      <w:numFmt w:val="lowerLetter"/>
      <w:lvlText w:val="%2"/>
      <w:lvlJc w:val="left"/>
      <w:pPr>
        <w:ind w:left="136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3A903676">
      <w:start w:val="1"/>
      <w:numFmt w:val="lowerRoman"/>
      <w:lvlText w:val="%3"/>
      <w:lvlJc w:val="left"/>
      <w:pPr>
        <w:ind w:left="208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AA8E84C0">
      <w:start w:val="1"/>
      <w:numFmt w:val="decimal"/>
      <w:lvlText w:val="%4"/>
      <w:lvlJc w:val="left"/>
      <w:pPr>
        <w:ind w:left="280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41A004D2">
      <w:start w:val="1"/>
      <w:numFmt w:val="lowerLetter"/>
      <w:lvlText w:val="%5"/>
      <w:lvlJc w:val="left"/>
      <w:pPr>
        <w:ind w:left="352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5B7C0BB2">
      <w:start w:val="1"/>
      <w:numFmt w:val="lowerRoman"/>
      <w:lvlText w:val="%6"/>
      <w:lvlJc w:val="left"/>
      <w:pPr>
        <w:ind w:left="424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E58E29D4">
      <w:start w:val="1"/>
      <w:numFmt w:val="decimal"/>
      <w:lvlText w:val="%7"/>
      <w:lvlJc w:val="left"/>
      <w:pPr>
        <w:ind w:left="496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F224E0D4">
      <w:start w:val="1"/>
      <w:numFmt w:val="lowerLetter"/>
      <w:lvlText w:val="%8"/>
      <w:lvlJc w:val="left"/>
      <w:pPr>
        <w:ind w:left="568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DBFC0A2C">
      <w:start w:val="1"/>
      <w:numFmt w:val="lowerRoman"/>
      <w:lvlText w:val="%9"/>
      <w:lvlJc w:val="left"/>
      <w:pPr>
        <w:ind w:left="640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32342604"/>
    <w:multiLevelType w:val="hybridMultilevel"/>
    <w:tmpl w:val="6882D18C"/>
    <w:lvl w:ilvl="0" w:tplc="5F501C16">
      <w:start w:val="1"/>
      <w:numFmt w:val="bullet"/>
      <w:lvlText w:val="*"/>
      <w:lvlJc w:val="left"/>
      <w:pPr>
        <w:ind w:left="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DD989982">
      <w:start w:val="1"/>
      <w:numFmt w:val="bullet"/>
      <w:lvlText w:val="o"/>
      <w:lvlJc w:val="left"/>
      <w:pPr>
        <w:ind w:left="143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7B42FAE8">
      <w:start w:val="1"/>
      <w:numFmt w:val="bullet"/>
      <w:lvlText w:val="▪"/>
      <w:lvlJc w:val="left"/>
      <w:pPr>
        <w:ind w:left="215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35C2D3EE">
      <w:start w:val="1"/>
      <w:numFmt w:val="bullet"/>
      <w:lvlText w:val="•"/>
      <w:lvlJc w:val="left"/>
      <w:pPr>
        <w:ind w:left="287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D1A42200">
      <w:start w:val="1"/>
      <w:numFmt w:val="bullet"/>
      <w:lvlText w:val="o"/>
      <w:lvlJc w:val="left"/>
      <w:pPr>
        <w:ind w:left="359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C4BA911E">
      <w:start w:val="1"/>
      <w:numFmt w:val="bullet"/>
      <w:lvlText w:val="▪"/>
      <w:lvlJc w:val="left"/>
      <w:pPr>
        <w:ind w:left="431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A16072CC">
      <w:start w:val="1"/>
      <w:numFmt w:val="bullet"/>
      <w:lvlText w:val="•"/>
      <w:lvlJc w:val="left"/>
      <w:pPr>
        <w:ind w:left="503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8892D50A">
      <w:start w:val="1"/>
      <w:numFmt w:val="bullet"/>
      <w:lvlText w:val="o"/>
      <w:lvlJc w:val="left"/>
      <w:pPr>
        <w:ind w:left="575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6F34A4DC">
      <w:start w:val="1"/>
      <w:numFmt w:val="bullet"/>
      <w:lvlText w:val="▪"/>
      <w:lvlJc w:val="left"/>
      <w:pPr>
        <w:ind w:left="647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5AD262F4"/>
    <w:multiLevelType w:val="hybridMultilevel"/>
    <w:tmpl w:val="EAD23C0A"/>
    <w:lvl w:ilvl="0" w:tplc="CB925588">
      <w:start w:val="1"/>
      <w:numFmt w:val="bullet"/>
      <w:lvlText w:val="-"/>
      <w:lvlJc w:val="left"/>
      <w:pPr>
        <w:ind w:left="148"/>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9488D0B4">
      <w:start w:val="1"/>
      <w:numFmt w:val="bullet"/>
      <w:lvlText w:val="o"/>
      <w:lvlJc w:val="left"/>
      <w:pPr>
        <w:ind w:left="131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38CC4E7E">
      <w:start w:val="1"/>
      <w:numFmt w:val="bullet"/>
      <w:lvlText w:val="▪"/>
      <w:lvlJc w:val="left"/>
      <w:pPr>
        <w:ind w:left="203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977CF348">
      <w:start w:val="1"/>
      <w:numFmt w:val="bullet"/>
      <w:lvlText w:val="•"/>
      <w:lvlJc w:val="left"/>
      <w:pPr>
        <w:ind w:left="275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B888CAA2">
      <w:start w:val="1"/>
      <w:numFmt w:val="bullet"/>
      <w:lvlText w:val="o"/>
      <w:lvlJc w:val="left"/>
      <w:pPr>
        <w:ind w:left="347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4710A154">
      <w:start w:val="1"/>
      <w:numFmt w:val="bullet"/>
      <w:lvlText w:val="▪"/>
      <w:lvlJc w:val="left"/>
      <w:pPr>
        <w:ind w:left="419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87C4FC30">
      <w:start w:val="1"/>
      <w:numFmt w:val="bullet"/>
      <w:lvlText w:val="•"/>
      <w:lvlJc w:val="left"/>
      <w:pPr>
        <w:ind w:left="491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4A14761E">
      <w:start w:val="1"/>
      <w:numFmt w:val="bullet"/>
      <w:lvlText w:val="o"/>
      <w:lvlJc w:val="left"/>
      <w:pPr>
        <w:ind w:left="563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F36AB1E6">
      <w:start w:val="1"/>
      <w:numFmt w:val="bullet"/>
      <w:lvlText w:val="▪"/>
      <w:lvlJc w:val="left"/>
      <w:pPr>
        <w:ind w:left="635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num w:numId="1">
    <w:abstractNumId w:val="0"/>
  </w:num>
  <w:num w:numId="2">
    <w:abstractNumId w:val="1"/>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807BE"/>
    <w:rsid w:val="0013180D"/>
    <w:rsid w:val="004807BE"/>
    <w:rsid w:val="00833B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62D754"/>
  <w15:docId w15:val="{5FFD21F3-DAB0-405A-B512-88285179C3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 w:line="264" w:lineRule="auto"/>
      <w:ind w:left="10" w:hanging="10"/>
      <w:jc w:val="both"/>
    </w:pPr>
    <w:rPr>
      <w:rFonts w:ascii="Cambria" w:eastAsia="Cambria" w:hAnsi="Cambria" w:cs="Cambria"/>
      <w:color w:val="000000"/>
      <w:sz w:val="24"/>
    </w:rPr>
  </w:style>
  <w:style w:type="paragraph" w:styleId="Heading1">
    <w:name w:val="heading 1"/>
    <w:next w:val="Normal"/>
    <w:link w:val="Heading1Char"/>
    <w:uiPriority w:val="9"/>
    <w:qFormat/>
    <w:pPr>
      <w:keepNext/>
      <w:keepLines/>
      <w:spacing w:after="276"/>
      <w:ind w:left="10" w:hanging="10"/>
      <w:outlineLvl w:val="0"/>
    </w:pPr>
    <w:rPr>
      <w:rFonts w:ascii="Cambria" w:eastAsia="Cambria" w:hAnsi="Cambria" w:cs="Cambria"/>
      <w:b/>
      <w:color w:val="000000"/>
      <w:sz w:val="34"/>
    </w:rPr>
  </w:style>
  <w:style w:type="paragraph" w:styleId="Heading2">
    <w:name w:val="heading 2"/>
    <w:next w:val="Normal"/>
    <w:link w:val="Heading2Char"/>
    <w:uiPriority w:val="9"/>
    <w:unhideWhenUsed/>
    <w:qFormat/>
    <w:pPr>
      <w:keepNext/>
      <w:keepLines/>
      <w:spacing w:after="267"/>
      <w:ind w:left="10" w:hanging="10"/>
      <w:outlineLvl w:val="1"/>
    </w:pPr>
    <w:rPr>
      <w:rFonts w:ascii="Cambria" w:eastAsia="Cambria" w:hAnsi="Cambria" w:cs="Cambria"/>
      <w:b/>
      <w:color w:val="000000"/>
      <w:sz w:val="29"/>
    </w:rPr>
  </w:style>
  <w:style w:type="paragraph" w:styleId="Heading3">
    <w:name w:val="heading 3"/>
    <w:next w:val="Normal"/>
    <w:link w:val="Heading3Char"/>
    <w:uiPriority w:val="9"/>
    <w:unhideWhenUsed/>
    <w:qFormat/>
    <w:pPr>
      <w:keepNext/>
      <w:keepLines/>
      <w:spacing w:after="324" w:line="263" w:lineRule="auto"/>
      <w:ind w:left="10" w:hanging="10"/>
      <w:outlineLvl w:val="2"/>
    </w:pPr>
    <w:rPr>
      <w:rFonts w:ascii="Cambria" w:eastAsia="Cambria" w:hAnsi="Cambria" w:cs="Cambria"/>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Cambria" w:eastAsia="Cambria" w:hAnsi="Cambria" w:cs="Cambria"/>
      <w:b/>
      <w:color w:val="000000"/>
      <w:sz w:val="24"/>
    </w:rPr>
  </w:style>
  <w:style w:type="character" w:customStyle="1" w:styleId="Heading1Char">
    <w:name w:val="Heading 1 Char"/>
    <w:link w:val="Heading1"/>
    <w:rPr>
      <w:rFonts w:ascii="Cambria" w:eastAsia="Cambria" w:hAnsi="Cambria" w:cs="Cambria"/>
      <w:b/>
      <w:color w:val="000000"/>
      <w:sz w:val="34"/>
    </w:rPr>
  </w:style>
  <w:style w:type="character" w:customStyle="1" w:styleId="Heading2Char">
    <w:name w:val="Heading 2 Char"/>
    <w:link w:val="Heading2"/>
    <w:rPr>
      <w:rFonts w:ascii="Cambria" w:eastAsia="Cambria" w:hAnsi="Cambria" w:cs="Cambria"/>
      <w:b/>
      <w:color w:val="000000"/>
      <w:sz w:val="29"/>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footer" Target="footer3.xml"/><Relationship Id="rId2" Type="http://schemas.openxmlformats.org/officeDocument/2006/relationships/styles" Target="styles.xml"/><Relationship Id="rId16"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12</Pages>
  <Words>2068</Words>
  <Characters>11793</Characters>
  <Application>Microsoft Office Word</Application>
  <DocSecurity>0</DocSecurity>
  <Lines>98</Lines>
  <Paragraphs>27</Paragraphs>
  <ScaleCrop>false</ScaleCrop>
  <Company/>
  <LinksUpToDate>false</LinksUpToDate>
  <CharactersWithSpaces>13834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Raul Abram Flores Jr</dc:creator>
  <cp:keywords/>
  <cp:lastModifiedBy>Raul Abram Flores Jr</cp:lastModifiedBy>
  <cp:revision>2</cp:revision>
  <dcterms:created xsi:type="dcterms:W3CDTF">2019-07-22T07:18:00Z</dcterms:created>
  <dcterms:modified xsi:type="dcterms:W3CDTF">2019-07-22T07:18:00Z</dcterms:modified>
</cp:coreProperties>
</file>