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4F6AE" w14:textId="77777777" w:rsidR="003879A7" w:rsidRDefault="00FA75AB">
      <w:pPr>
        <w:spacing w:after="321" w:line="259" w:lineRule="auto"/>
        <w:ind w:left="0" w:firstLine="0"/>
        <w:jc w:val="left"/>
      </w:pPr>
      <w:r>
        <w:rPr>
          <w:rFonts w:ascii="Calibri" w:eastAsia="Calibri" w:hAnsi="Calibri" w:cs="Calibri"/>
          <w:sz w:val="41"/>
        </w:rPr>
        <w:t>Active Learning Discovery of Oxidized and Active</w:t>
      </w:r>
    </w:p>
    <w:p w14:paraId="22F868B9" w14:textId="77777777" w:rsidR="003879A7" w:rsidRDefault="00FA75AB">
      <w:pPr>
        <w:spacing w:after="419" w:line="259" w:lineRule="auto"/>
        <w:ind w:left="0" w:firstLine="0"/>
        <w:jc w:val="center"/>
      </w:pPr>
      <w:proofErr w:type="spellStart"/>
      <w:r>
        <w:rPr>
          <w:rFonts w:ascii="Calibri" w:eastAsia="Calibri" w:hAnsi="Calibri" w:cs="Calibri"/>
          <w:sz w:val="41"/>
        </w:rPr>
        <w:t>IrO</w:t>
      </w:r>
      <w:r>
        <w:rPr>
          <w:rFonts w:ascii="Calibri" w:eastAsia="Calibri" w:hAnsi="Calibri" w:cs="Calibri"/>
          <w:sz w:val="41"/>
          <w:vertAlign w:val="subscript"/>
        </w:rPr>
        <w:t>x</w:t>
      </w:r>
      <w:proofErr w:type="spellEnd"/>
      <w:r>
        <w:rPr>
          <w:rFonts w:ascii="Calibri" w:eastAsia="Calibri" w:hAnsi="Calibri" w:cs="Calibri"/>
          <w:sz w:val="41"/>
          <w:vertAlign w:val="subscript"/>
        </w:rPr>
        <w:t xml:space="preserve"> </w:t>
      </w:r>
      <w:r>
        <w:rPr>
          <w:rFonts w:ascii="Calibri" w:eastAsia="Calibri" w:hAnsi="Calibri" w:cs="Calibri"/>
          <w:sz w:val="41"/>
        </w:rPr>
        <w:t>Phases</w:t>
      </w:r>
    </w:p>
    <w:p w14:paraId="2ED6502F" w14:textId="77777777" w:rsidR="003879A7" w:rsidRDefault="00FA75AB">
      <w:pPr>
        <w:spacing w:after="288" w:line="259" w:lineRule="auto"/>
        <w:ind w:left="118" w:firstLine="0"/>
        <w:jc w:val="left"/>
      </w:pPr>
      <w:r>
        <w:rPr>
          <w:rFonts w:ascii="Calibri" w:eastAsia="Calibri" w:hAnsi="Calibri" w:cs="Calibri"/>
          <w:sz w:val="29"/>
        </w:rPr>
        <w:t xml:space="preserve">Raul A. </w:t>
      </w:r>
      <w:proofErr w:type="gramStart"/>
      <w:r>
        <w:rPr>
          <w:rFonts w:ascii="Calibri" w:eastAsia="Calibri" w:hAnsi="Calibri" w:cs="Calibri"/>
          <w:sz w:val="29"/>
        </w:rPr>
        <w:t>Flores,</w:t>
      </w:r>
      <w:r>
        <w:rPr>
          <w:sz w:val="29"/>
          <w:vertAlign w:val="superscript"/>
        </w:rPr>
        <w:t>†</w:t>
      </w:r>
      <w:proofErr w:type="gramEnd"/>
      <w:r>
        <w:rPr>
          <w:sz w:val="29"/>
          <w:vertAlign w:val="superscript"/>
        </w:rPr>
        <w:t xml:space="preserve"> </w:t>
      </w:r>
      <w:r>
        <w:rPr>
          <w:rFonts w:ascii="Calibri" w:eastAsia="Calibri" w:hAnsi="Calibri" w:cs="Calibri"/>
          <w:sz w:val="29"/>
        </w:rPr>
        <w:t xml:space="preserve">Christopher </w:t>
      </w:r>
      <w:proofErr w:type="spellStart"/>
      <w:r>
        <w:rPr>
          <w:rFonts w:ascii="Calibri" w:eastAsia="Calibri" w:hAnsi="Calibri" w:cs="Calibri"/>
          <w:sz w:val="29"/>
        </w:rPr>
        <w:t>Paolucci</w:t>
      </w:r>
      <w:proofErr w:type="spellEnd"/>
      <w:r>
        <w:rPr>
          <w:rFonts w:ascii="Calibri" w:eastAsia="Calibri" w:hAnsi="Calibri" w:cs="Calibri"/>
          <w:sz w:val="29"/>
        </w:rPr>
        <w:t>,</w:t>
      </w:r>
      <w:r>
        <w:rPr>
          <w:sz w:val="29"/>
          <w:vertAlign w:val="superscript"/>
        </w:rPr>
        <w:t xml:space="preserve">‡ </w:t>
      </w:r>
      <w:r>
        <w:rPr>
          <w:rFonts w:ascii="Calibri" w:eastAsia="Calibri" w:hAnsi="Calibri" w:cs="Calibri"/>
          <w:sz w:val="29"/>
        </w:rPr>
        <w:t>Ankit Jain,</w:t>
      </w:r>
      <w:r>
        <w:rPr>
          <w:sz w:val="29"/>
          <w:vertAlign w:val="superscript"/>
        </w:rPr>
        <w:t xml:space="preserve">¶ </w:t>
      </w:r>
      <w:r>
        <w:rPr>
          <w:rFonts w:ascii="Calibri" w:eastAsia="Calibri" w:hAnsi="Calibri" w:cs="Calibri"/>
          <w:sz w:val="29"/>
        </w:rPr>
        <w:t>Kirsten T. Winther,</w:t>
      </w:r>
      <w:r>
        <w:rPr>
          <w:sz w:val="29"/>
          <w:vertAlign w:val="superscript"/>
        </w:rPr>
        <w:t xml:space="preserve">† </w:t>
      </w:r>
      <w:r>
        <w:rPr>
          <w:rFonts w:ascii="Calibri" w:eastAsia="Calibri" w:hAnsi="Calibri" w:cs="Calibri"/>
          <w:sz w:val="29"/>
        </w:rPr>
        <w:t>Jose</w:t>
      </w:r>
    </w:p>
    <w:p w14:paraId="6ECEDFC8" w14:textId="77777777" w:rsidR="003879A7" w:rsidRDefault="00FA75AB">
      <w:pPr>
        <w:spacing w:after="197" w:line="439" w:lineRule="auto"/>
        <w:ind w:left="0" w:firstLine="0"/>
        <w:jc w:val="center"/>
      </w:pPr>
      <w:r>
        <w:rPr>
          <w:rFonts w:ascii="Calibri" w:eastAsia="Calibri" w:hAnsi="Calibri" w:cs="Calibri"/>
          <w:sz w:val="29"/>
        </w:rPr>
        <w:t xml:space="preserve">Antonio Garrido </w:t>
      </w:r>
      <w:proofErr w:type="gramStart"/>
      <w:r>
        <w:rPr>
          <w:rFonts w:ascii="Calibri" w:eastAsia="Calibri" w:hAnsi="Calibri" w:cs="Calibri"/>
          <w:sz w:val="29"/>
        </w:rPr>
        <w:t>Torres,</w:t>
      </w:r>
      <w:r>
        <w:rPr>
          <w:sz w:val="29"/>
          <w:vertAlign w:val="superscript"/>
        </w:rPr>
        <w:t>†</w:t>
      </w:r>
      <w:proofErr w:type="gramEnd"/>
      <w:r>
        <w:rPr>
          <w:sz w:val="29"/>
          <w:vertAlign w:val="superscript"/>
        </w:rPr>
        <w:t xml:space="preserve"> </w:t>
      </w:r>
      <w:proofErr w:type="spellStart"/>
      <w:r>
        <w:rPr>
          <w:rFonts w:ascii="Calibri" w:eastAsia="Calibri" w:hAnsi="Calibri" w:cs="Calibri"/>
          <w:sz w:val="29"/>
        </w:rPr>
        <w:t>Muratahan</w:t>
      </w:r>
      <w:proofErr w:type="spellEnd"/>
      <w:r>
        <w:rPr>
          <w:rFonts w:ascii="Calibri" w:eastAsia="Calibri" w:hAnsi="Calibri" w:cs="Calibri"/>
          <w:sz w:val="29"/>
        </w:rPr>
        <w:t xml:space="preserve"> </w:t>
      </w:r>
      <w:proofErr w:type="spellStart"/>
      <w:r>
        <w:rPr>
          <w:rFonts w:ascii="Calibri" w:eastAsia="Calibri" w:hAnsi="Calibri" w:cs="Calibri"/>
          <w:sz w:val="29"/>
        </w:rPr>
        <w:t>Aykol</w:t>
      </w:r>
      <w:proofErr w:type="spellEnd"/>
      <w:r>
        <w:rPr>
          <w:rFonts w:ascii="Calibri" w:eastAsia="Calibri" w:hAnsi="Calibri" w:cs="Calibri"/>
          <w:sz w:val="29"/>
        </w:rPr>
        <w:t>,</w:t>
      </w:r>
      <w:r>
        <w:rPr>
          <w:sz w:val="29"/>
          <w:vertAlign w:val="superscript"/>
        </w:rPr>
        <w:t xml:space="preserve">§ </w:t>
      </w:r>
      <w:r>
        <w:rPr>
          <w:rFonts w:ascii="Calibri" w:eastAsia="Calibri" w:hAnsi="Calibri" w:cs="Calibri"/>
          <w:sz w:val="29"/>
        </w:rPr>
        <w:t xml:space="preserve">Jens K. </w:t>
      </w:r>
      <w:proofErr w:type="spellStart"/>
      <w:r>
        <w:rPr>
          <w:rFonts w:ascii="Calibri" w:eastAsia="Calibri" w:hAnsi="Calibri" w:cs="Calibri"/>
          <w:sz w:val="29"/>
        </w:rPr>
        <w:t>Nørskov</w:t>
      </w:r>
      <w:proofErr w:type="spellEnd"/>
      <w:r>
        <w:rPr>
          <w:rFonts w:ascii="Calibri" w:eastAsia="Calibri" w:hAnsi="Calibri" w:cs="Calibri"/>
          <w:sz w:val="29"/>
        </w:rPr>
        <w:t>,</w:t>
      </w:r>
      <w:r>
        <w:rPr>
          <w:sz w:val="29"/>
          <w:vertAlign w:val="superscript"/>
        </w:rPr>
        <w:t xml:space="preserve">¶ </w:t>
      </w:r>
      <w:r>
        <w:rPr>
          <w:rFonts w:ascii="Calibri" w:eastAsia="Calibri" w:hAnsi="Calibri" w:cs="Calibri"/>
          <w:sz w:val="29"/>
        </w:rPr>
        <w:t xml:space="preserve">Michal </w:t>
      </w:r>
      <w:proofErr w:type="spellStart"/>
      <w:r>
        <w:rPr>
          <w:rFonts w:ascii="Calibri" w:eastAsia="Calibri" w:hAnsi="Calibri" w:cs="Calibri"/>
          <w:sz w:val="29"/>
        </w:rPr>
        <w:t>Bajdich</w:t>
      </w:r>
      <w:proofErr w:type="spellEnd"/>
      <w:r>
        <w:rPr>
          <w:rFonts w:ascii="Calibri" w:eastAsia="Calibri" w:hAnsi="Calibri" w:cs="Calibri"/>
          <w:sz w:val="29"/>
        </w:rPr>
        <w:t>,</w:t>
      </w:r>
      <w:r>
        <w:rPr>
          <w:sz w:val="29"/>
          <w:vertAlign w:val="superscript"/>
        </w:rPr>
        <w:t>∗</w:t>
      </w:r>
      <w:r>
        <w:rPr>
          <w:rFonts w:ascii="Calibri" w:eastAsia="Calibri" w:hAnsi="Calibri" w:cs="Calibri"/>
          <w:sz w:val="29"/>
          <w:vertAlign w:val="superscript"/>
        </w:rPr>
        <w:t>,</w:t>
      </w:r>
      <w:r>
        <w:rPr>
          <w:sz w:val="29"/>
          <w:vertAlign w:val="superscript"/>
        </w:rPr>
        <w:t xml:space="preserve">k </w:t>
      </w:r>
      <w:r>
        <w:rPr>
          <w:rFonts w:ascii="Calibri" w:eastAsia="Calibri" w:hAnsi="Calibri" w:cs="Calibri"/>
          <w:sz w:val="29"/>
        </w:rPr>
        <w:t xml:space="preserve">and Thomas </w:t>
      </w:r>
      <w:proofErr w:type="spellStart"/>
      <w:r>
        <w:rPr>
          <w:rFonts w:ascii="Calibri" w:eastAsia="Calibri" w:hAnsi="Calibri" w:cs="Calibri"/>
          <w:sz w:val="29"/>
        </w:rPr>
        <w:t>Bligaard</w:t>
      </w:r>
      <w:r>
        <w:rPr>
          <w:sz w:val="29"/>
          <w:vertAlign w:val="superscript"/>
        </w:rPr>
        <w:t>∗</w:t>
      </w:r>
      <w:r>
        <w:rPr>
          <w:rFonts w:ascii="Calibri" w:eastAsia="Calibri" w:hAnsi="Calibri" w:cs="Calibri"/>
          <w:sz w:val="29"/>
          <w:vertAlign w:val="superscript"/>
        </w:rPr>
        <w:t>,</w:t>
      </w:r>
      <w:r>
        <w:rPr>
          <w:sz w:val="29"/>
          <w:vertAlign w:val="superscript"/>
        </w:rPr>
        <w:t>k</w:t>
      </w:r>
      <w:proofErr w:type="spellEnd"/>
    </w:p>
    <w:p w14:paraId="116BEB27" w14:textId="77777777" w:rsidR="003879A7" w:rsidRDefault="00FA75AB">
      <w:pPr>
        <w:numPr>
          <w:ilvl w:val="0"/>
          <w:numId w:val="1"/>
        </w:numPr>
        <w:spacing w:after="179" w:line="265" w:lineRule="auto"/>
        <w:ind w:hanging="190"/>
        <w:jc w:val="center"/>
      </w:pPr>
      <w:r>
        <w:rPr>
          <w:i/>
        </w:rPr>
        <w:t>SUNCAT Center for Interface Science and Catalysis, Department of Chemical</w:t>
      </w:r>
    </w:p>
    <w:p w14:paraId="7428F56E" w14:textId="77777777" w:rsidR="003879A7" w:rsidRDefault="00FA75AB">
      <w:pPr>
        <w:spacing w:after="179" w:line="265" w:lineRule="auto"/>
        <w:jc w:val="center"/>
      </w:pPr>
      <w:r>
        <w:rPr>
          <w:i/>
        </w:rPr>
        <w:t>Engineering, Stanford University, Stanford 94305, California, USA</w:t>
      </w:r>
    </w:p>
    <w:p w14:paraId="625C7AFD" w14:textId="77777777" w:rsidR="003879A7" w:rsidRDefault="00FA75AB">
      <w:pPr>
        <w:numPr>
          <w:ilvl w:val="0"/>
          <w:numId w:val="1"/>
        </w:numPr>
        <w:spacing w:after="185" w:line="259" w:lineRule="auto"/>
        <w:ind w:hanging="190"/>
        <w:jc w:val="center"/>
      </w:pPr>
      <w:r>
        <w:rPr>
          <w:i/>
        </w:rPr>
        <w:t>Department of Chemical Engineering, University of Virginia, Charlottesville, Virginia</w:t>
      </w:r>
    </w:p>
    <w:p w14:paraId="10E729D5" w14:textId="77777777" w:rsidR="003879A7" w:rsidRDefault="00FA75AB">
      <w:pPr>
        <w:spacing w:after="179" w:line="265" w:lineRule="auto"/>
        <w:jc w:val="center"/>
      </w:pPr>
      <w:r>
        <w:rPr>
          <w:i/>
        </w:rPr>
        <w:t xml:space="preserve">22903, </w:t>
      </w:r>
      <w:r>
        <w:rPr>
          <w:i/>
        </w:rPr>
        <w:t>United States</w:t>
      </w:r>
    </w:p>
    <w:p w14:paraId="0F3C95C4" w14:textId="77777777" w:rsidR="003879A7" w:rsidRDefault="00FA75AB">
      <w:pPr>
        <w:spacing w:after="208" w:line="265" w:lineRule="auto"/>
        <w:jc w:val="center"/>
      </w:pPr>
      <w:r>
        <w:t xml:space="preserve">¶ </w:t>
      </w:r>
      <w:r>
        <w:rPr>
          <w:i/>
        </w:rPr>
        <w:t>Department of Physics, Technical University of Denmark, Lyngby, Denmark</w:t>
      </w:r>
    </w:p>
    <w:p w14:paraId="224A3B53" w14:textId="77777777" w:rsidR="003879A7" w:rsidRDefault="00FA75AB">
      <w:pPr>
        <w:numPr>
          <w:ilvl w:val="0"/>
          <w:numId w:val="1"/>
        </w:numPr>
        <w:spacing w:after="208" w:line="265" w:lineRule="auto"/>
        <w:ind w:hanging="190"/>
        <w:jc w:val="center"/>
      </w:pPr>
      <w:r>
        <w:rPr>
          <w:i/>
        </w:rPr>
        <w:t>Toyota Research Institute, Los Altos, CA 94022, USA</w:t>
      </w:r>
    </w:p>
    <w:p w14:paraId="14D29EB2" w14:textId="77777777" w:rsidR="003879A7" w:rsidRDefault="00FA75AB">
      <w:pPr>
        <w:spacing w:after="179" w:line="265" w:lineRule="auto"/>
        <w:jc w:val="center"/>
      </w:pPr>
      <w:r>
        <w:t xml:space="preserve">k </w:t>
      </w:r>
      <w:r>
        <w:rPr>
          <w:i/>
        </w:rPr>
        <w:t>SUNCAT Center for Interface Science and Catalysis, SLAC National Accelerator</w:t>
      </w:r>
    </w:p>
    <w:p w14:paraId="6F1EC756" w14:textId="77777777" w:rsidR="003879A7" w:rsidRDefault="00FA75AB">
      <w:pPr>
        <w:spacing w:after="401" w:line="265" w:lineRule="auto"/>
        <w:jc w:val="center"/>
      </w:pPr>
      <w:r>
        <w:rPr>
          <w:i/>
        </w:rPr>
        <w:t>Laboratory, Menlo Park, CA 94025, USA</w:t>
      </w:r>
    </w:p>
    <w:p w14:paraId="0AD222AF" w14:textId="77777777" w:rsidR="003879A7" w:rsidRDefault="00FA75AB">
      <w:pPr>
        <w:spacing w:after="465" w:line="259" w:lineRule="auto"/>
        <w:ind w:left="0" w:firstLine="0"/>
        <w:jc w:val="center"/>
      </w:pPr>
      <w:r>
        <w:rPr>
          <w:rFonts w:ascii="Calibri" w:eastAsia="Calibri" w:hAnsi="Calibri" w:cs="Calibri"/>
        </w:rPr>
        <w:t>E-mail: bajdich@slac.stanford.edu; bligaard@stanford.edu</w:t>
      </w:r>
    </w:p>
    <w:p w14:paraId="3A89518A" w14:textId="77777777" w:rsidR="003879A7" w:rsidRDefault="00FA75AB">
      <w:pPr>
        <w:pStyle w:val="Heading1"/>
        <w:spacing w:after="256" w:line="259" w:lineRule="auto"/>
        <w:ind w:left="0" w:firstLine="0"/>
        <w:jc w:val="center"/>
      </w:pPr>
      <w:r>
        <w:rPr>
          <w:sz w:val="22"/>
        </w:rPr>
        <w:t>Abstract</w:t>
      </w:r>
    </w:p>
    <w:p w14:paraId="4109FD4A" w14:textId="77777777" w:rsidR="003879A7" w:rsidRDefault="00FA75AB">
      <w:pPr>
        <w:spacing w:after="233" w:line="432" w:lineRule="auto"/>
        <w:ind w:left="570" w:right="570" w:firstLine="327"/>
      </w:pPr>
      <w:r>
        <w:rPr>
          <w:sz w:val="22"/>
        </w:rPr>
        <w:t xml:space="preserve">Machine learning (ML) has revolutionized </w:t>
      </w:r>
      <w:proofErr w:type="gramStart"/>
      <w:r>
        <w:rPr>
          <w:sz w:val="22"/>
        </w:rPr>
        <w:t>a number of</w:t>
      </w:r>
      <w:proofErr w:type="gramEnd"/>
      <w:r>
        <w:rPr>
          <w:sz w:val="22"/>
        </w:rPr>
        <w:t xml:space="preserve"> scientific fields where it is possible to train models that are flexible enough to regress to data </w:t>
      </w:r>
      <w:r>
        <w:rPr>
          <w:sz w:val="22"/>
        </w:rPr>
        <w:t xml:space="preserve">of interest while maintaining predictive power. Particular impact of ML surrogate models to have been in the field of materials science, where the </w:t>
      </w:r>
      <w:proofErr w:type="gramStart"/>
      <w:r>
        <w:rPr>
          <w:sz w:val="22"/>
        </w:rPr>
        <w:t>bottle-neck</w:t>
      </w:r>
      <w:proofErr w:type="gramEnd"/>
      <w:r>
        <w:rPr>
          <w:sz w:val="22"/>
        </w:rPr>
        <w:t xml:space="preserve"> imposed by the computational expense of Density Functional Theory (DFT) when applied to </w:t>
      </w:r>
      <w:proofErr w:type="spellStart"/>
      <w:r>
        <w:rPr>
          <w:sz w:val="22"/>
        </w:rPr>
        <w:t>to</w:t>
      </w:r>
      <w:proofErr w:type="spellEnd"/>
      <w:r>
        <w:rPr>
          <w:sz w:val="22"/>
        </w:rPr>
        <w:t xml:space="preserve"> vast </w:t>
      </w:r>
      <w:proofErr w:type="spellStart"/>
      <w:r>
        <w:rPr>
          <w:sz w:val="22"/>
        </w:rPr>
        <w:t>c</w:t>
      </w:r>
      <w:r>
        <w:rPr>
          <w:sz w:val="22"/>
        </w:rPr>
        <w:t>ompositionspace</w:t>
      </w:r>
      <w:proofErr w:type="spellEnd"/>
      <w:r>
        <w:rPr>
          <w:sz w:val="22"/>
        </w:rPr>
        <w:t xml:space="preserve"> of bulk systems has been addressed. However, surrogate model applications to the structural space of bulk-crystals, i.e. polymorphs, are very scarce due to </w:t>
      </w:r>
      <w:r>
        <w:rPr>
          <w:b/>
          <w:sz w:val="22"/>
        </w:rPr>
        <w:t>XX</w:t>
      </w:r>
      <w:r>
        <w:rPr>
          <w:sz w:val="22"/>
        </w:rPr>
        <w:t>.</w:t>
      </w:r>
    </w:p>
    <w:p w14:paraId="3746D7C6" w14:textId="77777777" w:rsidR="003879A7" w:rsidRDefault="00FA75AB">
      <w:pPr>
        <w:spacing w:after="620" w:line="432" w:lineRule="auto"/>
        <w:ind w:left="580" w:right="570"/>
      </w:pPr>
      <w:r>
        <w:rPr>
          <w:sz w:val="22"/>
        </w:rPr>
        <w:lastRenderedPageBreak/>
        <w:t>Herein, we report on an active learning ML methodology that searches for the most stable crystal structures of IrO2 and IrO3 by utilizing surrogate models which optimize within a candidate data set of crystal motifs sourced from publicly available material</w:t>
      </w:r>
      <w:r>
        <w:rPr>
          <w:sz w:val="22"/>
        </w:rPr>
        <w:t>s databases. We demonstrate the efficacy of this AL-accelerated methodology by discovering 70 percent of the 10 most stable crystal structures for IrO3 and IrO3 with less than 50 DFT calculations. For IrO</w:t>
      </w:r>
      <w:r>
        <w:rPr>
          <w:sz w:val="22"/>
          <w:vertAlign w:val="subscript"/>
        </w:rPr>
        <w:t>2</w:t>
      </w:r>
      <w:r>
        <w:rPr>
          <w:sz w:val="22"/>
        </w:rPr>
        <w:t xml:space="preserve">, we show that while the bulk-rutile system is the </w:t>
      </w:r>
      <w:r>
        <w:rPr>
          <w:sz w:val="22"/>
        </w:rPr>
        <w:t xml:space="preserve">globally stable polymorph, while more than </w:t>
      </w:r>
      <w:r>
        <w:rPr>
          <w:b/>
          <w:sz w:val="22"/>
        </w:rPr>
        <w:t xml:space="preserve">XX </w:t>
      </w:r>
      <w:r>
        <w:rPr>
          <w:sz w:val="22"/>
        </w:rPr>
        <w:t>unique structures is discovered within 0.2 eV per atom. For IrO</w:t>
      </w:r>
      <w:r>
        <w:rPr>
          <w:sz w:val="22"/>
          <w:vertAlign w:val="subscript"/>
        </w:rPr>
        <w:t>3</w:t>
      </w:r>
      <w:r>
        <w:rPr>
          <w:sz w:val="22"/>
        </w:rPr>
        <w:t xml:space="preserve">, we discover </w:t>
      </w:r>
      <w:r>
        <w:rPr>
          <w:b/>
          <w:sz w:val="22"/>
        </w:rPr>
        <w:t xml:space="preserve">XX </w:t>
      </w:r>
      <w:r>
        <w:rPr>
          <w:sz w:val="22"/>
        </w:rPr>
        <w:t xml:space="preserve">previously unknown polymorphs, e.g., </w:t>
      </w:r>
      <w:r>
        <w:rPr>
          <w:i/>
          <w:sz w:val="22"/>
        </w:rPr>
        <w:t>α</w:t>
      </w:r>
      <w:r>
        <w:rPr>
          <w:sz w:val="22"/>
        </w:rPr>
        <w:t>−</w:t>
      </w:r>
      <w:r>
        <w:rPr>
          <w:sz w:val="22"/>
        </w:rPr>
        <w:t xml:space="preserve"> AlF</w:t>
      </w:r>
      <w:r>
        <w:rPr>
          <w:sz w:val="22"/>
          <w:vertAlign w:val="subscript"/>
        </w:rPr>
        <w:t xml:space="preserve">3 </w:t>
      </w:r>
      <w:r>
        <w:rPr>
          <w:sz w:val="22"/>
        </w:rPr>
        <w:t>type and rutile-like IrO</w:t>
      </w:r>
      <w:r>
        <w:rPr>
          <w:sz w:val="22"/>
          <w:vertAlign w:val="subscript"/>
        </w:rPr>
        <w:t xml:space="preserve">3 </w:t>
      </w:r>
      <w:r>
        <w:rPr>
          <w:sz w:val="22"/>
        </w:rPr>
        <w:t>with stabilities lower than 0.2 per atom than anything kno</w:t>
      </w:r>
      <w:r>
        <w:rPr>
          <w:sz w:val="22"/>
        </w:rPr>
        <w:t xml:space="preserve">wn to date. With these results as inputs, we construct a new bulk </w:t>
      </w:r>
      <w:proofErr w:type="spellStart"/>
      <w:r>
        <w:rPr>
          <w:sz w:val="22"/>
        </w:rPr>
        <w:t>Pourbaix</w:t>
      </w:r>
      <w:proofErr w:type="spellEnd"/>
      <w:r>
        <w:rPr>
          <w:sz w:val="22"/>
        </w:rPr>
        <w:t xml:space="preserve"> diagram of the Ir-H</w:t>
      </w:r>
      <w:r>
        <w:rPr>
          <w:sz w:val="22"/>
          <w:vertAlign w:val="subscript"/>
        </w:rPr>
        <w:t>2</w:t>
      </w:r>
      <w:r>
        <w:rPr>
          <w:sz w:val="22"/>
        </w:rPr>
        <w:t>O system. We computationally test the proficiency of these phases towards oxygen-evolution reaction and find that the above stable IrO</w:t>
      </w:r>
      <w:r>
        <w:rPr>
          <w:sz w:val="22"/>
          <w:vertAlign w:val="subscript"/>
        </w:rPr>
        <w:t xml:space="preserve">3 </w:t>
      </w:r>
      <w:r>
        <w:rPr>
          <w:sz w:val="22"/>
        </w:rPr>
        <w:t>polymorphs have much high</w:t>
      </w:r>
      <w:r>
        <w:rPr>
          <w:sz w:val="22"/>
        </w:rPr>
        <w:t>er activity that any IrO</w:t>
      </w:r>
      <w:r>
        <w:rPr>
          <w:sz w:val="22"/>
          <w:vertAlign w:val="subscript"/>
        </w:rPr>
        <w:t>2</w:t>
      </w:r>
      <w:r>
        <w:rPr>
          <w:sz w:val="22"/>
        </w:rPr>
        <w:t xml:space="preserve">. This work </w:t>
      </w:r>
      <w:proofErr w:type="gramStart"/>
      <w:r>
        <w:rPr>
          <w:sz w:val="22"/>
        </w:rPr>
        <w:t>opens up</w:t>
      </w:r>
      <w:proofErr w:type="gramEnd"/>
      <w:r>
        <w:rPr>
          <w:sz w:val="22"/>
        </w:rPr>
        <w:t xml:space="preserve"> an opportunity to materials/catalysts structural discovery on unprecedented scale.</w:t>
      </w:r>
    </w:p>
    <w:p w14:paraId="33D0A33E" w14:textId="77777777" w:rsidR="003879A7" w:rsidRDefault="00FA75AB">
      <w:pPr>
        <w:pStyle w:val="Heading1"/>
        <w:ind w:left="-5"/>
      </w:pPr>
      <w:r>
        <w:t>Introduction</w:t>
      </w:r>
    </w:p>
    <w:p w14:paraId="661352F8" w14:textId="77777777" w:rsidR="003879A7" w:rsidRDefault="00FA75AB">
      <w:pPr>
        <w:ind w:left="-5"/>
      </w:pPr>
      <w:r>
        <w:t>Predicting the thermodynamically favorable crystal structures for an arbitrary inorganic system remains a challeng</w:t>
      </w:r>
      <w:r>
        <w:t>ing problem in computational material science. When simulations are used to guide the search for new materials, the stable and meta-stable crystal structures, i.e. polymorphs, above the convex hull of stability must be known in order to predict the materia</w:t>
      </w:r>
      <w:r>
        <w:t>l properties. Although there have been numerous examples in recent years of machine learning algorithms applied towards the prediction of formation energies of large ab-initio data sets, these data sets are biased towards common structures and varying comp</w:t>
      </w:r>
      <w:r>
        <w:t xml:space="preserve">osition </w:t>
      </w:r>
      <w:proofErr w:type="gramStart"/>
      <w:r>
        <w:t>space .</w:t>
      </w:r>
      <w:proofErr w:type="gramEnd"/>
      <w:r>
        <w:t xml:space="preserve"> For example, roughly half the entries (˜200,000) in The Open Quantum Materials Database (OQMD) correspond to ternary-alloy combinations in the same close-packed cubic structure. As such, these efforts have been primarily concerned with the </w:t>
      </w:r>
      <w:r>
        <w:t xml:space="preserve">enumeration of composition (elemental identity and stoichiometries) and less so with the </w:t>
      </w:r>
      <w:r>
        <w:lastRenderedPageBreak/>
        <w:t>exploration of structural diversity. The task of finding globally/locally stable crystal structures is equivalent to performing a global optimization (GO) routine with</w:t>
      </w:r>
      <w:r>
        <w:t xml:space="preserve">in the highly dimensional potential energy surface (PES). Traditional approaches, such as simulated annealing, are only tractable for the </w:t>
      </w:r>
      <w:proofErr w:type="gramStart"/>
      <w:r>
        <w:t>most simple</w:t>
      </w:r>
      <w:proofErr w:type="gramEnd"/>
      <w:r>
        <w:t xml:space="preserve"> systems, such as metallic crystals which tend to adopt highly symmetric close-packed configurations, but i</w:t>
      </w:r>
      <w:r>
        <w:t>s less suited for more complex materials. For instance, the class of structurally diverse metal-oxides, an important class of materials which tend to organize themselves into well-defined local coordination environments (octahedral, tetrahedral, etc.) whic</w:t>
      </w:r>
      <w:r>
        <w:t xml:space="preserve">h can assemble in a large variety of configurations with long-range order. In the past, various groups have put forth methodologies to address the </w:t>
      </w:r>
      <w:proofErr w:type="spellStart"/>
      <w:r>
        <w:t>structuraldiversity</w:t>
      </w:r>
      <w:proofErr w:type="spellEnd"/>
      <w:r>
        <w:t xml:space="preserve"> problem using computation for the MnO2 and </w:t>
      </w:r>
      <w:proofErr w:type="spellStart"/>
      <w:r>
        <w:t>VOx</w:t>
      </w:r>
      <w:proofErr w:type="spellEnd"/>
      <w:r>
        <w:t xml:space="preserve"> polymorph spaces, but most of these method</w:t>
      </w:r>
      <w:r>
        <w:t>ologies are limited by the fact that they are operating within the highly intractable/dimensional PES. Here we report on a crystal structure discovery algorithm that leverages machine learning surrogate models and an active learning framework to accelerate</w:t>
      </w:r>
      <w:r>
        <w:t xml:space="preserve"> the discovery of novel crystal structures at fixed composition. The algorithm avoids operating in the highly dimensional 3</w:t>
      </w:r>
      <w:r>
        <w:rPr>
          <w:i/>
        </w:rPr>
        <w:t>N</w:t>
      </w:r>
      <w:r>
        <w:t>-space by leveraging nature’s propensity for symmetry by preparing data sets with a large degree of structural diversity at fixed co</w:t>
      </w:r>
      <w:r>
        <w:t>mposition.</w:t>
      </w:r>
    </w:p>
    <w:p w14:paraId="0E62DEF2" w14:textId="77777777" w:rsidR="003879A7" w:rsidRDefault="00FA75AB">
      <w:pPr>
        <w:ind w:left="-15" w:firstLine="351"/>
      </w:pPr>
      <w:r>
        <w:t>Herein, we focus on the chemical space of iridium oxide polymorphs, an important class of materials with applications in electrochemistry. In particular, rutile-IrO</w:t>
      </w:r>
      <w:r>
        <w:rPr>
          <w:vertAlign w:val="subscript"/>
        </w:rPr>
        <w:t xml:space="preserve">2 </w:t>
      </w:r>
      <w:r>
        <w:t>(</w:t>
      </w:r>
      <w:proofErr w:type="spellStart"/>
      <w:proofErr w:type="gramStart"/>
      <w:r>
        <w:t>Ir</w:t>
      </w:r>
      <w:proofErr w:type="spellEnd"/>
      <w:r>
        <w:t>[</w:t>
      </w:r>
      <w:proofErr w:type="gramEnd"/>
      <w:r>
        <w:t xml:space="preserve">4+] oxidation state), is the most stable form of iridium-oxide at standard </w:t>
      </w:r>
      <w:r>
        <w:t xml:space="preserve">conditions, and is a </w:t>
      </w:r>
      <w:proofErr w:type="spellStart"/>
      <w:r>
        <w:t>well studied</w:t>
      </w:r>
      <w:proofErr w:type="spellEnd"/>
    </w:p>
    <w:p w14:paraId="020F9E25" w14:textId="77777777" w:rsidR="003879A7" w:rsidRDefault="00FA75AB">
      <w:pPr>
        <w:spacing w:after="29"/>
        <w:ind w:left="-5"/>
      </w:pPr>
      <w:r>
        <w:t>electrocatalyst for the oxygen evolution reaction (OER).</w:t>
      </w:r>
      <w:r>
        <w:rPr>
          <w:vertAlign w:val="superscript"/>
        </w:rPr>
        <w:t xml:space="preserve">1–8 </w:t>
      </w:r>
      <w:r>
        <w:t xml:space="preserve">Previous studies on SrIrO3 electrocatalyst for the OER demonstrated that Sr leaching might leave behind a highly oxidized </w:t>
      </w:r>
      <w:proofErr w:type="spellStart"/>
      <w:r>
        <w:t>Ir</w:t>
      </w:r>
      <w:proofErr w:type="spellEnd"/>
      <w:r>
        <w:t xml:space="preserve"> (</w:t>
      </w:r>
      <w:proofErr w:type="spellStart"/>
      <w:r>
        <w:t>Ir</w:t>
      </w:r>
      <w:proofErr w:type="spellEnd"/>
      <w:r>
        <w:t>[6+] for hypothetical IrO</w:t>
      </w:r>
      <w:r>
        <w:rPr>
          <w:vertAlign w:val="subscript"/>
        </w:rPr>
        <w:t>3</w:t>
      </w:r>
      <w:r>
        <w:t>) and it</w:t>
      </w:r>
      <w:r>
        <w:t xml:space="preserve"> was argued as one possibly for observed high OER activity.</w:t>
      </w:r>
      <w:r>
        <w:rPr>
          <w:vertAlign w:val="superscript"/>
        </w:rPr>
        <w:t xml:space="preserve">1 </w:t>
      </w:r>
      <w:r>
        <w:t xml:space="preserve">Other groups also observed such dissociation of </w:t>
      </w:r>
      <w:proofErr w:type="spellStart"/>
      <w:r>
        <w:t>IrOx</w:t>
      </w:r>
      <w:proofErr w:type="spellEnd"/>
      <w:r>
        <w:t xml:space="preserve"> catalyst and subsequent formation of amorphous-like layer of unknown structure.</w:t>
      </w:r>
      <w:r>
        <w:rPr>
          <w:vertAlign w:val="superscript"/>
        </w:rPr>
        <w:t xml:space="preserve">9 </w:t>
      </w:r>
      <w:r>
        <w:t>Highly oxidized IrO</w:t>
      </w:r>
      <w:r>
        <w:rPr>
          <w:vertAlign w:val="subscript"/>
        </w:rPr>
        <w:t xml:space="preserve">3 </w:t>
      </w:r>
      <w:r>
        <w:t>phases as also formed as the terminal st</w:t>
      </w:r>
      <w:r>
        <w:t>ructure of LixIrO3 anodes.</w:t>
      </w:r>
      <w:r>
        <w:rPr>
          <w:vertAlign w:val="superscript"/>
        </w:rPr>
        <w:t xml:space="preserve">9 </w:t>
      </w:r>
      <w:r>
        <w:t>For above reasons, we focused our study to search for stable polymorphs in the standard IrO</w:t>
      </w:r>
      <w:r>
        <w:rPr>
          <w:vertAlign w:val="subscript"/>
        </w:rPr>
        <w:t xml:space="preserve">2 </w:t>
      </w:r>
      <w:r>
        <w:t xml:space="preserve">stoichiometry as well as higher </w:t>
      </w:r>
      <w:r>
        <w:lastRenderedPageBreak/>
        <w:t>oxidation state corresponding to IrO</w:t>
      </w:r>
      <w:r>
        <w:rPr>
          <w:vertAlign w:val="subscript"/>
        </w:rPr>
        <w:t>3</w:t>
      </w:r>
      <w:r>
        <w:t>, while neglecting the possibility of mixed IrO</w:t>
      </w:r>
      <w:r>
        <w:rPr>
          <w:vertAlign w:val="subscript"/>
        </w:rPr>
        <w:t>2</w:t>
      </w:r>
      <w:r>
        <w:t>(OH) phase. Purely</w:t>
      </w:r>
      <w:r>
        <w:t xml:space="preserve"> octahedral IrO</w:t>
      </w:r>
      <w:r>
        <w:rPr>
          <w:vertAlign w:val="subscript"/>
        </w:rPr>
        <w:t xml:space="preserve">3 </w:t>
      </w:r>
      <w:r>
        <w:t xml:space="preserve">leads naturally to 100 percent corner sharing octahedra, where all terminal surface </w:t>
      </w:r>
      <w:proofErr w:type="spellStart"/>
      <w:r>
        <w:t>Ir</w:t>
      </w:r>
      <w:proofErr w:type="spellEnd"/>
      <w:r>
        <w:t>-oxygens are potentially OER active sites. Furthermore, such pure corner sharing octahedral crystals are known from in other systems such fluorites and</w:t>
      </w:r>
    </w:p>
    <w:p w14:paraId="2C3295B5" w14:textId="77777777" w:rsidR="003879A7" w:rsidRDefault="00FA75AB">
      <w:pPr>
        <w:spacing w:after="173" w:line="259" w:lineRule="auto"/>
        <w:ind w:left="-5"/>
      </w:pPr>
      <w:r>
        <w:t>c</w:t>
      </w:r>
      <w:r>
        <w:t>hlorites.</w:t>
      </w:r>
    </w:p>
    <w:p w14:paraId="2BA6174D" w14:textId="77777777" w:rsidR="003879A7" w:rsidRDefault="00FA75AB">
      <w:pPr>
        <w:ind w:left="-15" w:firstLine="351"/>
      </w:pPr>
      <w:r>
        <w:t>In the first section, we define our prototype space and introduce the active-learning surrogate model. Next, we highlight the application of AL to the IrO</w:t>
      </w:r>
      <w:r>
        <w:rPr>
          <w:vertAlign w:val="subscript"/>
        </w:rPr>
        <w:t xml:space="preserve">2 </w:t>
      </w:r>
      <w:r>
        <w:t>and IrO</w:t>
      </w:r>
      <w:r>
        <w:rPr>
          <w:vertAlign w:val="subscript"/>
        </w:rPr>
        <w:t xml:space="preserve">3 </w:t>
      </w:r>
      <w:r>
        <w:t>prototype space. Here we discuss the acceleration/performance and practical limit</w:t>
      </w:r>
      <w:r>
        <w:t xml:space="preserve">ations of this approach as well as the nature of the most stable polymorphs. Here, we also extract and analyze the rich structural information of our set. In the section 3, we construct a revised bulk </w:t>
      </w:r>
      <w:proofErr w:type="spellStart"/>
      <w:r>
        <w:t>Pourbaix</w:t>
      </w:r>
      <w:proofErr w:type="spellEnd"/>
      <w:r>
        <w:t xml:space="preserve"> diagram of the Ir-H</w:t>
      </w:r>
      <w:r>
        <w:rPr>
          <w:vertAlign w:val="subscript"/>
        </w:rPr>
        <w:t>2</w:t>
      </w:r>
      <w:r>
        <w:t xml:space="preserve">O system highlighting the </w:t>
      </w:r>
      <w:r>
        <w:t>importance of the IrO</w:t>
      </w:r>
      <w:r>
        <w:rPr>
          <w:vertAlign w:val="subscript"/>
        </w:rPr>
        <w:t xml:space="preserve">3 </w:t>
      </w:r>
      <w:r>
        <w:t>phases under OER. Finally, we construct thermodynamic OER volcano of most stable phases and discuss the</w:t>
      </w:r>
    </w:p>
    <w:p w14:paraId="1DD8A796" w14:textId="77777777" w:rsidR="003879A7" w:rsidRDefault="00FA75AB">
      <w:pPr>
        <w:spacing w:after="623"/>
        <w:ind w:left="-5"/>
      </w:pPr>
      <w:r>
        <w:t>trends in activities.</w:t>
      </w:r>
    </w:p>
    <w:p w14:paraId="1BA1EB54" w14:textId="77777777" w:rsidR="003879A7" w:rsidRDefault="00FA75AB">
      <w:pPr>
        <w:pStyle w:val="Heading1"/>
        <w:spacing w:after="383"/>
        <w:ind w:left="-5"/>
      </w:pPr>
      <w:r>
        <w:t>Results and discussion</w:t>
      </w:r>
    </w:p>
    <w:p w14:paraId="2DCDB415" w14:textId="77777777" w:rsidR="003879A7" w:rsidRDefault="00FA75AB">
      <w:pPr>
        <w:pStyle w:val="Heading2"/>
        <w:ind w:left="-5"/>
      </w:pPr>
      <w:r>
        <w:t>I. Candidate Space Generation and Active Learning Methodology</w:t>
      </w:r>
    </w:p>
    <w:p w14:paraId="478256CE" w14:textId="77777777" w:rsidR="003879A7" w:rsidRDefault="00FA75AB">
      <w:pPr>
        <w:spacing w:after="27"/>
        <w:ind w:left="-5"/>
      </w:pPr>
      <w:r>
        <w:t>Here, we present a machine-learning based methodology for discovering new stable and metastable crystal structures. Our approach builds on the principles of surrogate active learning [Refs?], wh</w:t>
      </w:r>
      <w:r>
        <w:t xml:space="preserve">ere a model is iteratively trained on available DFT data. The model predictions are used as a surrogate to the DFT energy evaluations, which are used to acquire new systems for DFT in the population based on an acquisition </w:t>
      </w:r>
      <w:proofErr w:type="gramStart"/>
      <w:r>
        <w:t>criteria</w:t>
      </w:r>
      <w:proofErr w:type="gramEnd"/>
      <w:r>
        <w:t>. Active learning in conj</w:t>
      </w:r>
      <w:r>
        <w:t>unction with genetic algorithms has been demonstrated to successfully speed up materials discovery for alloy nanoparticles,</w:t>
      </w:r>
      <w:r>
        <w:rPr>
          <w:vertAlign w:val="superscript"/>
        </w:rPr>
        <w:t xml:space="preserve">10 </w:t>
      </w:r>
      <w:r>
        <w:t xml:space="preserve">and </w:t>
      </w:r>
      <w:proofErr w:type="gramStart"/>
      <w:r>
        <w:t>...[</w:t>
      </w:r>
      <w:proofErr w:type="gramEnd"/>
      <w:r>
        <w:t>Other refs?], structural optimizations,</w:t>
      </w:r>
      <w:r>
        <w:rPr>
          <w:vertAlign w:val="superscript"/>
        </w:rPr>
        <w:t xml:space="preserve">11 </w:t>
      </w:r>
      <w:r>
        <w:t>and transition-state calculations.</w:t>
      </w:r>
      <w:r>
        <w:rPr>
          <w:vertAlign w:val="superscript"/>
        </w:rPr>
        <w:t xml:space="preserve">12 </w:t>
      </w:r>
      <w:r>
        <w:t>The methodology consists of two steps (outl</w:t>
      </w:r>
      <w:r>
        <w:t xml:space="preserve">ined in 1). The first step is the generation of the candidate space, which defines the inclusive list of all crystal structures to be screened through during the search routine. Since the initial </w:t>
      </w:r>
      <w:r>
        <w:lastRenderedPageBreak/>
        <w:t>candidates determines which structures that can ultimately b</w:t>
      </w:r>
      <w:r>
        <w:t>e discovered, it is crucial to define a candidate space that is sufficiently diverse. The second part of the algorithm is the iterative active learning algorithm.</w:t>
      </w:r>
    </w:p>
    <w:p w14:paraId="6E48FA1F" w14:textId="77777777" w:rsidR="003879A7" w:rsidRDefault="00FA75AB">
      <w:pPr>
        <w:ind w:left="-15" w:firstLine="351"/>
      </w:pPr>
      <w:r>
        <w:t xml:space="preserve">In Schema 1 we show the </w:t>
      </w:r>
      <w:r>
        <w:rPr>
          <w:b/>
        </w:rPr>
        <w:t>overall process with the integrated active learning loop</w:t>
      </w:r>
      <w:r>
        <w:t xml:space="preserve">. </w:t>
      </w:r>
      <w:r>
        <w:rPr>
          <w:b/>
        </w:rPr>
        <w:t>We start wi</w:t>
      </w:r>
      <w:r>
        <w:rPr>
          <w:b/>
        </w:rPr>
        <w:t xml:space="preserve">th </w:t>
      </w:r>
      <w:proofErr w:type="gramStart"/>
      <w:r>
        <w:rPr>
          <w:b/>
        </w:rPr>
        <w:t xml:space="preserve">... </w:t>
      </w:r>
      <w:r>
        <w:t>.</w:t>
      </w:r>
      <w:proofErr w:type="gramEnd"/>
      <w:r>
        <w:t xml:space="preserve"> </w:t>
      </w:r>
      <w:r>
        <w:rPr>
          <w:b/>
        </w:rPr>
        <w:t xml:space="preserve">We continue with </w:t>
      </w:r>
      <w:proofErr w:type="spellStart"/>
      <w:r>
        <w:rPr>
          <w:b/>
        </w:rPr>
        <w:t>with</w:t>
      </w:r>
      <w:proofErr w:type="spellEnd"/>
      <w:r>
        <w:rPr>
          <w:b/>
        </w:rPr>
        <w:t xml:space="preserve"> XXX... </w:t>
      </w:r>
      <w:r>
        <w:t>The structures that comprise the candidate data sets for IrO2 and IrO3 were constructed by parsing for all bulk AB2 and AB3 structures in both the Materials Project</w:t>
      </w:r>
      <w:r>
        <w:rPr>
          <w:vertAlign w:val="superscript"/>
        </w:rPr>
        <w:t xml:space="preserve">13 </w:t>
      </w:r>
      <w:r>
        <w:t>and OQMD</w:t>
      </w:r>
      <w:r>
        <w:rPr>
          <w:vertAlign w:val="superscript"/>
        </w:rPr>
        <w:t xml:space="preserve">14 </w:t>
      </w:r>
      <w:r>
        <w:t>databases (TEMP AB2 and TEMP AB3). Struc</w:t>
      </w:r>
      <w:r>
        <w:t>turally redundant systems were then removed via a space-group based structural classification scheme developed by Jain et al.</w:t>
      </w:r>
      <w:r>
        <w:rPr>
          <w:vertAlign w:val="superscript"/>
        </w:rPr>
        <w:t xml:space="preserve">15 </w:t>
      </w:r>
      <w:r>
        <w:t>The resulting data set is composed of 697 AB2 and 259 AB3 structural prototypes for which iridium and oxygen were replaced for t</w:t>
      </w:r>
      <w:r>
        <w:t xml:space="preserve">he A and B sites, respectively. Finally, a coarse isotropic volume relaxation was performed to accommodate to account for the difference in atomic radii of </w:t>
      </w:r>
      <w:proofErr w:type="spellStart"/>
      <w:r>
        <w:t>Ir</w:t>
      </w:r>
      <w:proofErr w:type="spellEnd"/>
      <w:r>
        <w:t xml:space="preserve"> and O to the elements that originally comprised the structure in OQMD/MP. Additional details abou</w:t>
      </w:r>
      <w:r>
        <w:t>t our method can be found in the SI. Only candidates that were successfully optimized with DFT were ultimately included so that the model could be properly validated, which gives a final candidate data set of 448 and 258 AB2 and AB3 structurally unique pol</w:t>
      </w:r>
      <w:r>
        <w:t xml:space="preserve">ymorphs. The size of this dataset isn’t particularly </w:t>
      </w:r>
      <w:proofErr w:type="gramStart"/>
      <w:r>
        <w:t>large, but</w:t>
      </w:r>
      <w:proofErr w:type="gramEnd"/>
      <w:r>
        <w:t xml:space="preserve"> will serve to demonstrate the polymorph discovery routine as a proof of concept and is small enough that it is tractable to perform the DFT for all structures such that the performance of the </w:t>
      </w:r>
      <w:r>
        <w:t>model can be benchmarked.</w:t>
      </w:r>
    </w:p>
    <w:p w14:paraId="00B05693" w14:textId="77777777" w:rsidR="003879A7" w:rsidRDefault="00FA75AB">
      <w:pPr>
        <w:spacing w:after="62"/>
        <w:ind w:left="-15" w:firstLine="351"/>
      </w:pPr>
      <w:r>
        <w:t xml:space="preserve">The candidate data set was </w:t>
      </w:r>
      <w:proofErr w:type="spellStart"/>
      <w:r>
        <w:t>featurized</w:t>
      </w:r>
      <w:proofErr w:type="spellEnd"/>
      <w:r>
        <w:t xml:space="preserve"> using the Voronoi tessellation fingerprinting scheme developed by Ward et al.</w:t>
      </w:r>
      <w:r>
        <w:rPr>
          <w:vertAlign w:val="superscript"/>
        </w:rPr>
        <w:t xml:space="preserve">16 </w:t>
      </w:r>
      <w:r>
        <w:t xml:space="preserve">which produces a </w:t>
      </w:r>
      <w:proofErr w:type="gramStart"/>
      <w:r>
        <w:t>271 feature</w:t>
      </w:r>
      <w:proofErr w:type="gramEnd"/>
      <w:r>
        <w:t xml:space="preserve"> vector for each material that are insensitive to isotropic expansions and contracti</w:t>
      </w:r>
      <w:r>
        <w:t>ons in a crystals lattice. Herein, we apply our active learning model to the IrO2 and IrO3 spaces separately, because we are interested in the most stable polymorphs at each stoichiometry. Constraining the candidate space to having uniform stoichiometry re</w:t>
      </w:r>
      <w:r>
        <w:t xml:space="preserve">duces the </w:t>
      </w:r>
      <w:proofErr w:type="gramStart"/>
      <w:r>
        <w:t>271 feature</w:t>
      </w:r>
      <w:proofErr w:type="gramEnd"/>
      <w:r>
        <w:t xml:space="preserve"> vector to 101 non-zero variance features, thus reducing the dimensionality of our problem significantly. Further </w:t>
      </w:r>
      <w:r>
        <w:lastRenderedPageBreak/>
        <w:t>dimensionality reduction is achieved via a principle component analysis (PCA),</w:t>
      </w:r>
      <w:r>
        <w:rPr>
          <w:vertAlign w:val="superscript"/>
        </w:rPr>
        <w:t xml:space="preserve">17 </w:t>
      </w:r>
      <w:r>
        <w:t>which was used to reduce the remaining</w:t>
      </w:r>
    </w:p>
    <w:p w14:paraId="07F5FAAE" w14:textId="77777777" w:rsidR="003879A7" w:rsidRDefault="00FA75AB">
      <w:pPr>
        <w:spacing w:after="411"/>
        <w:ind w:left="-5"/>
      </w:pPr>
      <w:r>
        <w:t>1</w:t>
      </w:r>
      <w:r>
        <w:t>01 features to 11. The active learning algorithm proceeds through iterative generations of ML training, prediction, and acquisition steps that are visualized in figure 3. To start, Gaussian process (GP) regression is used to train a regression model on a s</w:t>
      </w:r>
      <w:r>
        <w:t>mall seed set of DFT formation energies from randomly selected structures in the candidate space. The model is then used to predict the formation energies of the entire candidate space. Following this, the predictions are used to determine which systems to</w:t>
      </w:r>
      <w:r>
        <w:t xml:space="preserve"> acquire, by minimizing the so-called GP-UCB acquisition function:</w:t>
      </w:r>
    </w:p>
    <w:p w14:paraId="029E9E50" w14:textId="77777777" w:rsidR="003879A7" w:rsidRDefault="00FA75AB">
      <w:pPr>
        <w:tabs>
          <w:tab w:val="center" w:pos="4680"/>
          <w:tab w:val="right" w:pos="9360"/>
        </w:tabs>
        <w:spacing w:after="610" w:line="259" w:lineRule="auto"/>
        <w:ind w:left="0" w:firstLine="0"/>
        <w:jc w:val="left"/>
      </w:pPr>
      <w:r>
        <w:rPr>
          <w:rFonts w:ascii="Calibri" w:eastAsia="Calibri" w:hAnsi="Calibri" w:cs="Calibri"/>
          <w:sz w:val="22"/>
        </w:rPr>
        <w:tab/>
      </w:r>
      <w:r>
        <w:rPr>
          <w:i/>
        </w:rPr>
        <w:t xml:space="preserve">U </w:t>
      </w:r>
      <w:r>
        <w:t xml:space="preserve">= </w:t>
      </w:r>
      <w:r>
        <w:rPr>
          <w:i/>
        </w:rPr>
        <w:t xml:space="preserve">µ </w:t>
      </w:r>
      <w:r>
        <w:t>−</w:t>
      </w:r>
      <w:r>
        <w:t xml:space="preserve"> </w:t>
      </w:r>
      <w:proofErr w:type="spellStart"/>
      <w:r>
        <w:rPr>
          <w:i/>
        </w:rPr>
        <w:t>κσ</w:t>
      </w:r>
      <w:proofErr w:type="spellEnd"/>
      <w:r>
        <w:rPr>
          <w:i/>
        </w:rPr>
        <w:t>,</w:t>
      </w:r>
      <w:r>
        <w:rPr>
          <w:i/>
        </w:rPr>
        <w:tab/>
      </w:r>
      <w:r>
        <w:t>(1)</w:t>
      </w:r>
    </w:p>
    <w:p w14:paraId="1A2C0B6A" w14:textId="77777777" w:rsidR="003879A7" w:rsidRDefault="00FA75AB">
      <w:pPr>
        <w:spacing w:after="437"/>
        <w:ind w:left="-5"/>
      </w:pPr>
      <w:r>
        <w:t xml:space="preserve">where </w:t>
      </w:r>
      <w:r>
        <w:rPr>
          <w:i/>
        </w:rPr>
        <w:t xml:space="preserve">µ </w:t>
      </w:r>
      <w:r>
        <w:t xml:space="preserve">and </w:t>
      </w:r>
      <w:r>
        <w:rPr>
          <w:i/>
        </w:rPr>
        <w:t xml:space="preserve">σ </w:t>
      </w:r>
      <w:r>
        <w:t xml:space="preserve">is the predicted mean and standard deviation of the formation energy, and </w:t>
      </w:r>
      <w:r>
        <w:rPr>
          <w:i/>
        </w:rPr>
        <w:t xml:space="preserve">κ </w:t>
      </w:r>
      <w:r>
        <w:t>is a free parameter to tune the relative weighting between exploiting low formatio</w:t>
      </w:r>
      <w:r>
        <w:t xml:space="preserve">n energy systems (small </w:t>
      </w:r>
      <w:r>
        <w:rPr>
          <w:i/>
        </w:rPr>
        <w:t>κ</w:t>
      </w:r>
      <w:r>
        <w:t xml:space="preserve">) and exploring high uncertainty regions of the candidate space (large </w:t>
      </w:r>
      <w:r>
        <w:rPr>
          <w:i/>
        </w:rPr>
        <w:t>κ</w:t>
      </w:r>
      <w:r>
        <w:t>). In this work we attempt to trade off exploitation and exploration by weighting the predicted formation energy and the associated uncertainty to bias systems</w:t>
      </w:r>
      <w:r>
        <w:t xml:space="preserve"> that are both low energy and high uncertainty. Here, </w:t>
      </w:r>
      <w:r>
        <w:rPr>
          <w:i/>
        </w:rPr>
        <w:t xml:space="preserve">κ </w:t>
      </w:r>
      <w:r>
        <w:t>is set to 1 which equally weights the energy and uncertainty. Once ranked, the N systems that minimize the acquisition function are selected for full DFT calculations, which are included in the traini</w:t>
      </w:r>
      <w:r>
        <w:t xml:space="preserve">ng data of subsequent AL generations. The AL loop proceeds until convergence is achieved, which here is chosen to be the generation at which the structures within the range of metastability, here taken as 0.1 eV/atom, are unchanging over three consecutive </w:t>
      </w:r>
      <w:r>
        <w:t>generations.</w:t>
      </w:r>
    </w:p>
    <w:p w14:paraId="26BEA104" w14:textId="77777777" w:rsidR="003879A7" w:rsidRDefault="00FA75AB">
      <w:pPr>
        <w:pStyle w:val="Heading2"/>
        <w:spacing w:after="39" w:line="421" w:lineRule="auto"/>
        <w:ind w:left="-5"/>
      </w:pPr>
      <w:r>
        <w:lastRenderedPageBreak/>
        <w:t xml:space="preserve">II. Application of Active Learning to the discovery of stable </w:t>
      </w:r>
      <w:proofErr w:type="spellStart"/>
      <w:r>
        <w:t>Ir</w:t>
      </w:r>
      <w:proofErr w:type="spellEnd"/>
      <w:r>
        <w:t>-O polymorphs</w:t>
      </w:r>
    </w:p>
    <w:p w14:paraId="7A33CB76" w14:textId="77777777" w:rsidR="003879A7" w:rsidRDefault="00FA75AB">
      <w:pPr>
        <w:ind w:left="-5"/>
      </w:pPr>
      <w:r>
        <w:t>We now turn our attention of the application of this active learning scheme to the discovery of most stable forms of IrO</w:t>
      </w:r>
      <w:r>
        <w:rPr>
          <w:vertAlign w:val="subscript"/>
        </w:rPr>
        <w:t xml:space="preserve">2 </w:t>
      </w:r>
      <w:r>
        <w:t>and IrO</w:t>
      </w:r>
      <w:r>
        <w:rPr>
          <w:vertAlign w:val="subscript"/>
        </w:rPr>
        <w:t>3</w:t>
      </w:r>
      <w:r>
        <w:t>. The algorithm is applied separate</w:t>
      </w:r>
      <w:r>
        <w:t>ly to both stoichiometries. Here, we report in detail the results for IrO3, the analogous results for IrO2 are shown in more detail in the SI.</w:t>
      </w:r>
    </w:p>
    <w:p w14:paraId="30116E7C" w14:textId="77777777" w:rsidR="003879A7" w:rsidRDefault="00FA75AB">
      <w:pPr>
        <w:spacing w:after="109" w:line="259" w:lineRule="auto"/>
        <w:ind w:right="438"/>
        <w:jc w:val="center"/>
      </w:pPr>
      <w:r>
        <w:rPr>
          <w:rFonts w:ascii="Arial" w:eastAsia="Arial" w:hAnsi="Arial" w:cs="Arial"/>
          <w:sz w:val="20"/>
        </w:rPr>
        <w:t>Candidate Space Generation</w:t>
      </w:r>
    </w:p>
    <w:p w14:paraId="27C8499D" w14:textId="77777777" w:rsidR="003879A7" w:rsidRDefault="00FA75AB">
      <w:pPr>
        <w:spacing w:after="49" w:line="259" w:lineRule="auto"/>
        <w:ind w:right="694"/>
        <w:jc w:val="center"/>
      </w:pPr>
      <w:r>
        <w:rPr>
          <w:rFonts w:ascii="Arial" w:eastAsia="Arial" w:hAnsi="Arial" w:cs="Arial"/>
          <w:sz w:val="20"/>
        </w:rPr>
        <w:t>Materials databases</w:t>
      </w:r>
    </w:p>
    <w:p w14:paraId="49BCD936" w14:textId="77777777" w:rsidR="003879A7" w:rsidRDefault="00FA75AB">
      <w:pPr>
        <w:spacing w:after="0" w:line="259" w:lineRule="auto"/>
        <w:ind w:left="109" w:right="118"/>
        <w:jc w:val="center"/>
      </w:pPr>
      <w:r>
        <w:rPr>
          <w:rFonts w:ascii="Verdana" w:eastAsia="Verdana" w:hAnsi="Verdana" w:cs="Verdana"/>
          <w:sz w:val="16"/>
        </w:rPr>
        <w:t xml:space="preserve">Select desired </w:t>
      </w:r>
      <w:proofErr w:type="spellStart"/>
      <w:r>
        <w:rPr>
          <w:rFonts w:ascii="Verdana" w:eastAsia="Verdana" w:hAnsi="Verdana" w:cs="Verdana"/>
          <w:sz w:val="16"/>
        </w:rPr>
        <w:t>stoicheometry</w:t>
      </w:r>
      <w:proofErr w:type="spellEnd"/>
    </w:p>
    <w:p w14:paraId="6CE5C9E7" w14:textId="77777777" w:rsidR="003879A7" w:rsidRDefault="00FA75AB">
      <w:pPr>
        <w:spacing w:after="0" w:line="259" w:lineRule="auto"/>
        <w:ind w:left="109" w:right="71"/>
        <w:jc w:val="center"/>
      </w:pPr>
      <w:r>
        <w:rPr>
          <w:rFonts w:ascii="Verdana" w:eastAsia="Verdana" w:hAnsi="Verdana" w:cs="Verdana"/>
          <w:sz w:val="16"/>
        </w:rPr>
        <w:t xml:space="preserve">Filter for structural </w:t>
      </w:r>
      <w:proofErr w:type="spellStart"/>
      <w:r>
        <w:rPr>
          <w:rFonts w:ascii="Verdana" w:eastAsia="Verdana" w:hAnsi="Verdana" w:cs="Verdana"/>
          <w:sz w:val="16"/>
        </w:rPr>
        <w:t>uniquness</w:t>
      </w:r>
      <w:proofErr w:type="spellEnd"/>
    </w:p>
    <w:p w14:paraId="467F823A" w14:textId="77777777" w:rsidR="003879A7" w:rsidRDefault="00FA75AB">
      <w:pPr>
        <w:spacing w:after="0" w:line="259" w:lineRule="auto"/>
        <w:ind w:left="109"/>
        <w:jc w:val="center"/>
      </w:pPr>
      <w:r>
        <w:rPr>
          <w:rFonts w:ascii="Verdana" w:eastAsia="Verdana" w:hAnsi="Verdana" w:cs="Verdana"/>
          <w:sz w:val="16"/>
        </w:rPr>
        <w:t>Replace elements with desired</w:t>
      </w:r>
    </w:p>
    <w:p w14:paraId="24B3C6B6" w14:textId="77777777" w:rsidR="003879A7" w:rsidRDefault="00FA75AB">
      <w:pPr>
        <w:spacing w:after="110" w:line="259" w:lineRule="auto"/>
        <w:ind w:left="109" w:right="467"/>
        <w:jc w:val="center"/>
      </w:pPr>
      <w:r>
        <w:rPr>
          <w:rFonts w:ascii="Verdana" w:eastAsia="Verdana" w:hAnsi="Verdana" w:cs="Verdana"/>
          <w:sz w:val="16"/>
        </w:rPr>
        <w:t>Pre-optimize cell volume</w:t>
      </w:r>
    </w:p>
    <w:p w14:paraId="1FDAED37" w14:textId="77777777" w:rsidR="003879A7" w:rsidRDefault="00FA75AB">
      <w:pPr>
        <w:spacing w:after="162" w:line="259" w:lineRule="auto"/>
        <w:ind w:right="318"/>
        <w:jc w:val="center"/>
      </w:pPr>
      <w:r>
        <w:rPr>
          <w:rFonts w:ascii="Arial" w:eastAsia="Arial" w:hAnsi="Arial" w:cs="Arial"/>
          <w:sz w:val="20"/>
        </w:rPr>
        <w:t>Final candidate structures</w:t>
      </w:r>
    </w:p>
    <w:p w14:paraId="2CCB1A31" w14:textId="77777777" w:rsidR="003879A7" w:rsidRDefault="00FA75AB">
      <w:pPr>
        <w:spacing w:after="120" w:line="268" w:lineRule="auto"/>
        <w:ind w:left="3812" w:right="3466" w:hanging="325"/>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22B0235" wp14:editId="47005344">
                <wp:simplePos x="0" y="0"/>
                <wp:positionH relativeFrom="column">
                  <wp:posOffset>2011174</wp:posOffset>
                </wp:positionH>
                <wp:positionV relativeFrom="paragraph">
                  <wp:posOffset>-1143391</wp:posOffset>
                </wp:positionV>
                <wp:extent cx="1871662" cy="3036100"/>
                <wp:effectExtent l="0" t="0" r="0" b="0"/>
                <wp:wrapNone/>
                <wp:docPr id="13333" name="Group 13333"/>
                <wp:cNvGraphicFramePr/>
                <a:graphic xmlns:a="http://schemas.openxmlformats.org/drawingml/2006/main">
                  <a:graphicData uri="http://schemas.microsoft.com/office/word/2010/wordprocessingGroup">
                    <wpg:wgp>
                      <wpg:cNvGrpSpPr/>
                      <wpg:grpSpPr>
                        <a:xfrm>
                          <a:off x="0" y="0"/>
                          <a:ext cx="1871662" cy="3036100"/>
                          <a:chOff x="0" y="0"/>
                          <a:chExt cx="1871662" cy="3036100"/>
                        </a:xfrm>
                      </wpg:grpSpPr>
                      <wps:wsp>
                        <wps:cNvPr id="324" name="Shape 324"/>
                        <wps:cNvSpPr/>
                        <wps:spPr>
                          <a:xfrm>
                            <a:off x="75057" y="2573681"/>
                            <a:ext cx="966533" cy="387350"/>
                          </a:xfrm>
                          <a:custGeom>
                            <a:avLst/>
                            <a:gdLst/>
                            <a:ahLst/>
                            <a:cxnLst/>
                            <a:rect l="0" t="0" r="0" b="0"/>
                            <a:pathLst>
                              <a:path w="966533" h="387350">
                                <a:moveTo>
                                  <a:pt x="0" y="0"/>
                                </a:moveTo>
                                <a:lnTo>
                                  <a:pt x="966533" y="0"/>
                                </a:lnTo>
                                <a:lnTo>
                                  <a:pt x="966533" y="387350"/>
                                </a:lnTo>
                                <a:lnTo>
                                  <a:pt x="0" y="387350"/>
                                </a:lnTo>
                                <a:close/>
                              </a:path>
                            </a:pathLst>
                          </a:custGeom>
                          <a:ln w="15709" cap="flat">
                            <a:miter lim="127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75057" y="2040522"/>
                            <a:ext cx="966533" cy="387401"/>
                          </a:xfrm>
                          <a:custGeom>
                            <a:avLst/>
                            <a:gdLst/>
                            <a:ahLst/>
                            <a:cxnLst/>
                            <a:rect l="0" t="0" r="0" b="0"/>
                            <a:pathLst>
                              <a:path w="966533" h="387401">
                                <a:moveTo>
                                  <a:pt x="0" y="0"/>
                                </a:moveTo>
                                <a:lnTo>
                                  <a:pt x="966533" y="0"/>
                                </a:lnTo>
                                <a:lnTo>
                                  <a:pt x="966533" y="387401"/>
                                </a:lnTo>
                                <a:lnTo>
                                  <a:pt x="0" y="387401"/>
                                </a:lnTo>
                                <a:close/>
                              </a:path>
                            </a:pathLst>
                          </a:custGeom>
                          <a:ln w="15709" cap="flat">
                            <a:miter lim="127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498132" y="2435771"/>
                            <a:ext cx="120396" cy="129921"/>
                          </a:xfrm>
                          <a:custGeom>
                            <a:avLst/>
                            <a:gdLst/>
                            <a:ahLst/>
                            <a:cxnLst/>
                            <a:rect l="0" t="0" r="0" b="0"/>
                            <a:pathLst>
                              <a:path w="120396" h="129921">
                                <a:moveTo>
                                  <a:pt x="0" y="0"/>
                                </a:moveTo>
                                <a:lnTo>
                                  <a:pt x="120396" y="0"/>
                                </a:lnTo>
                                <a:lnTo>
                                  <a:pt x="60172" y="129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75057" y="1507427"/>
                            <a:ext cx="966533" cy="387350"/>
                          </a:xfrm>
                          <a:custGeom>
                            <a:avLst/>
                            <a:gdLst/>
                            <a:ahLst/>
                            <a:cxnLst/>
                            <a:rect l="0" t="0" r="0" b="0"/>
                            <a:pathLst>
                              <a:path w="966533" h="387350">
                                <a:moveTo>
                                  <a:pt x="0" y="0"/>
                                </a:moveTo>
                                <a:lnTo>
                                  <a:pt x="966533" y="0"/>
                                </a:lnTo>
                                <a:lnTo>
                                  <a:pt x="966533" y="387350"/>
                                </a:lnTo>
                                <a:lnTo>
                                  <a:pt x="0" y="387350"/>
                                </a:lnTo>
                                <a:close/>
                              </a:path>
                            </a:pathLst>
                          </a:custGeom>
                          <a:ln w="15709" cap="flat">
                            <a:miter lim="127000"/>
                          </a:ln>
                        </wps:spPr>
                        <wps:style>
                          <a:lnRef idx="1">
                            <a:srgbClr val="000000"/>
                          </a:lnRef>
                          <a:fillRef idx="0">
                            <a:srgbClr val="000000">
                              <a:alpha val="0"/>
                            </a:srgbClr>
                          </a:fillRef>
                          <a:effectRef idx="0">
                            <a:scrgbClr r="0" g="0" b="0"/>
                          </a:effectRef>
                          <a:fontRef idx="none"/>
                        </wps:style>
                        <wps:bodyPr/>
                      </wps:wsp>
                      <wps:wsp>
                        <wps:cNvPr id="335" name="Shape 335"/>
                        <wps:cNvSpPr/>
                        <wps:spPr>
                          <a:xfrm>
                            <a:off x="498132" y="1902663"/>
                            <a:ext cx="120396" cy="129921"/>
                          </a:xfrm>
                          <a:custGeom>
                            <a:avLst/>
                            <a:gdLst/>
                            <a:ahLst/>
                            <a:cxnLst/>
                            <a:rect l="0" t="0" r="0" b="0"/>
                            <a:pathLst>
                              <a:path w="120396" h="129921">
                                <a:moveTo>
                                  <a:pt x="0" y="0"/>
                                </a:moveTo>
                                <a:lnTo>
                                  <a:pt x="120396" y="0"/>
                                </a:lnTo>
                                <a:lnTo>
                                  <a:pt x="60172" y="129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336"/>
                        <wps:cNvSpPr/>
                        <wps:spPr>
                          <a:xfrm>
                            <a:off x="1058164" y="1701102"/>
                            <a:ext cx="146952" cy="1066254"/>
                          </a:xfrm>
                          <a:custGeom>
                            <a:avLst/>
                            <a:gdLst/>
                            <a:ahLst/>
                            <a:cxnLst/>
                            <a:rect l="0" t="0" r="0" b="0"/>
                            <a:pathLst>
                              <a:path w="146952" h="1066254">
                                <a:moveTo>
                                  <a:pt x="0" y="1066254"/>
                                </a:moveTo>
                                <a:lnTo>
                                  <a:pt x="146952" y="1066254"/>
                                </a:lnTo>
                                <a:lnTo>
                                  <a:pt x="146952" y="0"/>
                                </a:lnTo>
                                <a:lnTo>
                                  <a:pt x="0" y="0"/>
                                </a:lnTo>
                              </a:path>
                            </a:pathLst>
                          </a:custGeom>
                          <a:ln w="36000" cap="flat">
                            <a:miter lim="100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926948" y="1640929"/>
                            <a:ext cx="141541" cy="120396"/>
                          </a:xfrm>
                          <a:custGeom>
                            <a:avLst/>
                            <a:gdLst/>
                            <a:ahLst/>
                            <a:cxnLst/>
                            <a:rect l="0" t="0" r="0" b="0"/>
                            <a:pathLst>
                              <a:path w="141541" h="120396">
                                <a:moveTo>
                                  <a:pt x="141541" y="0"/>
                                </a:moveTo>
                                <a:lnTo>
                                  <a:pt x="141541" y="120396"/>
                                </a:lnTo>
                                <a:lnTo>
                                  <a:pt x="0" y="60172"/>
                                </a:lnTo>
                                <a:lnTo>
                                  <a:pt x="141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 name="Shape 338"/>
                        <wps:cNvSpPr/>
                        <wps:spPr>
                          <a:xfrm>
                            <a:off x="0" y="1443038"/>
                            <a:ext cx="1733156" cy="1593063"/>
                          </a:xfrm>
                          <a:custGeom>
                            <a:avLst/>
                            <a:gdLst/>
                            <a:ahLst/>
                            <a:cxnLst/>
                            <a:rect l="0" t="0" r="0" b="0"/>
                            <a:pathLst>
                              <a:path w="1733156" h="1593063">
                                <a:moveTo>
                                  <a:pt x="0" y="0"/>
                                </a:moveTo>
                                <a:lnTo>
                                  <a:pt x="1733156" y="0"/>
                                </a:lnTo>
                                <a:lnTo>
                                  <a:pt x="1733156" y="1593063"/>
                                </a:lnTo>
                                <a:lnTo>
                                  <a:pt x="0" y="1593063"/>
                                </a:lnTo>
                                <a:close/>
                              </a:path>
                            </a:pathLst>
                          </a:custGeom>
                          <a:ln w="18000" cap="flat">
                            <a:miter lim="100000"/>
                          </a:ln>
                        </wps:spPr>
                        <wps:style>
                          <a:lnRef idx="1">
                            <a:srgbClr val="080808"/>
                          </a:lnRef>
                          <a:fillRef idx="0">
                            <a:srgbClr val="000000">
                              <a:alpha val="0"/>
                            </a:srgbClr>
                          </a:fillRef>
                          <a:effectRef idx="0">
                            <a:scrgbClr r="0" g="0" b="0"/>
                          </a:effectRef>
                          <a:fontRef idx="none"/>
                        </wps:style>
                        <wps:bodyPr/>
                      </wps:wsp>
                      <wps:wsp>
                        <wps:cNvPr id="340" name="Shape 340"/>
                        <wps:cNvSpPr/>
                        <wps:spPr>
                          <a:xfrm>
                            <a:off x="104826" y="288074"/>
                            <a:ext cx="120396" cy="129985"/>
                          </a:xfrm>
                          <a:custGeom>
                            <a:avLst/>
                            <a:gdLst/>
                            <a:ahLst/>
                            <a:cxnLst/>
                            <a:rect l="0" t="0" r="0" b="0"/>
                            <a:pathLst>
                              <a:path w="120396" h="129985">
                                <a:moveTo>
                                  <a:pt x="0" y="0"/>
                                </a:moveTo>
                                <a:lnTo>
                                  <a:pt x="120396" y="0"/>
                                </a:lnTo>
                                <a:lnTo>
                                  <a:pt x="60223" y="12998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104826" y="418059"/>
                            <a:ext cx="120396" cy="129921"/>
                          </a:xfrm>
                          <a:custGeom>
                            <a:avLst/>
                            <a:gdLst/>
                            <a:ahLst/>
                            <a:cxnLst/>
                            <a:rect l="0" t="0" r="0" b="0"/>
                            <a:pathLst>
                              <a:path w="120396" h="129921">
                                <a:moveTo>
                                  <a:pt x="0" y="0"/>
                                </a:moveTo>
                                <a:lnTo>
                                  <a:pt x="120396" y="0"/>
                                </a:lnTo>
                                <a:lnTo>
                                  <a:pt x="60223" y="1299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2" name="Shape 342"/>
                        <wps:cNvSpPr/>
                        <wps:spPr>
                          <a:xfrm>
                            <a:off x="104826" y="551409"/>
                            <a:ext cx="120396" cy="129921"/>
                          </a:xfrm>
                          <a:custGeom>
                            <a:avLst/>
                            <a:gdLst/>
                            <a:ahLst/>
                            <a:cxnLst/>
                            <a:rect l="0" t="0" r="0" b="0"/>
                            <a:pathLst>
                              <a:path w="120396" h="129921">
                                <a:moveTo>
                                  <a:pt x="0" y="0"/>
                                </a:moveTo>
                                <a:lnTo>
                                  <a:pt x="120396" y="0"/>
                                </a:lnTo>
                                <a:lnTo>
                                  <a:pt x="60223" y="1299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104826" y="684759"/>
                            <a:ext cx="120396" cy="129921"/>
                          </a:xfrm>
                          <a:custGeom>
                            <a:avLst/>
                            <a:gdLst/>
                            <a:ahLst/>
                            <a:cxnLst/>
                            <a:rect l="0" t="0" r="0" b="0"/>
                            <a:pathLst>
                              <a:path w="120396" h="129921">
                                <a:moveTo>
                                  <a:pt x="0" y="0"/>
                                </a:moveTo>
                                <a:lnTo>
                                  <a:pt x="120396" y="0"/>
                                </a:lnTo>
                                <a:lnTo>
                                  <a:pt x="60223" y="1299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30" name="Shape 15930"/>
                        <wps:cNvSpPr/>
                        <wps:spPr>
                          <a:xfrm>
                            <a:off x="1076325" y="2307222"/>
                            <a:ext cx="526657" cy="387401"/>
                          </a:xfrm>
                          <a:custGeom>
                            <a:avLst/>
                            <a:gdLst/>
                            <a:ahLst/>
                            <a:cxnLst/>
                            <a:rect l="0" t="0" r="0" b="0"/>
                            <a:pathLst>
                              <a:path w="526657" h="387401">
                                <a:moveTo>
                                  <a:pt x="0" y="0"/>
                                </a:moveTo>
                                <a:lnTo>
                                  <a:pt x="526657" y="0"/>
                                </a:lnTo>
                                <a:lnTo>
                                  <a:pt x="526657" y="387401"/>
                                </a:lnTo>
                                <a:lnTo>
                                  <a:pt x="0" y="387401"/>
                                </a:lnTo>
                                <a:lnTo>
                                  <a:pt x="0" y="0"/>
                                </a:lnTo>
                              </a:path>
                            </a:pathLst>
                          </a:custGeom>
                          <a:ln w="15709" cap="flat">
                            <a:miter lim="127000"/>
                          </a:ln>
                        </wps:spPr>
                        <wps:style>
                          <a:lnRef idx="1">
                            <a:srgbClr val="000000"/>
                          </a:lnRef>
                          <a:fillRef idx="1">
                            <a:srgbClr val="FFFFFF"/>
                          </a:fillRef>
                          <a:effectRef idx="0">
                            <a:scrgbClr r="0" g="0" b="0"/>
                          </a:effectRef>
                          <a:fontRef idx="none"/>
                        </wps:style>
                        <wps:bodyPr/>
                      </wps:wsp>
                      <wps:wsp>
                        <wps:cNvPr id="350" name="Shape 350"/>
                        <wps:cNvSpPr/>
                        <wps:spPr>
                          <a:xfrm>
                            <a:off x="1125385" y="2078177"/>
                            <a:ext cx="162027" cy="161976"/>
                          </a:xfrm>
                          <a:custGeom>
                            <a:avLst/>
                            <a:gdLst/>
                            <a:ahLst/>
                            <a:cxnLst/>
                            <a:rect l="0" t="0" r="0" b="0"/>
                            <a:pathLst>
                              <a:path w="162027" h="161976">
                                <a:moveTo>
                                  <a:pt x="81013" y="0"/>
                                </a:moveTo>
                                <a:cubicBezTo>
                                  <a:pt x="125768" y="0"/>
                                  <a:pt x="162027" y="36271"/>
                                  <a:pt x="162027" y="80963"/>
                                </a:cubicBezTo>
                                <a:cubicBezTo>
                                  <a:pt x="162027" y="125717"/>
                                  <a:pt x="125768" y="161976"/>
                                  <a:pt x="81013" y="161976"/>
                                </a:cubicBezTo>
                                <a:cubicBezTo>
                                  <a:pt x="36271" y="161976"/>
                                  <a:pt x="0" y="125717"/>
                                  <a:pt x="0" y="80963"/>
                                </a:cubicBezTo>
                                <a:cubicBezTo>
                                  <a:pt x="0" y="36271"/>
                                  <a:pt x="36271" y="0"/>
                                  <a:pt x="81013" y="0"/>
                                </a:cubicBezTo>
                                <a:close/>
                              </a:path>
                            </a:pathLst>
                          </a:custGeom>
                          <a:ln w="18000" cap="flat">
                            <a:miter lim="100000"/>
                          </a:ln>
                        </wps:spPr>
                        <wps:style>
                          <a:lnRef idx="1">
                            <a:srgbClr val="080808"/>
                          </a:lnRef>
                          <a:fillRef idx="1">
                            <a:srgbClr val="F4F4F4"/>
                          </a:fillRef>
                          <a:effectRef idx="0">
                            <a:scrgbClr r="0" g="0" b="0"/>
                          </a:effectRef>
                          <a:fontRef idx="none"/>
                        </wps:style>
                        <wps:bodyPr/>
                      </wps:wsp>
                      <wps:wsp>
                        <wps:cNvPr id="352" name="Shape 352"/>
                        <wps:cNvSpPr/>
                        <wps:spPr>
                          <a:xfrm>
                            <a:off x="1482382" y="1962392"/>
                            <a:ext cx="0" cy="336994"/>
                          </a:xfrm>
                          <a:custGeom>
                            <a:avLst/>
                            <a:gdLst/>
                            <a:ahLst/>
                            <a:cxnLst/>
                            <a:rect l="0" t="0" r="0" b="0"/>
                            <a:pathLst>
                              <a:path h="336994">
                                <a:moveTo>
                                  <a:pt x="0" y="336994"/>
                                </a:moveTo>
                                <a:cubicBezTo>
                                  <a:pt x="0" y="0"/>
                                  <a:pt x="0" y="0"/>
                                  <a:pt x="0" y="0"/>
                                </a:cubicBezTo>
                              </a:path>
                            </a:pathLst>
                          </a:custGeom>
                          <a:ln w="36000" cap="flat">
                            <a:miter lim="100000"/>
                          </a:ln>
                        </wps:spPr>
                        <wps:style>
                          <a:lnRef idx="1">
                            <a:srgbClr val="000000"/>
                          </a:lnRef>
                          <a:fillRef idx="0">
                            <a:srgbClr val="000000">
                              <a:alpha val="0"/>
                            </a:srgbClr>
                          </a:fillRef>
                          <a:effectRef idx="0">
                            <a:scrgbClr r="0" g="0" b="0"/>
                          </a:effectRef>
                          <a:fontRef idx="none"/>
                        </wps:style>
                        <wps:bodyPr/>
                      </wps:wsp>
                      <wps:wsp>
                        <wps:cNvPr id="353" name="Shape 353"/>
                        <wps:cNvSpPr/>
                        <wps:spPr>
                          <a:xfrm>
                            <a:off x="1411135" y="2078177"/>
                            <a:ext cx="162027" cy="161976"/>
                          </a:xfrm>
                          <a:custGeom>
                            <a:avLst/>
                            <a:gdLst/>
                            <a:ahLst/>
                            <a:cxnLst/>
                            <a:rect l="0" t="0" r="0" b="0"/>
                            <a:pathLst>
                              <a:path w="162027" h="161976">
                                <a:moveTo>
                                  <a:pt x="81013" y="0"/>
                                </a:moveTo>
                                <a:cubicBezTo>
                                  <a:pt x="125768" y="0"/>
                                  <a:pt x="162027" y="36271"/>
                                  <a:pt x="162027" y="80963"/>
                                </a:cubicBezTo>
                                <a:cubicBezTo>
                                  <a:pt x="162027" y="125717"/>
                                  <a:pt x="125768" y="161976"/>
                                  <a:pt x="81013" y="161976"/>
                                </a:cubicBezTo>
                                <a:cubicBezTo>
                                  <a:pt x="36271" y="161976"/>
                                  <a:pt x="0" y="125717"/>
                                  <a:pt x="0" y="80963"/>
                                </a:cubicBezTo>
                                <a:cubicBezTo>
                                  <a:pt x="0" y="36271"/>
                                  <a:pt x="36271" y="0"/>
                                  <a:pt x="81013" y="0"/>
                                </a:cubicBezTo>
                                <a:close/>
                              </a:path>
                            </a:pathLst>
                          </a:custGeom>
                          <a:ln w="18000" cap="flat">
                            <a:miter lim="100000"/>
                          </a:ln>
                        </wps:spPr>
                        <wps:style>
                          <a:lnRef idx="1">
                            <a:srgbClr val="080808"/>
                          </a:lnRef>
                          <a:fillRef idx="1">
                            <a:srgbClr val="F4F4F4"/>
                          </a:fillRef>
                          <a:effectRef idx="0">
                            <a:scrgbClr r="0" g="0" b="0"/>
                          </a:effectRef>
                          <a:fontRef idx="none"/>
                        </wps:style>
                        <wps:bodyPr/>
                      </wps:wsp>
                      <wps:wsp>
                        <wps:cNvPr id="15931" name="Shape 15931"/>
                        <wps:cNvSpPr/>
                        <wps:spPr>
                          <a:xfrm>
                            <a:off x="1275359" y="1777543"/>
                            <a:ext cx="349847" cy="180276"/>
                          </a:xfrm>
                          <a:custGeom>
                            <a:avLst/>
                            <a:gdLst/>
                            <a:ahLst/>
                            <a:cxnLst/>
                            <a:rect l="0" t="0" r="0" b="0"/>
                            <a:pathLst>
                              <a:path w="349847" h="180276">
                                <a:moveTo>
                                  <a:pt x="0" y="0"/>
                                </a:moveTo>
                                <a:lnTo>
                                  <a:pt x="349847" y="0"/>
                                </a:lnTo>
                                <a:lnTo>
                                  <a:pt x="349847" y="180276"/>
                                </a:lnTo>
                                <a:lnTo>
                                  <a:pt x="0" y="180276"/>
                                </a:lnTo>
                                <a:lnTo>
                                  <a:pt x="0" y="0"/>
                                </a:lnTo>
                              </a:path>
                            </a:pathLst>
                          </a:custGeom>
                          <a:ln w="15709" cap="flat">
                            <a:miter lim="127000"/>
                          </a:ln>
                        </wps:spPr>
                        <wps:style>
                          <a:lnRef idx="1">
                            <a:srgbClr val="000000"/>
                          </a:lnRef>
                          <a:fillRef idx="1">
                            <a:srgbClr val="FFFFFF"/>
                          </a:fillRef>
                          <a:effectRef idx="0">
                            <a:scrgbClr r="0" g="0" b="0"/>
                          </a:effectRef>
                          <a:fontRef idx="none"/>
                        </wps:style>
                        <wps:bodyPr/>
                      </wps:wsp>
                      <wps:wsp>
                        <wps:cNvPr id="357" name="Shape 357"/>
                        <wps:cNvSpPr/>
                        <wps:spPr>
                          <a:xfrm>
                            <a:off x="0" y="0"/>
                            <a:ext cx="1871662" cy="1142010"/>
                          </a:xfrm>
                          <a:custGeom>
                            <a:avLst/>
                            <a:gdLst/>
                            <a:ahLst/>
                            <a:cxnLst/>
                            <a:rect l="0" t="0" r="0" b="0"/>
                            <a:pathLst>
                              <a:path w="1871662" h="1142010">
                                <a:moveTo>
                                  <a:pt x="0" y="0"/>
                                </a:moveTo>
                                <a:lnTo>
                                  <a:pt x="1871662" y="0"/>
                                </a:lnTo>
                                <a:lnTo>
                                  <a:pt x="1871662" y="1142010"/>
                                </a:lnTo>
                                <a:lnTo>
                                  <a:pt x="0" y="1142010"/>
                                </a:lnTo>
                                <a:close/>
                              </a:path>
                            </a:pathLst>
                          </a:custGeom>
                          <a:ln w="18000" cap="flat">
                            <a:miter lim="100000"/>
                          </a:ln>
                        </wps:spPr>
                        <wps:style>
                          <a:lnRef idx="1">
                            <a:srgbClr val="080808"/>
                          </a:lnRef>
                          <a:fillRef idx="0">
                            <a:srgbClr val="000000">
                              <a:alpha val="0"/>
                            </a:srgbClr>
                          </a:fillRef>
                          <a:effectRef idx="0">
                            <a:scrgbClr r="0" g="0" b="0"/>
                          </a:effectRef>
                          <a:fontRef idx="none"/>
                        </wps:style>
                        <wps:bodyPr/>
                      </wps:wsp>
                      <wps:wsp>
                        <wps:cNvPr id="361" name="Shape 361"/>
                        <wps:cNvSpPr/>
                        <wps:spPr>
                          <a:xfrm>
                            <a:off x="75057" y="59919"/>
                            <a:ext cx="1734884" cy="220370"/>
                          </a:xfrm>
                          <a:custGeom>
                            <a:avLst/>
                            <a:gdLst/>
                            <a:ahLst/>
                            <a:cxnLst/>
                            <a:rect l="0" t="0" r="0" b="0"/>
                            <a:pathLst>
                              <a:path w="1734884" h="220370">
                                <a:moveTo>
                                  <a:pt x="0" y="0"/>
                                </a:moveTo>
                                <a:lnTo>
                                  <a:pt x="1734884" y="0"/>
                                </a:lnTo>
                                <a:lnTo>
                                  <a:pt x="1734884" y="220370"/>
                                </a:lnTo>
                                <a:lnTo>
                                  <a:pt x="0" y="220370"/>
                                </a:lnTo>
                                <a:close/>
                              </a:path>
                            </a:pathLst>
                          </a:custGeom>
                          <a:ln w="15709" cap="flat">
                            <a:miter lim="127000"/>
                          </a:ln>
                        </wps:spPr>
                        <wps:style>
                          <a:lnRef idx="1">
                            <a:srgbClr val="000000"/>
                          </a:lnRef>
                          <a:fillRef idx="0">
                            <a:srgbClr val="000000">
                              <a:alpha val="0"/>
                            </a:srgbClr>
                          </a:fillRef>
                          <a:effectRef idx="0">
                            <a:scrgbClr r="0" g="0" b="0"/>
                          </a:effectRef>
                          <a:fontRef idx="none"/>
                        </wps:style>
                        <wps:bodyPr/>
                      </wps:wsp>
                      <wps:wsp>
                        <wps:cNvPr id="363" name="Shape 363"/>
                        <wps:cNvSpPr/>
                        <wps:spPr>
                          <a:xfrm>
                            <a:off x="75057" y="829361"/>
                            <a:ext cx="1734884" cy="220370"/>
                          </a:xfrm>
                          <a:custGeom>
                            <a:avLst/>
                            <a:gdLst/>
                            <a:ahLst/>
                            <a:cxnLst/>
                            <a:rect l="0" t="0" r="0" b="0"/>
                            <a:pathLst>
                              <a:path w="1734884" h="220370">
                                <a:moveTo>
                                  <a:pt x="0" y="0"/>
                                </a:moveTo>
                                <a:lnTo>
                                  <a:pt x="1734884" y="0"/>
                                </a:lnTo>
                                <a:lnTo>
                                  <a:pt x="1734884" y="220370"/>
                                </a:lnTo>
                                <a:lnTo>
                                  <a:pt x="0" y="220370"/>
                                </a:lnTo>
                                <a:close/>
                              </a:path>
                            </a:pathLst>
                          </a:custGeom>
                          <a:ln w="15709" cap="flat">
                            <a:miter lim="127000"/>
                          </a:ln>
                        </wps:spPr>
                        <wps:style>
                          <a:lnRef idx="1">
                            <a:srgbClr val="000000"/>
                          </a:lnRef>
                          <a:fillRef idx="0">
                            <a:srgbClr val="000000">
                              <a:alpha val="0"/>
                            </a:srgbClr>
                          </a:fillRef>
                          <a:effectRef idx="0">
                            <a:scrgbClr r="0" g="0" b="0"/>
                          </a:effectRef>
                          <a:fontRef idx="none"/>
                        </wps:style>
                        <wps:bodyPr/>
                      </wps:wsp>
                      <wps:wsp>
                        <wps:cNvPr id="366" name="Shape 366"/>
                        <wps:cNvSpPr/>
                        <wps:spPr>
                          <a:xfrm>
                            <a:off x="165049" y="1144880"/>
                            <a:ext cx="0" cy="227508"/>
                          </a:xfrm>
                          <a:custGeom>
                            <a:avLst/>
                            <a:gdLst/>
                            <a:ahLst/>
                            <a:cxnLst/>
                            <a:rect l="0" t="0" r="0" b="0"/>
                            <a:pathLst>
                              <a:path h="227508">
                                <a:moveTo>
                                  <a:pt x="0" y="227508"/>
                                </a:moveTo>
                                <a:cubicBezTo>
                                  <a:pt x="0" y="0"/>
                                  <a:pt x="0" y="0"/>
                                  <a:pt x="0" y="0"/>
                                </a:cubicBezTo>
                              </a:path>
                            </a:pathLst>
                          </a:custGeom>
                          <a:ln w="36000" cap="flat">
                            <a:miter lim="100000"/>
                          </a:ln>
                        </wps:spPr>
                        <wps:style>
                          <a:lnRef idx="1">
                            <a:srgbClr val="000000"/>
                          </a:lnRef>
                          <a:fillRef idx="0">
                            <a:srgbClr val="000000">
                              <a:alpha val="0"/>
                            </a:srgbClr>
                          </a:fillRef>
                          <a:effectRef idx="0">
                            <a:scrgbClr r="0" g="0" b="0"/>
                          </a:effectRef>
                          <a:fontRef idx="none"/>
                        </wps:style>
                        <wps:bodyPr/>
                      </wps:wsp>
                      <wps:wsp>
                        <wps:cNvPr id="367" name="Shape 367"/>
                        <wps:cNvSpPr/>
                        <wps:spPr>
                          <a:xfrm>
                            <a:off x="104826" y="1357351"/>
                            <a:ext cx="120396" cy="129985"/>
                          </a:xfrm>
                          <a:custGeom>
                            <a:avLst/>
                            <a:gdLst/>
                            <a:ahLst/>
                            <a:cxnLst/>
                            <a:rect l="0" t="0" r="0" b="0"/>
                            <a:pathLst>
                              <a:path w="120396" h="129985">
                                <a:moveTo>
                                  <a:pt x="0" y="0"/>
                                </a:moveTo>
                                <a:lnTo>
                                  <a:pt x="120396" y="0"/>
                                </a:lnTo>
                                <a:lnTo>
                                  <a:pt x="60223" y="12998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33" style="width:147.375pt;height:239.063pt;position:absolute;z-index:-2147483628;mso-position-horizontal-relative:text;mso-position-horizontal:absolute;margin-left:158.36pt;mso-position-vertical-relative:text;margin-top:-90.0309pt;" coordsize="18716,30361">
                <v:shape id="Shape 324" style="position:absolute;width:9665;height:3873;left:750;top:25736;" coordsize="966533,387350" path="m0,0l966533,0l966533,387350l0,387350x">
                  <v:stroke weight="1.23696pt" endcap="flat" joinstyle="miter" miterlimit="10" on="true" color="#000000"/>
                  <v:fill on="false" color="#000000" opacity="0"/>
                </v:shape>
                <v:shape id="Shape 326" style="position:absolute;width:9665;height:3874;left:750;top:20405;" coordsize="966533,387401" path="m0,0l966533,0l966533,387401l0,387401x">
                  <v:stroke weight="1.23696pt" endcap="flat" joinstyle="miter" miterlimit="10" on="true" color="#000000"/>
                  <v:fill on="false" color="#000000" opacity="0"/>
                </v:shape>
                <v:shape id="Shape 331" style="position:absolute;width:1203;height:1299;left:4981;top:24357;" coordsize="120396,129921" path="m0,0l120396,0l60172,129921l0,0x">
                  <v:stroke weight="0pt" endcap="flat" joinstyle="miter" miterlimit="10" on="false" color="#000000" opacity="0"/>
                  <v:fill on="true" color="#000000"/>
                </v:shape>
                <v:shape id="Shape 332" style="position:absolute;width:9665;height:3873;left:750;top:15074;" coordsize="966533,387350" path="m0,0l966533,0l966533,387350l0,387350x">
                  <v:stroke weight="1.23696pt" endcap="flat" joinstyle="miter" miterlimit="10" on="true" color="#000000"/>
                  <v:fill on="false" color="#000000" opacity="0"/>
                </v:shape>
                <v:shape id="Shape 335" style="position:absolute;width:1203;height:1299;left:4981;top:19026;" coordsize="120396,129921" path="m0,0l120396,0l60172,129921l0,0x">
                  <v:stroke weight="0pt" endcap="flat" joinstyle="miter" miterlimit="10" on="false" color="#000000" opacity="0"/>
                  <v:fill on="true" color="#000000"/>
                </v:shape>
                <v:shape id="Shape 336" style="position:absolute;width:1469;height:10662;left:10581;top:17011;" coordsize="146952,1066254" path="m0,1066254l146952,1066254l146952,0l0,0">
                  <v:stroke weight="2.83465pt" endcap="flat" joinstyle="miter" miterlimit="4" on="true" color="#000000"/>
                  <v:fill on="false" color="#000000" opacity="0"/>
                </v:shape>
                <v:shape id="Shape 337" style="position:absolute;width:1415;height:1203;left:9269;top:16409;" coordsize="141541,120396" path="m141541,0l141541,120396l0,60172l141541,0x">
                  <v:stroke weight="0pt" endcap="flat" joinstyle="miter" miterlimit="4" on="false" color="#000000" opacity="0"/>
                  <v:fill on="true" color="#000000"/>
                </v:shape>
                <v:shape id="Shape 338" style="position:absolute;width:17331;height:15930;left:0;top:14430;" coordsize="1733156,1593063" path="m0,0l1733156,0l1733156,1593063l0,1593063x">
                  <v:stroke weight="1.41732pt" endcap="flat" joinstyle="miter" miterlimit="4" on="true" color="#080808"/>
                  <v:fill on="false" color="#000000" opacity="0"/>
                </v:shape>
                <v:shape id="Shape 340" style="position:absolute;width:1203;height:1299;left:1048;top:2880;" coordsize="120396,129985" path="m0,0l120396,0l60223,129985l0,0x">
                  <v:stroke weight="0pt" endcap="flat" joinstyle="miter" miterlimit="4" on="false" color="#000000" opacity="0"/>
                  <v:fill on="true" color="#000000"/>
                </v:shape>
                <v:shape id="Shape 341" style="position:absolute;width:1203;height:1299;left:1048;top:4180;" coordsize="120396,129921" path="m0,0l120396,0l60223,129921l0,0x">
                  <v:stroke weight="0pt" endcap="flat" joinstyle="miter" miterlimit="4" on="false" color="#000000" opacity="0"/>
                  <v:fill on="true" color="#000000"/>
                </v:shape>
                <v:shape id="Shape 342" style="position:absolute;width:1203;height:1299;left:1048;top:5514;" coordsize="120396,129921" path="m0,0l120396,0l60223,129921l0,0x">
                  <v:stroke weight="0pt" endcap="flat" joinstyle="miter" miterlimit="4" on="false" color="#000000" opacity="0"/>
                  <v:fill on="true" color="#000000"/>
                </v:shape>
                <v:shape id="Shape 344" style="position:absolute;width:1203;height:1299;left:1048;top:6847;" coordsize="120396,129921" path="m0,0l120396,0l60223,129921l0,0x">
                  <v:stroke weight="0pt" endcap="flat" joinstyle="miter" miterlimit="4" on="false" color="#000000" opacity="0"/>
                  <v:fill on="true" color="#000000"/>
                </v:shape>
                <v:shape id="Shape 15932" style="position:absolute;width:5266;height:3874;left:10763;top:23072;" coordsize="526657,387401" path="m0,0l526657,0l526657,387401l0,387401l0,0">
                  <v:stroke weight="1.23696pt" endcap="flat" joinstyle="miter" miterlimit="10" on="true" color="#000000"/>
                  <v:fill on="true" color="#ffffff"/>
                </v:shape>
                <v:shape id="Shape 350" style="position:absolute;width:1620;height:1619;left:11253;top:20781;" coordsize="162027,161976" path="m81013,0c125768,0,162027,36271,162027,80963c162027,125717,125768,161976,81013,161976c36271,161976,0,125717,0,80963c0,36271,36271,0,81013,0x">
                  <v:stroke weight="1.41732pt" endcap="flat" joinstyle="miter" miterlimit="4" on="true" color="#080808"/>
                  <v:fill on="true" color="#f4f4f4"/>
                </v:shape>
                <v:shape id="Shape 352" style="position:absolute;width:0;height:3369;left:14823;top:19623;" coordsize="0,336994" path="m0,336994c0,0,0,0,0,0">
                  <v:stroke weight="2.83465pt" endcap="flat" joinstyle="miter" miterlimit="4" on="true" color="#000000"/>
                  <v:fill on="false" color="#000000" opacity="0"/>
                </v:shape>
                <v:shape id="Shape 353" style="position:absolute;width:1620;height:1619;left:14111;top:20781;" coordsize="162027,161976" path="m81013,0c125768,0,162027,36271,162027,80963c162027,125717,125768,161976,81013,161976c36271,161976,0,125717,0,80963c0,36271,36271,0,81013,0x">
                  <v:stroke weight="1.41732pt" endcap="flat" joinstyle="miter" miterlimit="4" on="true" color="#080808"/>
                  <v:fill on="true" color="#f4f4f4"/>
                </v:shape>
                <v:shape id="Shape 15933" style="position:absolute;width:3498;height:1802;left:12753;top:17775;" coordsize="349847,180276" path="m0,0l349847,0l349847,180276l0,180276l0,0">
                  <v:stroke weight="1.23696pt" endcap="flat" joinstyle="miter" miterlimit="10" on="true" color="#000000"/>
                  <v:fill on="true" color="#ffffff"/>
                </v:shape>
                <v:shape id="Shape 357" style="position:absolute;width:18716;height:11420;left:0;top:0;" coordsize="1871662,1142010" path="m0,0l1871662,0l1871662,1142010l0,1142010x">
                  <v:stroke weight="1.41732pt" endcap="flat" joinstyle="miter" miterlimit="4" on="true" color="#080808"/>
                  <v:fill on="false" color="#000000" opacity="0"/>
                </v:shape>
                <v:shape id="Shape 361" style="position:absolute;width:17348;height:2203;left:750;top:599;" coordsize="1734884,220370" path="m0,0l1734884,0l1734884,220370l0,220370x">
                  <v:stroke weight="1.23696pt" endcap="flat" joinstyle="miter" miterlimit="10" on="true" color="#000000"/>
                  <v:fill on="false" color="#000000" opacity="0"/>
                </v:shape>
                <v:shape id="Shape 363" style="position:absolute;width:17348;height:2203;left:750;top:8293;" coordsize="1734884,220370" path="m0,0l1734884,0l1734884,220370l0,220370x">
                  <v:stroke weight="1.23696pt" endcap="flat" joinstyle="miter" miterlimit="10" on="true" color="#000000"/>
                  <v:fill on="false" color="#000000" opacity="0"/>
                </v:shape>
                <v:shape id="Shape 366" style="position:absolute;width:0;height:2275;left:1650;top:11448;" coordsize="0,227508" path="m0,227508c0,0,0,0,0,0">
                  <v:stroke weight="2.83465pt" endcap="flat" joinstyle="miter" miterlimit="4" on="true" color="#000000"/>
                  <v:fill on="false" color="#000000" opacity="0"/>
                </v:shape>
                <v:shape id="Shape 367" style="position:absolute;width:1203;height:1299;left:1048;top:13573;" coordsize="120396,129985" path="m0,0l120396,0l60223,129985l0,0x">
                  <v:stroke weight="0pt" endcap="flat" joinstyle="miter" miterlimit="4" on="false" color="#000000" opacity="0"/>
                  <v:fill on="true" color="#000000"/>
                </v:shape>
              </v:group>
            </w:pict>
          </mc:Fallback>
        </mc:AlternateContent>
      </w:r>
      <w:r>
        <w:rPr>
          <w:rFonts w:ascii="Verdana" w:eastAsia="Verdana" w:hAnsi="Verdana" w:cs="Verdana"/>
          <w:sz w:val="16"/>
        </w:rPr>
        <w:t xml:space="preserve">Seed with random DFT </w:t>
      </w:r>
      <w:r>
        <w:rPr>
          <w:rFonts w:ascii="Arial" w:eastAsia="Arial" w:hAnsi="Arial" w:cs="Arial"/>
          <w:sz w:val="20"/>
        </w:rPr>
        <w:t>Active Learning Search</w:t>
      </w:r>
    </w:p>
    <w:p w14:paraId="06B8A105" w14:textId="77777777" w:rsidR="003879A7" w:rsidRDefault="00FA75AB">
      <w:pPr>
        <w:spacing w:after="0" w:line="268" w:lineRule="auto"/>
        <w:ind w:left="3922" w:right="3466"/>
        <w:jc w:val="left"/>
      </w:pPr>
      <w:r>
        <w:rPr>
          <w:rFonts w:ascii="Arial" w:eastAsia="Arial" w:hAnsi="Arial" w:cs="Arial"/>
          <w:sz w:val="20"/>
        </w:rPr>
        <w:t>ML</w:t>
      </w:r>
    </w:p>
    <w:p w14:paraId="740600C6" w14:textId="77777777" w:rsidR="003879A7" w:rsidRDefault="00FA75AB">
      <w:pPr>
        <w:spacing w:after="0" w:line="268" w:lineRule="auto"/>
        <w:ind w:left="3703" w:right="3466"/>
        <w:jc w:val="left"/>
      </w:pPr>
      <w:r>
        <w:rPr>
          <w:rFonts w:ascii="Arial" w:eastAsia="Arial" w:hAnsi="Arial" w:cs="Arial"/>
          <w:sz w:val="20"/>
        </w:rPr>
        <w:t>Training</w:t>
      </w:r>
    </w:p>
    <w:p w14:paraId="2558A278" w14:textId="77777777" w:rsidR="003879A7" w:rsidRDefault="00FA75AB">
      <w:pPr>
        <w:spacing w:after="383" w:line="265" w:lineRule="auto"/>
        <w:ind w:left="4539" w:right="2951"/>
        <w:jc w:val="center"/>
      </w:pPr>
      <w:r>
        <w:rPr>
          <w:rFonts w:ascii="Arial" w:eastAsia="Arial" w:hAnsi="Arial" w:cs="Arial"/>
          <w:sz w:val="16"/>
        </w:rPr>
        <w:t>STOP</w:t>
      </w:r>
    </w:p>
    <w:p w14:paraId="545D96DB" w14:textId="77777777" w:rsidR="003879A7" w:rsidRDefault="00FA75AB">
      <w:pPr>
        <w:tabs>
          <w:tab w:val="center" w:pos="4036"/>
          <w:tab w:val="center" w:pos="5064"/>
          <w:tab w:val="center" w:pos="5514"/>
        </w:tabs>
        <w:spacing w:after="91" w:line="259" w:lineRule="auto"/>
        <w:ind w:left="0" w:firstLine="0"/>
        <w:jc w:val="left"/>
      </w:pPr>
      <w:r>
        <w:rPr>
          <w:rFonts w:ascii="Calibri" w:eastAsia="Calibri" w:hAnsi="Calibri" w:cs="Calibri"/>
          <w:sz w:val="22"/>
        </w:rPr>
        <w:tab/>
      </w:r>
      <w:r>
        <w:rPr>
          <w:rFonts w:ascii="Arial" w:eastAsia="Arial" w:hAnsi="Arial" w:cs="Arial"/>
          <w:sz w:val="20"/>
        </w:rPr>
        <w:t xml:space="preserve">Predict </w:t>
      </w:r>
      <w:proofErr w:type="spellStart"/>
      <w:r>
        <w:rPr>
          <w:rFonts w:ascii="Arial" w:eastAsia="Arial" w:hAnsi="Arial" w:cs="Arial"/>
          <w:sz w:val="20"/>
        </w:rPr>
        <w:t>ΔE</w:t>
      </w:r>
      <w:r>
        <w:rPr>
          <w:rFonts w:ascii="Arial" w:eastAsia="Arial" w:hAnsi="Arial" w:cs="Arial"/>
          <w:sz w:val="13"/>
        </w:rPr>
        <w:t>f</w:t>
      </w:r>
      <w:proofErr w:type="spellEnd"/>
      <w:r>
        <w:rPr>
          <w:rFonts w:ascii="Arial" w:eastAsia="Arial" w:hAnsi="Arial" w:cs="Arial"/>
          <w:sz w:val="13"/>
        </w:rPr>
        <w:tab/>
      </w:r>
      <w:r>
        <w:rPr>
          <w:rFonts w:ascii="Verdana" w:eastAsia="Verdana" w:hAnsi="Verdana" w:cs="Verdana"/>
          <w:sz w:val="12"/>
        </w:rPr>
        <w:t>Yes</w:t>
      </w:r>
      <w:r>
        <w:rPr>
          <w:rFonts w:ascii="Verdana" w:eastAsia="Verdana" w:hAnsi="Verdana" w:cs="Verdana"/>
          <w:sz w:val="12"/>
        </w:rPr>
        <w:tab/>
        <w:t>No</w:t>
      </w:r>
    </w:p>
    <w:p w14:paraId="2571316B" w14:textId="77777777" w:rsidR="003879A7" w:rsidRDefault="00FA75AB">
      <w:pPr>
        <w:spacing w:after="0" w:line="265" w:lineRule="auto"/>
        <w:ind w:left="4539" w:right="3294"/>
        <w:jc w:val="center"/>
      </w:pPr>
      <w:r>
        <w:rPr>
          <w:rFonts w:ascii="Arial" w:eastAsia="Arial" w:hAnsi="Arial" w:cs="Arial"/>
          <w:sz w:val="16"/>
        </w:rPr>
        <w:t>New stable structures</w:t>
      </w:r>
    </w:p>
    <w:p w14:paraId="028191E5" w14:textId="77777777" w:rsidR="003879A7" w:rsidRDefault="00FA75AB">
      <w:pPr>
        <w:spacing w:after="0" w:line="265" w:lineRule="auto"/>
        <w:ind w:left="4539" w:right="3338"/>
        <w:jc w:val="center"/>
      </w:pPr>
      <w:r>
        <w:rPr>
          <w:rFonts w:ascii="Arial" w:eastAsia="Arial" w:hAnsi="Arial" w:cs="Arial"/>
          <w:sz w:val="16"/>
        </w:rPr>
        <w:t>found?</w:t>
      </w:r>
    </w:p>
    <w:p w14:paraId="3FC69E43" w14:textId="77777777" w:rsidR="003879A7" w:rsidRDefault="00FA75AB">
      <w:pPr>
        <w:spacing w:after="561" w:line="268" w:lineRule="auto"/>
        <w:ind w:left="3342" w:right="3466"/>
        <w:jc w:val="left"/>
      </w:pPr>
      <w:r>
        <w:rPr>
          <w:rFonts w:ascii="Arial" w:eastAsia="Arial" w:hAnsi="Arial" w:cs="Arial"/>
          <w:sz w:val="20"/>
        </w:rPr>
        <w:t>Acquisition/DFT</w:t>
      </w:r>
    </w:p>
    <w:p w14:paraId="41B2404A" w14:textId="77777777" w:rsidR="003879A7" w:rsidRDefault="00FA75AB">
      <w:pPr>
        <w:spacing w:after="431" w:line="249" w:lineRule="auto"/>
        <w:ind w:left="-5"/>
      </w:pPr>
      <w:r>
        <w:t>Figure 1: Process flow diagram for the active learning accelerated algorithm. The procedure is composed of (a) generation of the candidate set of considered crystal structures constructed from DFT materials databases and (b) iterative active learning surro</w:t>
      </w:r>
      <w:r>
        <w:t>gate search of the candidate space.</w:t>
      </w:r>
    </w:p>
    <w:p w14:paraId="6E594074" w14:textId="77777777" w:rsidR="003879A7" w:rsidRDefault="00FA75AB">
      <w:pPr>
        <w:ind w:left="-15" w:firstLine="351"/>
      </w:pPr>
      <w:r>
        <w:t>Figure 3a shows a sequence of plots at various generations of the active learning loop, starting with the initial generation with five randomly drawn candidates and ending with the 40th generation of the ALL (205 DFT com</w:t>
      </w:r>
      <w:r>
        <w:t>puted structures out of the 248 total candidates). Each plot tracks the predicted (hollow grey) and DFT-derived (solid red) formation enthalpies, sorted from most to least stable. As the active learning loop acquires DFT data, the GP model becomes more acc</w:t>
      </w:r>
      <w:r>
        <w:t xml:space="preserve">urate, as evidenced by the decreasing uncertainties when </w:t>
      </w:r>
      <w:r>
        <w:lastRenderedPageBreak/>
        <w:t>going from left to right. At the top of each subplot of 3 the identity of top ten most stable polymorphs is tracked, with the short grey line turning into a longer red line when the structure is acqu</w:t>
      </w:r>
      <w:r>
        <w:t>ired by the ALL. At the first generation the top ten structures are randomly distributed across the entire candidate space because the GP model hasn’t had enough training data to identify the most stable polymorphs as low energy systems. After only three g</w:t>
      </w:r>
      <w:r>
        <w:t>enerations (3</w:t>
      </w:r>
      <w:proofErr w:type="gramStart"/>
      <w:r>
        <w:t>a.ii</w:t>
      </w:r>
      <w:proofErr w:type="gramEnd"/>
      <w:r>
        <w:t>) the GP model is sufficiently trained to have correctly identified all of the top ten systems as being low energy. Additionally, by the third generation (20 DFT calculations) 2/10 top systems have been acquired. After another 3 generation</w:t>
      </w:r>
      <w:r>
        <w:t>s (3a.iii) (15 additional DFT calculations) the AL routine has successfully identified 7/10 of the top systems. Figure 3e plots the number of top ten structures acquired as a function of DFT calculations for the ALL with the GP-UCB acquisition function and</w:t>
      </w:r>
      <w:r>
        <w:t xml:space="preserve"> a baseline random acquisition scheme. The results of figure 3e are averaged over independent runs of AL algorithm with the 1 sigma standard deviation between these runs shown. Overall, the GP-UCB runs outperform the random acquisition runs, with only 50 D</w:t>
      </w:r>
      <w:r>
        <w:t>FT calculations on average needed to discover 7 of the top 10 systems. This is compared to the 157 DFT calculations needed to compare 7/10 top systems for the random acquisition.</w:t>
      </w:r>
    </w:p>
    <w:p w14:paraId="710A9FB8" w14:textId="77777777" w:rsidR="003879A7" w:rsidRDefault="00FA75AB">
      <w:pPr>
        <w:ind w:left="-15" w:firstLine="351"/>
      </w:pPr>
      <w:r>
        <w:t>The low energy region of 3a.iii is shown in 3c. And the 6 most stable structu</w:t>
      </w:r>
      <w:r>
        <w:t>ral polymorphs are shown in 3d.</w:t>
      </w:r>
    </w:p>
    <w:p w14:paraId="3F9E402B" w14:textId="77777777" w:rsidR="003879A7" w:rsidRDefault="00FA75AB">
      <w:pPr>
        <w:spacing w:after="438"/>
        <w:ind w:left="-15" w:firstLine="351"/>
      </w:pPr>
      <w:r>
        <w:t>Having demonstrated the efficacy of the ALL materials discovery scheme we will now turn our attention to evaluating the performance of the GP regressive model of the final generation (trained on all available IrO3 DFT data).</w:t>
      </w:r>
      <w:r>
        <w:t xml:space="preserve"> Figure 3b plots the GP model predicted formation enthalpy against the DFT-computed values for two special cases, 1.) predicting onto the features of the pre-optimized structures (grey), as is done in the regular operation of the ALL when acquiring new str</w:t>
      </w:r>
      <w:r>
        <w:t xml:space="preserve">uctures and 2.) predicting onto the post-DFT fingerprints (blue). It is evident from the parity plot in figure 3b that the Gaussian process model is doing </w:t>
      </w:r>
      <w:proofErr w:type="gramStart"/>
      <w:r>
        <w:t>an</w:t>
      </w:r>
      <w:proofErr w:type="gramEnd"/>
      <w:r>
        <w:t xml:space="preserve"> poor job of predicting the DFT formation energy of the candidate space using the preoptimized fing</w:t>
      </w:r>
      <w:r>
        <w:t xml:space="preserve">erprints, with an exceptionally poor MAE of 1.5 eV/atom. The model’s poor </w:t>
      </w:r>
      <w:r>
        <w:lastRenderedPageBreak/>
        <w:t>predictions are skewed towards the higher formation enthalpies, with the errors associated with low energy structures being much more robust. The same GP model does comparatively muc</w:t>
      </w:r>
      <w:r>
        <w:t xml:space="preserve">h better at predicting the formation energies of post-DFT optimized structures with </w:t>
      </w:r>
      <w:proofErr w:type="gramStart"/>
      <w:r>
        <w:t>an</w:t>
      </w:r>
      <w:proofErr w:type="gramEnd"/>
      <w:r>
        <w:t xml:space="preserve"> MAE of 0.2 eV/atom, which is expected since the post-DFT fingerprints directly corresponds to the DFT energies. This is to show that the GP model’s poor predictive capab</w:t>
      </w:r>
      <w:r>
        <w:t xml:space="preserve">ilities </w:t>
      </w:r>
      <w:proofErr w:type="gramStart"/>
      <w:r>
        <w:t>is</w:t>
      </w:r>
      <w:proofErr w:type="gramEnd"/>
      <w:r>
        <w:t xml:space="preserve"> due to the large degree of structural reorganization that occurs after DFT relaxation of the pre-optimized structure. Structures that are initialized in high energy configurations will therefore have high predicted formation enthalpies, and will</w:t>
      </w:r>
      <w:r>
        <w:t xml:space="preserve"> then reconfigure into a lower nearby configuration, resulting in lower final energy and a large discrepancy between the predicted and final energies. It’s interesting to consider why the ALL appears to perform so well as outlined previously (discovering 7</w:t>
      </w:r>
      <w:r>
        <w:t>/10 of the most stable candidates after only 35 DFT calculations). The reason for this is that the pre-optimized structures that are similar enough to the most stable final equilibrium structures will not restructure considerably, meaning that their predic</w:t>
      </w:r>
      <w:r>
        <w:t>ted formation energies will be close enough (and low enough) to be quickly picked up by the acquisition criteria.</w:t>
      </w:r>
    </w:p>
    <w:p w14:paraId="351081DF" w14:textId="77777777" w:rsidR="003879A7" w:rsidRDefault="00FA75AB">
      <w:pPr>
        <w:pStyle w:val="Heading2"/>
        <w:ind w:left="-5"/>
      </w:pPr>
      <w:r>
        <w:t>III. Crystal coordination analysis of discovered phases</w:t>
      </w:r>
    </w:p>
    <w:p w14:paraId="55531017" w14:textId="77777777" w:rsidR="003879A7" w:rsidRDefault="00FA75AB">
      <w:pPr>
        <w:spacing w:after="0" w:line="431" w:lineRule="auto"/>
        <w:ind w:left="-5"/>
        <w:jc w:val="left"/>
      </w:pPr>
      <w:r>
        <w:rPr>
          <w:b/>
        </w:rPr>
        <w:t>There should be a paragraph which discussed the structural drift and performance/accel</w:t>
      </w:r>
      <w:r>
        <w:rPr>
          <w:b/>
        </w:rPr>
        <w:t xml:space="preserve">eration in more detail </w:t>
      </w:r>
      <w:r>
        <w:t>I would use the updated version of Figure 2c.</w:t>
      </w:r>
    </w:p>
    <w:p w14:paraId="6E9D3884" w14:textId="77777777" w:rsidR="003879A7" w:rsidRDefault="00FA75AB">
      <w:pPr>
        <w:ind w:left="-15" w:firstLine="351"/>
      </w:pPr>
      <w:r>
        <w:t xml:space="preserve">Next, we describe the structural variety that is present in our data set of 1000 IrO2 and IrO3 polymorphs. The coordination environment package </w:t>
      </w:r>
      <w:proofErr w:type="spellStart"/>
      <w:r>
        <w:t>ChemEnv</w:t>
      </w:r>
      <w:proofErr w:type="spellEnd"/>
      <w:r>
        <w:t xml:space="preserve">, developed by </w:t>
      </w:r>
      <w:proofErr w:type="spellStart"/>
      <w:r>
        <w:t>Waroquiers</w:t>
      </w:r>
      <w:proofErr w:type="spellEnd"/>
      <w:r>
        <w:t xml:space="preserve"> et. al.</w:t>
      </w:r>
      <w:r>
        <w:rPr>
          <w:vertAlign w:val="superscript"/>
        </w:rPr>
        <w:t xml:space="preserve">18 </w:t>
      </w:r>
      <w:r>
        <w:t>and implemented in pymatgen,</w:t>
      </w:r>
      <w:r>
        <w:rPr>
          <w:vertAlign w:val="superscript"/>
        </w:rPr>
        <w:t>19</w:t>
      </w:r>
      <w:r>
        <w:t xml:space="preserve">was used to assign M-O crystal filed coordination types (e.g. octahedral, square pyramidal, cubic, etc.) to each of the 1K structures in our combined data set. </w:t>
      </w:r>
      <w:r>
        <w:rPr>
          <w:b/>
        </w:rPr>
        <w:t>Describe in two paragraphs what is shown in Figure 3 and in what t</w:t>
      </w:r>
      <w:r>
        <w:rPr>
          <w:b/>
        </w:rPr>
        <w:t>he main consequences of these results</w:t>
      </w:r>
    </w:p>
    <w:p w14:paraId="208E0AF4" w14:textId="77777777" w:rsidR="003879A7" w:rsidRDefault="00FA75AB">
      <w:pPr>
        <w:spacing w:after="438"/>
        <w:ind w:left="-15" w:firstLine="351"/>
      </w:pPr>
      <w:r>
        <w:lastRenderedPageBreak/>
        <w:t>Additional esoteric coordination environments were identified manually, see SI. The resulting distribution is included in figure TEMP, which plots the electronic energy and volume, both normalized on a per atom basis</w:t>
      </w:r>
    </w:p>
    <w:p w14:paraId="0446F4CE" w14:textId="77777777" w:rsidR="003879A7" w:rsidRDefault="00FA75AB">
      <w:pPr>
        <w:pStyle w:val="Heading2"/>
        <w:spacing w:after="289"/>
        <w:ind w:left="-5"/>
      </w:pPr>
      <w:r>
        <w:t>I</w:t>
      </w:r>
      <w:r>
        <w:t>II. Electrochemical OER Application</w:t>
      </w:r>
    </w:p>
    <w:p w14:paraId="312A4539" w14:textId="77777777" w:rsidR="003879A7" w:rsidRDefault="00FA75AB">
      <w:pPr>
        <w:spacing w:after="34"/>
        <w:ind w:left="-5"/>
      </w:pPr>
      <w:r>
        <w:t xml:space="preserve">We next performed </w:t>
      </w:r>
      <w:r>
        <w:rPr>
          <w:i/>
        </w:rPr>
        <w:t xml:space="preserve">ab-initio </w:t>
      </w:r>
      <w:r>
        <w:t xml:space="preserve">thermodynamic simulations to elucidate the electrochemical operational stability of </w:t>
      </w:r>
      <w:proofErr w:type="spellStart"/>
      <w:r>
        <w:t>IrOx</w:t>
      </w:r>
      <w:proofErr w:type="spellEnd"/>
      <w:r>
        <w:t xml:space="preserve"> and the OER activity of the four stable polymorphs (rutile-</w:t>
      </w:r>
    </w:p>
    <w:p w14:paraId="3DAE7300" w14:textId="77777777" w:rsidR="003879A7" w:rsidRDefault="00FA75AB">
      <w:pPr>
        <w:spacing w:line="259" w:lineRule="auto"/>
        <w:ind w:left="-5"/>
      </w:pPr>
      <w:r>
        <w:t>IrO</w:t>
      </w:r>
      <w:r>
        <w:rPr>
          <w:vertAlign w:val="subscript"/>
        </w:rPr>
        <w:t>2</w:t>
      </w:r>
      <w:r>
        <w:t xml:space="preserve">, </w:t>
      </w:r>
      <w:r>
        <w:rPr>
          <w:i/>
        </w:rPr>
        <w:t>α</w:t>
      </w:r>
      <w:r>
        <w:t>-IrO</w:t>
      </w:r>
      <w:r>
        <w:rPr>
          <w:vertAlign w:val="subscript"/>
        </w:rPr>
        <w:t>3</w:t>
      </w:r>
      <w:r>
        <w:t>, rutile-IrO</w:t>
      </w:r>
      <w:r>
        <w:rPr>
          <w:vertAlign w:val="subscript"/>
        </w:rPr>
        <w:t>3</w:t>
      </w:r>
      <w:r>
        <w:t xml:space="preserve">, and </w:t>
      </w:r>
      <w:r>
        <w:rPr>
          <w:i/>
        </w:rPr>
        <w:t>β</w:t>
      </w:r>
      <w:r>
        <w:t>-IrO</w:t>
      </w:r>
      <w:r>
        <w:rPr>
          <w:vertAlign w:val="subscript"/>
        </w:rPr>
        <w:t>3</w:t>
      </w:r>
      <w:r>
        <w:t>) computed above (</w:t>
      </w:r>
      <w:proofErr w:type="spellStart"/>
      <w:r>
        <w:t>Fg</w:t>
      </w:r>
      <w:proofErr w:type="spellEnd"/>
      <w:r>
        <w:t>. XYZ).</w:t>
      </w:r>
    </w:p>
    <w:p w14:paraId="687E91ED" w14:textId="77777777" w:rsidR="003879A7" w:rsidRDefault="00FA75AB">
      <w:pPr>
        <w:spacing w:after="355" w:line="246" w:lineRule="auto"/>
        <w:ind w:left="-5"/>
      </w:pPr>
      <w:r>
        <w:t>Figure 2: (a) Progress of the active learning algorithm at five subsequent generations. The AL generation and number of DFT training data at each generation is shown for each subplot. The enthalpy of formation is plotted, ordered from most to least stable,</w:t>
      </w:r>
      <w:r>
        <w:t xml:space="preserve"> against all IrO3 candidates. Grey markers indicate predicted formation enthalpies from the ML model while red markers correspond to DFT-computed quantities. Error bars from the GP model corresponding to 1 sigma are shown for all predictions. The vertical </w:t>
      </w:r>
      <w:r>
        <w:t>lines at the top of each subplot are tracking the positions of the 10 most stable polymorphs at each generation and whether they have been acquired (red) or not (grey) by the AL routine. (b) Parity plot of the final ML models for IrO2 and IrO3 predicting o</w:t>
      </w:r>
      <w:r>
        <w:t>n either the pre-optimized (grey) or the post-optimized structures of IrO2 and IrO3. (c) Zoomed inset of the 6th generation of the AL loop. (d) Crystal structures of 6 most stable IrO3 polymorphs. (e) The number of the top 10 most stable polymorphs of IrO3</w:t>
      </w:r>
      <w:r>
        <w:t xml:space="preserve"> that are discovered as a function of the number of DFT bulk relaxations, averaged over 5 independent runs of the AL algorithm using the GPUCB acquisition criteria (red) and a random acquisition method (grey). Error bars indicate the standard deviation ove</w:t>
      </w:r>
      <w:r>
        <w:t xml:space="preserve">r 5 runs. Red </w:t>
      </w:r>
      <w:proofErr w:type="gramStart"/>
      <w:r>
        <w:t>guide lines</w:t>
      </w:r>
      <w:proofErr w:type="gramEnd"/>
      <w:r>
        <w:t xml:space="preserve"> are displayed to show how many DFT calculations are needed to discover 7/10 of most stable polymorphs for the GP-UCB and random acquisition.</w:t>
      </w:r>
    </w:p>
    <w:p w14:paraId="5AB12383" w14:textId="77777777" w:rsidR="003879A7" w:rsidRDefault="00FA75AB">
      <w:pPr>
        <w:pStyle w:val="Heading3"/>
        <w:ind w:left="-5"/>
      </w:pPr>
      <w:r>
        <w:t xml:space="preserve">Bulk </w:t>
      </w:r>
      <w:proofErr w:type="spellStart"/>
      <w:r>
        <w:t>Pourbaix</w:t>
      </w:r>
      <w:proofErr w:type="spellEnd"/>
    </w:p>
    <w:p w14:paraId="58AC4070" w14:textId="77777777" w:rsidR="003879A7" w:rsidRDefault="00FA75AB">
      <w:pPr>
        <w:spacing w:after="36"/>
        <w:ind w:left="-5"/>
      </w:pPr>
      <w:r>
        <w:t xml:space="preserve">Figure </w:t>
      </w:r>
      <w:r>
        <w:rPr>
          <w:b/>
        </w:rPr>
        <w:t xml:space="preserve">?? </w:t>
      </w:r>
      <w:r>
        <w:t xml:space="preserve">reports the </w:t>
      </w:r>
      <w:proofErr w:type="spellStart"/>
      <w:r>
        <w:t>IrOx</w:t>
      </w:r>
      <w:proofErr w:type="spellEnd"/>
      <w:r>
        <w:t xml:space="preserve"> </w:t>
      </w:r>
      <w:proofErr w:type="spellStart"/>
      <w:r>
        <w:t>Pourbaix</w:t>
      </w:r>
      <w:proofErr w:type="spellEnd"/>
      <w:r>
        <w:t xml:space="preserve"> diagram (E vs. pH) constructed with the</w:t>
      </w:r>
      <w:r>
        <w:t xml:space="preserve"> following species: </w:t>
      </w:r>
      <w:proofErr w:type="spellStart"/>
      <w:r>
        <w:t>Ir</w:t>
      </w:r>
      <w:proofErr w:type="spellEnd"/>
      <w:r>
        <w:t>, rutile-IrO</w:t>
      </w:r>
      <w:r>
        <w:rPr>
          <w:vertAlign w:val="subscript"/>
        </w:rPr>
        <w:t>2</w:t>
      </w:r>
      <w:r>
        <w:t xml:space="preserve">, </w:t>
      </w:r>
      <w:r>
        <w:rPr>
          <w:i/>
        </w:rPr>
        <w:t>α</w:t>
      </w:r>
      <w:r>
        <w:t>-IrO</w:t>
      </w:r>
      <w:r>
        <w:rPr>
          <w:vertAlign w:val="subscript"/>
        </w:rPr>
        <w:t>3</w:t>
      </w:r>
      <w:r>
        <w:t>, rutile-IrO</w:t>
      </w:r>
      <w:r>
        <w:rPr>
          <w:vertAlign w:val="subscript"/>
        </w:rPr>
        <w:t>3</w:t>
      </w:r>
      <w:r>
        <w:t xml:space="preserve">, </w:t>
      </w:r>
      <w:r>
        <w:rPr>
          <w:i/>
        </w:rPr>
        <w:t>β</w:t>
      </w:r>
      <w:r>
        <w:t>-IrO</w:t>
      </w:r>
      <w:r>
        <w:rPr>
          <w:vertAlign w:val="subscript"/>
        </w:rPr>
        <w:t>3</w:t>
      </w:r>
      <w:r>
        <w:t xml:space="preserve">, and an aqueous dissolved </w:t>
      </w:r>
      <w:proofErr w:type="spellStart"/>
      <w:proofErr w:type="gramStart"/>
      <w:r>
        <w:t>IrO</w:t>
      </w:r>
      <w:proofErr w:type="spellEnd"/>
      <w:r>
        <w:t>[</w:t>
      </w:r>
      <w:proofErr w:type="gramEnd"/>
      <w:r>
        <w:t>4</w:t>
      </w:r>
      <w:r>
        <w:t>−</w:t>
      </w:r>
      <w:r>
        <w:t>] species</w:t>
      </w:r>
    </w:p>
    <w:p w14:paraId="6330FF72" w14:textId="77777777" w:rsidR="003879A7" w:rsidRDefault="00FA75AB">
      <w:pPr>
        <w:spacing w:after="236" w:line="259" w:lineRule="auto"/>
        <w:ind w:left="-39" w:firstLine="0"/>
        <w:jc w:val="left"/>
      </w:pPr>
      <w:r>
        <w:rPr>
          <w:noProof/>
        </w:rPr>
        <w:lastRenderedPageBreak/>
        <w:drawing>
          <wp:inline distT="0" distB="0" distL="0" distR="0" wp14:anchorId="72873164" wp14:editId="477ECA6E">
            <wp:extent cx="5943879" cy="3579767"/>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7"/>
                    <a:stretch>
                      <a:fillRect/>
                    </a:stretch>
                  </pic:blipFill>
                  <pic:spPr>
                    <a:xfrm>
                      <a:off x="0" y="0"/>
                      <a:ext cx="5943879" cy="3579767"/>
                    </a:xfrm>
                    <a:prstGeom prst="rect">
                      <a:avLst/>
                    </a:prstGeom>
                  </pic:spPr>
                </pic:pic>
              </a:graphicData>
            </a:graphic>
          </wp:inline>
        </w:drawing>
      </w:r>
    </w:p>
    <w:p w14:paraId="69C4B4CB" w14:textId="77777777" w:rsidR="003879A7" w:rsidRDefault="00FA75AB">
      <w:pPr>
        <w:spacing w:after="460" w:line="246" w:lineRule="auto"/>
        <w:ind w:left="-5"/>
      </w:pPr>
      <w:r>
        <w:t>Figure 3: Enthalpy of formation for the 448 IrO2 (circles) and 258 IrO3 (crosses) structures in the candidate data set plotted against the volume p</w:t>
      </w:r>
      <w:r>
        <w:t>er atom. Color overlays indicate the dominant coordination motifs as indicated by the legend. Select polymorphs systems are displayed around the plot area.</w:t>
      </w:r>
    </w:p>
    <w:p w14:paraId="3A58BDAB" w14:textId="77777777" w:rsidR="003879A7" w:rsidRDefault="00FA75AB">
      <w:pPr>
        <w:spacing w:after="33"/>
        <w:ind w:left="-5"/>
      </w:pPr>
      <w:r>
        <w:t>(See TEMP—SI for additional details). While and rutile-IrO</w:t>
      </w:r>
      <w:r>
        <w:rPr>
          <w:vertAlign w:val="subscript"/>
        </w:rPr>
        <w:t xml:space="preserve">2 </w:t>
      </w:r>
      <w:r>
        <w:t xml:space="preserve">are most stable at low bias, </w:t>
      </w:r>
      <w:r>
        <w:rPr>
          <w:i/>
        </w:rPr>
        <w:t>α</w:t>
      </w:r>
      <w:r>
        <w:t>-IrO</w:t>
      </w:r>
      <w:r>
        <w:rPr>
          <w:vertAlign w:val="subscript"/>
        </w:rPr>
        <w:t xml:space="preserve">3 </w:t>
      </w:r>
      <w:r>
        <w:t>is t</w:t>
      </w:r>
      <w:r>
        <w:t xml:space="preserve">he most stable species under acidic conditions (pH </w:t>
      </w:r>
      <w:r>
        <w:rPr>
          <w:i/>
        </w:rPr>
        <w:t>&lt;</w:t>
      </w:r>
      <w:r>
        <w:t xml:space="preserve">7) and in the bias region of interest for the OER </w:t>
      </w:r>
      <w:proofErr w:type="gramStart"/>
      <w:r>
        <w:t>( 1.23</w:t>
      </w:r>
      <w:proofErr w:type="gramEnd"/>
      <w:r>
        <w:t xml:space="preserve"> V vs. RHE). The stability regions of the metastable rutile-IrO</w:t>
      </w:r>
      <w:r>
        <w:rPr>
          <w:vertAlign w:val="subscript"/>
        </w:rPr>
        <w:t xml:space="preserve">3 </w:t>
      </w:r>
      <w:r>
        <w:t xml:space="preserve">and </w:t>
      </w:r>
      <w:r>
        <w:rPr>
          <w:i/>
        </w:rPr>
        <w:t>β</w:t>
      </w:r>
      <w:r>
        <w:t>-IrO</w:t>
      </w:r>
      <w:r>
        <w:rPr>
          <w:vertAlign w:val="subscript"/>
        </w:rPr>
        <w:t xml:space="preserve">3 </w:t>
      </w:r>
      <w:r>
        <w:t>phases are indicated by unfilled solid lines and appear (meta</w:t>
      </w:r>
      <w:proofErr w:type="gramStart"/>
      <w:r>
        <w:t>?)stable</w:t>
      </w:r>
      <w:proofErr w:type="gramEnd"/>
      <w:r>
        <w:t xml:space="preserve"> in</w:t>
      </w:r>
      <w:r>
        <w:t xml:space="preserve"> the OER relevant region of the diagram. The similar formation energies (SI XYZ) for all three IrO3 species suggest some or </w:t>
      </w:r>
      <w:proofErr w:type="gramStart"/>
      <w:r>
        <w:t>all of</w:t>
      </w:r>
      <w:proofErr w:type="gramEnd"/>
      <w:r>
        <w:t xml:space="preserve"> these IrO</w:t>
      </w:r>
      <w:r>
        <w:rPr>
          <w:vertAlign w:val="subscript"/>
        </w:rPr>
        <w:t xml:space="preserve">3 </w:t>
      </w:r>
      <w:r>
        <w:t>phases may be present and are stable under OER</w:t>
      </w:r>
    </w:p>
    <w:p w14:paraId="79710E80" w14:textId="77777777" w:rsidR="003879A7" w:rsidRDefault="00FA75AB">
      <w:pPr>
        <w:spacing w:after="350"/>
        <w:ind w:left="-5"/>
      </w:pPr>
      <w:r>
        <w:t>conditions.</w:t>
      </w:r>
    </w:p>
    <w:p w14:paraId="01464C59" w14:textId="77777777" w:rsidR="003879A7" w:rsidRDefault="00FA75AB">
      <w:pPr>
        <w:pStyle w:val="Heading3"/>
        <w:ind w:left="-5"/>
      </w:pPr>
      <w:r>
        <w:t>OER Surfaces and Activities</w:t>
      </w:r>
    </w:p>
    <w:p w14:paraId="00EBB1F3" w14:textId="77777777" w:rsidR="003879A7" w:rsidRDefault="00FA75AB">
      <w:pPr>
        <w:ind w:left="-5"/>
      </w:pPr>
      <w:r>
        <w:t xml:space="preserve">Fig. 5 summarizes the </w:t>
      </w:r>
      <w:r>
        <w:rPr>
          <w:strike/>
        </w:rPr>
        <w:t>major</w:t>
      </w:r>
      <w:r>
        <w:rPr>
          <w:strike/>
        </w:rPr>
        <w:t xml:space="preserve"> </w:t>
      </w:r>
      <w:r>
        <w:t xml:space="preserve">results of the electrochemical activity and surface stability </w:t>
      </w:r>
      <w:proofErr w:type="gramStart"/>
      <w:r>
        <w:t>analysis,</w:t>
      </w:r>
      <w:proofErr w:type="gramEnd"/>
      <w:r>
        <w:t xml:space="preserve"> structure files and method details are reported in SI XYZ. Fig. 5 a.) reports the surface energy </w:t>
      </w:r>
      <w:proofErr w:type="spellStart"/>
      <w:r>
        <w:t>Pourbaix</w:t>
      </w:r>
      <w:proofErr w:type="spellEnd"/>
      <w:r>
        <w:t xml:space="preserve"> plots as a function of applied potential (at pH=0) for the four </w:t>
      </w:r>
      <w:proofErr w:type="spellStart"/>
      <w:r>
        <w:t>IrOx</w:t>
      </w:r>
      <w:proofErr w:type="spellEnd"/>
    </w:p>
    <w:p w14:paraId="6D1672EB" w14:textId="77777777" w:rsidR="003879A7" w:rsidRDefault="00FA75AB">
      <w:pPr>
        <w:spacing w:after="524" w:line="259" w:lineRule="auto"/>
        <w:ind w:left="2344" w:firstLine="0"/>
        <w:jc w:val="left"/>
      </w:pPr>
      <w:r>
        <w:rPr>
          <w:noProof/>
        </w:rPr>
        <w:lastRenderedPageBreak/>
        <w:drawing>
          <wp:inline distT="0" distB="0" distL="0" distR="0" wp14:anchorId="6628B699" wp14:editId="42F20737">
            <wp:extent cx="2916936" cy="1872234"/>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8"/>
                    <a:stretch>
                      <a:fillRect/>
                    </a:stretch>
                  </pic:blipFill>
                  <pic:spPr>
                    <a:xfrm>
                      <a:off x="0" y="0"/>
                      <a:ext cx="2916936" cy="1872234"/>
                    </a:xfrm>
                    <a:prstGeom prst="rect">
                      <a:avLst/>
                    </a:prstGeom>
                  </pic:spPr>
                </pic:pic>
              </a:graphicData>
            </a:graphic>
          </wp:inline>
        </w:drawing>
      </w:r>
    </w:p>
    <w:p w14:paraId="11439D31" w14:textId="77777777" w:rsidR="003879A7" w:rsidRDefault="00FA75AB">
      <w:pPr>
        <w:spacing w:after="394" w:line="281" w:lineRule="auto"/>
        <w:ind w:left="-5"/>
      </w:pPr>
      <w:r>
        <w:t>Figure</w:t>
      </w:r>
      <w:r>
        <w:t xml:space="preserve"> 4: The revised </w:t>
      </w:r>
      <w:proofErr w:type="spellStart"/>
      <w:r>
        <w:t>Pourbaix</w:t>
      </w:r>
      <w:proofErr w:type="spellEnd"/>
      <w:r>
        <w:t xml:space="preserve"> diagram (electrochemical bulk phase stability) of the IrH</w:t>
      </w:r>
      <w:r>
        <w:rPr>
          <w:vertAlign w:val="subscript"/>
        </w:rPr>
        <w:t>2</w:t>
      </w:r>
      <w:r>
        <w:t xml:space="preserve">O system as a function of applied potential (vs. SHE) and </w:t>
      </w:r>
      <w:proofErr w:type="spellStart"/>
      <w:r>
        <w:t>pH.</w:t>
      </w:r>
      <w:proofErr w:type="spellEnd"/>
      <w:r>
        <w:t xml:space="preserve"> The most stable system studied (see Table XX in SI for a full list) are </w:t>
      </w:r>
      <w:proofErr w:type="spellStart"/>
      <w:r>
        <w:t>Ir</w:t>
      </w:r>
      <w:proofErr w:type="spellEnd"/>
      <w:r>
        <w:t xml:space="preserve">-metal </w:t>
      </w:r>
      <w:proofErr w:type="spellStart"/>
      <w:r>
        <w:t>Ir</w:t>
      </w:r>
      <w:proofErr w:type="spellEnd"/>
      <w:r>
        <w:t>(s) (blue), a rutile-IrO</w:t>
      </w:r>
      <w:r>
        <w:rPr>
          <w:vertAlign w:val="subscript"/>
        </w:rPr>
        <w:t xml:space="preserve">2 </w:t>
      </w:r>
      <w:r>
        <w:t>(g</w:t>
      </w:r>
      <w:r>
        <w:t>reen), and a dissolved IrO</w:t>
      </w:r>
      <w:r>
        <w:rPr>
          <w:vertAlign w:val="subscript"/>
        </w:rPr>
        <w:t>4</w:t>
      </w:r>
      <w:r>
        <w:t>[4</w:t>
      </w:r>
      <w:r>
        <w:t>−</w:t>
      </w:r>
      <w:r>
        <w:t xml:space="preserve">] (gray). </w:t>
      </w:r>
      <w:proofErr w:type="spellStart"/>
      <w:r>
        <w:t>Thee</w:t>
      </w:r>
      <w:proofErr w:type="spellEnd"/>
      <w:r>
        <w:t xml:space="preserve"> are compared to theIrO</w:t>
      </w:r>
      <w:r>
        <w:rPr>
          <w:vertAlign w:val="subscript"/>
        </w:rPr>
        <w:t xml:space="preserve">3 </w:t>
      </w:r>
      <w:r>
        <w:t xml:space="preserve">polymorphs, </w:t>
      </w:r>
      <w:r>
        <w:rPr>
          <w:i/>
        </w:rPr>
        <w:t>α</w:t>
      </w:r>
      <w:r>
        <w:t>-IrO</w:t>
      </w:r>
      <w:r>
        <w:rPr>
          <w:vertAlign w:val="subscript"/>
        </w:rPr>
        <w:t xml:space="preserve">3 </w:t>
      </w:r>
      <w:r>
        <w:t>(purple), rutile-IrO</w:t>
      </w:r>
      <w:r>
        <w:rPr>
          <w:vertAlign w:val="subscript"/>
        </w:rPr>
        <w:t xml:space="preserve">3 </w:t>
      </w:r>
      <w:r>
        <w:t xml:space="preserve">(orange), and </w:t>
      </w:r>
      <w:r>
        <w:rPr>
          <w:i/>
        </w:rPr>
        <w:t>β</w:t>
      </w:r>
      <w:r>
        <w:t>-IrO</w:t>
      </w:r>
      <w:r>
        <w:rPr>
          <w:vertAlign w:val="subscript"/>
        </w:rPr>
        <w:t xml:space="preserve">3 </w:t>
      </w:r>
      <w:r>
        <w:t xml:space="preserve">(pink). </w:t>
      </w:r>
      <w:r>
        <w:rPr>
          <w:b/>
        </w:rPr>
        <w:t xml:space="preserve">I would like to add </w:t>
      </w:r>
      <w:proofErr w:type="spellStart"/>
      <w:r>
        <w:rPr>
          <w:b/>
        </w:rPr>
        <w:t>Srx</w:t>
      </w:r>
      <w:proofErr w:type="spellEnd"/>
      <w:r>
        <w:rPr>
          <w:b/>
        </w:rPr>
        <w:t xml:space="preserve"> IrO3 to show much less stable it is than alpha</w:t>
      </w:r>
      <w:r>
        <w:t>. The water equilibrium line at U=1.23 V vs RHE shows the ideal onset of OER. This plot highlights the importance of the IrO</w:t>
      </w:r>
      <w:r>
        <w:rPr>
          <w:vertAlign w:val="subscript"/>
        </w:rPr>
        <w:t xml:space="preserve">3 </w:t>
      </w:r>
      <w:r>
        <w:t>for OER operational stability.</w:t>
      </w:r>
    </w:p>
    <w:p w14:paraId="69F216AC" w14:textId="77777777" w:rsidR="003879A7" w:rsidRDefault="00FA75AB">
      <w:pPr>
        <w:ind w:left="-5"/>
      </w:pPr>
      <w:r>
        <w:t>crystals of interest. The bul</w:t>
      </w:r>
      <w:r>
        <w:t xml:space="preserve">k phase limits of stability from figure TEMP are included at the bottom of each subplot. For each polymorph, XYZ specific facets were chosen from the highest intensity x-ray diffraction peaks from powder-diffraction spectra simulated in VESTA (TEMP insert </w:t>
      </w:r>
      <w:r>
        <w:t xml:space="preserve">vesta ref and ref SI </w:t>
      </w:r>
      <w:proofErr w:type="spellStart"/>
      <w:r>
        <w:t>xrd</w:t>
      </w:r>
      <w:proofErr w:type="spellEnd"/>
      <w:r>
        <w:t xml:space="preserve"> plot) and physical intuition. For each facet we computed the surface free energy for three coverages, bare, *OH, and *O. At modest overpotentials (eta 0.3 and potentials of 1.5 V vs RHE) the convex hull is populated solely by oxyge</w:t>
      </w:r>
      <w:r>
        <w:t>n terminated surfaces. Consequently, we consider mainly oxygen terminated surfaces for the OER analysis.</w:t>
      </w:r>
    </w:p>
    <w:p w14:paraId="075CB555" w14:textId="77777777" w:rsidR="003879A7" w:rsidRDefault="00FA75AB">
      <w:pPr>
        <w:ind w:left="-15" w:firstLine="351"/>
      </w:pPr>
      <w:r>
        <w:t>The OER activity (expressed in terms of the limiting potential) for select oxygen terminated surfaces are shown in Fig. 5 as a function of the ∆</w:t>
      </w:r>
      <w:r>
        <w:rPr>
          <w:i/>
        </w:rPr>
        <w:t>G</w:t>
      </w:r>
      <w:r>
        <w:rPr>
          <w:vertAlign w:val="subscript"/>
        </w:rPr>
        <w:t xml:space="preserve">O </w:t>
      </w:r>
      <w:r>
        <w:t>−</w:t>
      </w:r>
      <w:r>
        <w:t xml:space="preserve"> </w:t>
      </w:r>
      <w:r>
        <w:t>∆</w:t>
      </w:r>
      <w:r>
        <w:rPr>
          <w:i/>
        </w:rPr>
        <w:t>G</w:t>
      </w:r>
      <w:r>
        <w:rPr>
          <w:vertAlign w:val="subscript"/>
        </w:rPr>
        <w:t xml:space="preserve">OH </w:t>
      </w:r>
      <w:r>
        <w:t xml:space="preserve">thermodynamic descriptor. The two rutile-IrO2 surfaces (100 and 110) bind the OER intermediates strongly, locating them at a theoretical limiting potential of </w:t>
      </w:r>
      <w:proofErr w:type="spellStart"/>
      <w:r>
        <w:t>xyz</w:t>
      </w:r>
      <w:proofErr w:type="spellEnd"/>
      <w:r>
        <w:t>. The predicted overpotentials of our rutile-IrO2 systems are within the range of experimen</w:t>
      </w:r>
      <w:r>
        <w:t>tally observed overpotentials found in literature. The three IrO3 polymorph surfaces all have a ∆</w:t>
      </w:r>
      <w:r>
        <w:rPr>
          <w:i/>
        </w:rPr>
        <w:t>G</w:t>
      </w:r>
      <w:r>
        <w:rPr>
          <w:vertAlign w:val="subscript"/>
        </w:rPr>
        <w:t xml:space="preserve">O </w:t>
      </w:r>
      <w:r>
        <w:t>−</w:t>
      </w:r>
      <w:r>
        <w:t xml:space="preserve"> </w:t>
      </w:r>
      <w:r>
        <w:t>∆</w:t>
      </w:r>
      <w:r>
        <w:rPr>
          <w:i/>
        </w:rPr>
        <w:t>G</w:t>
      </w:r>
      <w:r>
        <w:rPr>
          <w:vertAlign w:val="subscript"/>
        </w:rPr>
        <w:t xml:space="preserve">OH </w:t>
      </w:r>
      <w:r>
        <w:t xml:space="preserve">descriptor towards the </w:t>
      </w:r>
      <w:r>
        <w:lastRenderedPageBreak/>
        <w:t>top and right of the volcano, indicative of weaker binding energetics. This is evident from figure SI TEMP (scaling) which sho</w:t>
      </w:r>
      <w:r>
        <w:t>ws a clear distinction between the IrO2 and IrO3 polymorphs, with IrO3 binding on average TEMP eV weaker than IrO2. The best performing systems, including the (100), (110), and (211) facets of a-IrO3, b-IrO3 (101), and R-IrO3</w:t>
      </w:r>
    </w:p>
    <w:p w14:paraId="0AA52020" w14:textId="77777777" w:rsidR="003879A7" w:rsidRDefault="00FA75AB">
      <w:pPr>
        <w:spacing w:after="590"/>
        <w:ind w:left="-5"/>
      </w:pPr>
      <w:r>
        <w:t xml:space="preserve">(110), have overpotentials of </w:t>
      </w:r>
      <w:r>
        <w:t>0.4 V vs RHE, a 0.2 V vs RHE improvement over the rutileIrO2 system. We note that the computed overpotentials for our rutile-IrO</w:t>
      </w:r>
      <w:r>
        <w:rPr>
          <w:vertAlign w:val="subscript"/>
        </w:rPr>
        <w:t xml:space="preserve">2 </w:t>
      </w:r>
      <w:r>
        <w:t>system differs from that reported in</w:t>
      </w:r>
      <w:r>
        <w:rPr>
          <w:vertAlign w:val="superscript"/>
        </w:rPr>
        <w:t xml:space="preserve">1 </w:t>
      </w:r>
      <w:r>
        <w:t>by 0.2 V. This discrepancy is due to our us of spin-polarization, which was neglected in</w:t>
      </w:r>
      <w:r>
        <w:t xml:space="preserve"> Seitz et al., which strengthens the binding of IrO2.</w:t>
      </w:r>
    </w:p>
    <w:p w14:paraId="7BCE1F79" w14:textId="77777777" w:rsidR="003879A7" w:rsidRDefault="00FA75AB">
      <w:pPr>
        <w:pStyle w:val="Heading1"/>
        <w:ind w:left="-5"/>
      </w:pPr>
      <w:r>
        <w:t>Conclusion</w:t>
      </w:r>
    </w:p>
    <w:p w14:paraId="2D9A5979" w14:textId="77777777" w:rsidR="003879A7" w:rsidRDefault="00FA75AB">
      <w:pPr>
        <w:ind w:left="-5"/>
      </w:pPr>
      <w:r>
        <w:t>In conclusion, we have demonstrated an active-learning accelerated algorithm for the discovery of stable crystal polymorphs by searching through a candidate space of structurally distinct iridium-oxide phases. The algorithm can identify 7 of the 10 most st</w:t>
      </w:r>
      <w:r>
        <w:t>able polymorphs of IrO3 with only 35 DFT bulk relaxations and TEMP of the most 10 stable IrO2 polymorphs after TEMP DFT calculations. For IrO2, we find.... For IrO3 we find.... In the IrO2 space our search failed to uncover anything more stable than the ru</w:t>
      </w:r>
      <w:r>
        <w:t xml:space="preserve">tile-IrO2 phase, while for IrO3 (a much less explored </w:t>
      </w:r>
      <w:proofErr w:type="spellStart"/>
      <w:r>
        <w:t>stoicheometry</w:t>
      </w:r>
      <w:proofErr w:type="spellEnd"/>
      <w:r>
        <w:t>) we found several polymorphs phases that are predicted to be stable under OER conditions. We have analyzed the local and global structural coordination and revealed a large degree of struc</w:t>
      </w:r>
      <w:r>
        <w:t xml:space="preserve">tural diversity in our dataset (octahedral, tetrahedral, square-pyramidal, cubic, and square-planar) Although octahedral </w:t>
      </w:r>
      <w:proofErr w:type="spellStart"/>
      <w:r>
        <w:t>coordinations</w:t>
      </w:r>
      <w:proofErr w:type="spellEnd"/>
      <w:r>
        <w:t xml:space="preserve"> are energetically preferred TEMP </w:t>
      </w:r>
      <w:proofErr w:type="spellStart"/>
      <w:r>
        <w:t>TEMP</w:t>
      </w:r>
      <w:proofErr w:type="spellEnd"/>
      <w:r>
        <w:t xml:space="preserve">. The most stable systems were used to construct a revised </w:t>
      </w:r>
      <w:proofErr w:type="spellStart"/>
      <w:r>
        <w:t>Pourbaix</w:t>
      </w:r>
      <w:proofErr w:type="spellEnd"/>
      <w:r>
        <w:t xml:space="preserve"> diagram of Ir-H</w:t>
      </w:r>
      <w:r>
        <w:rPr>
          <w:vertAlign w:val="subscript"/>
        </w:rPr>
        <w:t>2</w:t>
      </w:r>
      <w:r>
        <w:t xml:space="preserve">O system. Very importantly, we predict that IrO3 is the thermodynamically preferred phase under OER conditions. Finally, using </w:t>
      </w:r>
      <w:proofErr w:type="spellStart"/>
      <w:r>
        <w:t>thermodynamical</w:t>
      </w:r>
      <w:proofErr w:type="spellEnd"/>
      <w:r>
        <w:t xml:space="preserve"> approach to OER, we show, that surfaces of selected IrO3 have much higher relative activity that IrO2 due to pres</w:t>
      </w:r>
      <w:r>
        <w:t xml:space="preserve">ence of high valency </w:t>
      </w:r>
      <w:proofErr w:type="spellStart"/>
      <w:proofErr w:type="gramStart"/>
      <w:r>
        <w:t>Ir</w:t>
      </w:r>
      <w:proofErr w:type="spellEnd"/>
      <w:r>
        <w:t>[</w:t>
      </w:r>
      <w:proofErr w:type="gramEnd"/>
      <w:r>
        <w:t xml:space="preserve">6+] states. The 100 </w:t>
      </w:r>
      <w:r>
        <w:lastRenderedPageBreak/>
        <w:t xml:space="preserve">percent </w:t>
      </w:r>
      <w:proofErr w:type="spellStart"/>
      <w:r>
        <w:t>cornersharing</w:t>
      </w:r>
      <w:proofErr w:type="spellEnd"/>
      <w:r>
        <w:t xml:space="preserve"> octahedral structures feature maximum coverage of oxygens with optimal 2</w:t>
      </w:r>
      <w:r>
        <w:rPr>
          <w:i/>
        </w:rPr>
        <w:t>p</w:t>
      </w:r>
      <w:r>
        <w:t>-energy.</w:t>
      </w:r>
    </w:p>
    <w:p w14:paraId="15673BD2" w14:textId="77777777" w:rsidR="003879A7" w:rsidRDefault="00FA75AB">
      <w:pPr>
        <w:spacing w:after="236" w:line="259" w:lineRule="auto"/>
        <w:ind w:left="-575" w:right="-497" w:firstLine="0"/>
        <w:jc w:val="left"/>
      </w:pPr>
      <w:r>
        <w:rPr>
          <w:noProof/>
        </w:rPr>
        <w:drawing>
          <wp:inline distT="0" distB="0" distL="0" distR="0" wp14:anchorId="5A0B9794" wp14:editId="09C2F75D">
            <wp:extent cx="6624828" cy="5399532"/>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9"/>
                    <a:stretch>
                      <a:fillRect/>
                    </a:stretch>
                  </pic:blipFill>
                  <pic:spPr>
                    <a:xfrm>
                      <a:off x="0" y="0"/>
                      <a:ext cx="6624828" cy="5399532"/>
                    </a:xfrm>
                    <a:prstGeom prst="rect">
                      <a:avLst/>
                    </a:prstGeom>
                  </pic:spPr>
                </pic:pic>
              </a:graphicData>
            </a:graphic>
          </wp:inline>
        </w:drawing>
      </w:r>
    </w:p>
    <w:p w14:paraId="346E97FE" w14:textId="77777777" w:rsidR="003879A7" w:rsidRDefault="00FA75AB">
      <w:pPr>
        <w:spacing w:line="273" w:lineRule="auto"/>
        <w:ind w:left="-5"/>
      </w:pPr>
      <w:r>
        <w:t xml:space="preserve">Figure 5: Summary of OER results for the four bulk structures of </w:t>
      </w:r>
      <w:proofErr w:type="spellStart"/>
      <w:r>
        <w:t>IrO</w:t>
      </w:r>
      <w:r>
        <w:rPr>
          <w:vertAlign w:val="subscript"/>
        </w:rPr>
        <w:t>x</w:t>
      </w:r>
      <w:proofErr w:type="spellEnd"/>
      <w:r>
        <w:rPr>
          <w:vertAlign w:val="subscript"/>
        </w:rPr>
        <w:t xml:space="preserve"> </w:t>
      </w:r>
      <w:r>
        <w:t>considered: rutileIrO</w:t>
      </w:r>
      <w:r>
        <w:rPr>
          <w:vertAlign w:val="subscript"/>
        </w:rPr>
        <w:t xml:space="preserve">2 </w:t>
      </w:r>
      <w:r>
        <w:t xml:space="preserve">(green), </w:t>
      </w:r>
      <w:r>
        <w:rPr>
          <w:i/>
        </w:rPr>
        <w:t>α</w:t>
      </w:r>
      <w:r>
        <w:t>-Ir</w:t>
      </w:r>
      <w:r>
        <w:t>O</w:t>
      </w:r>
      <w:r>
        <w:rPr>
          <w:vertAlign w:val="subscript"/>
        </w:rPr>
        <w:t xml:space="preserve">3 </w:t>
      </w:r>
      <w:r>
        <w:t>(purple), rutile-IrO</w:t>
      </w:r>
      <w:r>
        <w:rPr>
          <w:vertAlign w:val="subscript"/>
        </w:rPr>
        <w:t xml:space="preserve">3 </w:t>
      </w:r>
      <w:r>
        <w:t xml:space="preserve">(orange), and </w:t>
      </w:r>
      <w:r>
        <w:rPr>
          <w:i/>
        </w:rPr>
        <w:t>β</w:t>
      </w:r>
      <w:r>
        <w:t>-IrO</w:t>
      </w:r>
      <w:r>
        <w:rPr>
          <w:vertAlign w:val="subscript"/>
        </w:rPr>
        <w:t xml:space="preserve">3 </w:t>
      </w:r>
      <w:r>
        <w:t xml:space="preserve">(pink). (a) Surface energy </w:t>
      </w:r>
      <w:proofErr w:type="spellStart"/>
      <w:r>
        <w:t>Pourbaix</w:t>
      </w:r>
      <w:proofErr w:type="spellEnd"/>
      <w:r>
        <w:t xml:space="preserve"> diagrams for each structure, with the surface energy of various facets and coverages shown as a function of applied potential. The bulk </w:t>
      </w:r>
      <w:proofErr w:type="spellStart"/>
      <w:r>
        <w:t>Pourbaix</w:t>
      </w:r>
      <w:proofErr w:type="spellEnd"/>
      <w:r>
        <w:t xml:space="preserve"> diagram’s bounds of stability</w:t>
      </w:r>
      <w:r>
        <w:t xml:space="preserve"> at pH 0 are superimposed at the bottom of each subplot. (b) OER activity volcano for </w:t>
      </w:r>
      <w:proofErr w:type="spellStart"/>
      <w:r>
        <w:t>IrO</w:t>
      </w:r>
      <w:r>
        <w:rPr>
          <w:vertAlign w:val="subscript"/>
        </w:rPr>
        <w:t>x</w:t>
      </w:r>
      <w:proofErr w:type="spellEnd"/>
      <w:r>
        <w:rPr>
          <w:vertAlign w:val="subscript"/>
        </w:rPr>
        <w:t xml:space="preserve"> </w:t>
      </w:r>
      <w:r>
        <w:t>systems considered utilizing the ∆G</w:t>
      </w:r>
      <w:r>
        <w:rPr>
          <w:vertAlign w:val="subscript"/>
        </w:rPr>
        <w:t>O</w:t>
      </w:r>
      <w:r>
        <w:t>-∆G</w:t>
      </w:r>
      <w:r>
        <w:rPr>
          <w:vertAlign w:val="subscript"/>
        </w:rPr>
        <w:t xml:space="preserve">OH </w:t>
      </w:r>
      <w:r>
        <w:t>thermodynamic descriptor. The purple dotted line corresponds to the experimental limiting potential at 10 mA cm</w:t>
      </w:r>
      <w:r>
        <w:rPr>
          <w:vertAlign w:val="superscript"/>
        </w:rPr>
        <w:t xml:space="preserve">2 </w:t>
      </w:r>
      <w:r>
        <w:t>for IrO</w:t>
      </w:r>
      <w:r>
        <w:rPr>
          <w:vertAlign w:val="subscript"/>
        </w:rPr>
        <w:t>3</w:t>
      </w:r>
      <w:r>
        <w:t>,</w:t>
      </w:r>
      <w:r>
        <w:rPr>
          <w:vertAlign w:val="superscript"/>
        </w:rPr>
        <w:t xml:space="preserve">1 </w:t>
      </w:r>
      <w:r>
        <w:t>while the green band corresponds to the range of experimentally observed overpotentials for pristine IrO</w:t>
      </w:r>
      <w:r>
        <w:rPr>
          <w:vertAlign w:val="subscript"/>
        </w:rPr>
        <w:t xml:space="preserve">2 </w:t>
      </w:r>
      <w:r>
        <w:t xml:space="preserve">catalysts as reported in literature. (c) Select surface facets for the four </w:t>
      </w:r>
      <w:proofErr w:type="spellStart"/>
      <w:r>
        <w:t>IrO</w:t>
      </w:r>
      <w:r>
        <w:rPr>
          <w:vertAlign w:val="subscript"/>
        </w:rPr>
        <w:t>x</w:t>
      </w:r>
      <w:proofErr w:type="spellEnd"/>
      <w:r>
        <w:rPr>
          <w:vertAlign w:val="subscript"/>
        </w:rPr>
        <w:t xml:space="preserve"> </w:t>
      </w:r>
      <w:r>
        <w:t>crystal systems considered.</w:t>
      </w:r>
    </w:p>
    <w:p w14:paraId="11C9C7AA" w14:textId="77777777" w:rsidR="003879A7" w:rsidRDefault="00FA75AB">
      <w:pPr>
        <w:ind w:left="-5"/>
      </w:pPr>
      <w:r>
        <w:lastRenderedPageBreak/>
        <w:t>The OER results has broader implication</w:t>
      </w:r>
      <w:r>
        <w:t>s for related OER systems. Overall, the AL ML has tremendous potential for discovery of structurally diverse systems particularly where the known diversity is currently very small (Highly oxidized oxides). Because our method provides readily available stru</w:t>
      </w:r>
      <w:r>
        <w:t xml:space="preserve">ctural information which a necessary input for any characterization/simulation analysis TEMP We envision that </w:t>
      </w:r>
      <w:proofErr w:type="gramStart"/>
      <w:r>
        <w:t>.....</w:t>
      </w:r>
      <w:proofErr w:type="gramEnd"/>
      <w:r>
        <w:t xml:space="preserve"> This </w:t>
      </w:r>
      <w:proofErr w:type="gramStart"/>
      <w:r>
        <w:t>opens up</w:t>
      </w:r>
      <w:proofErr w:type="gramEnd"/>
      <w:r>
        <w:t xml:space="preserve"> and new avenues of the materials/catalysis research with tailored structural properties.</w:t>
      </w:r>
    </w:p>
    <w:p w14:paraId="04FD76D0" w14:textId="77777777" w:rsidR="003879A7" w:rsidRDefault="00FA75AB">
      <w:pPr>
        <w:spacing w:after="623"/>
        <w:ind w:left="361"/>
      </w:pPr>
      <w:r>
        <w:t>Going forward we will improve</w:t>
      </w:r>
    </w:p>
    <w:p w14:paraId="0AC3C9EE" w14:textId="77777777" w:rsidR="003879A7" w:rsidRDefault="00FA75AB">
      <w:pPr>
        <w:pStyle w:val="Heading1"/>
        <w:ind w:left="-5"/>
      </w:pPr>
      <w:r>
        <w:t>Acknowl</w:t>
      </w:r>
      <w:r>
        <w:t>edgement</w:t>
      </w:r>
    </w:p>
    <w:p w14:paraId="14266410" w14:textId="77777777" w:rsidR="003879A7" w:rsidRDefault="00FA75AB">
      <w:pPr>
        <w:spacing w:after="173" w:line="259" w:lineRule="auto"/>
        <w:ind w:left="-5"/>
      </w:pPr>
      <w:r>
        <w:t>This work was supported by the Toyota Research Institute.</w:t>
      </w:r>
    </w:p>
    <w:p w14:paraId="1FD980EC" w14:textId="77777777" w:rsidR="003879A7" w:rsidRDefault="00FA75AB">
      <w:pPr>
        <w:ind w:left="-15" w:firstLine="351"/>
      </w:pPr>
      <w:r>
        <w:t>JAGT and MB acknowledge the support by the U.S. Department of Energy, Office of Science, Office of Basic Energy Science, via Grant DE-SC0008685 to the SUNCAT Center of Interface Science and</w:t>
      </w:r>
      <w:r>
        <w:t xml:space="preserve"> Catalysis.</w:t>
      </w:r>
    </w:p>
    <w:p w14:paraId="76339FAB" w14:textId="77777777" w:rsidR="003879A7" w:rsidRDefault="00FA75AB">
      <w:pPr>
        <w:ind w:left="-15" w:firstLine="351"/>
      </w:pPr>
      <w:r>
        <w:t xml:space="preserve">The authors would like to acknowledge the use of the computer time allocation for the Transition metal-oxide and metal surfaces: applications and reactivity trends in catalysis at the National Energy Research Scientific Computing Center, a DOE </w:t>
      </w:r>
      <w:r>
        <w:t>Office of Science User Facility supported by the Office of Science of the U.S. Department of Energy under Contract</w:t>
      </w:r>
    </w:p>
    <w:p w14:paraId="35815D55" w14:textId="77777777" w:rsidR="003879A7" w:rsidRDefault="00FA75AB">
      <w:pPr>
        <w:spacing w:line="259" w:lineRule="auto"/>
        <w:ind w:left="-5"/>
      </w:pPr>
      <w:r>
        <w:t>No. DE-AC02-05CH11231.</w:t>
      </w:r>
    </w:p>
    <w:p w14:paraId="3EE6433F" w14:textId="77777777" w:rsidR="003879A7" w:rsidRDefault="00FA75AB">
      <w:pPr>
        <w:spacing w:after="515" w:line="265" w:lineRule="auto"/>
        <w:ind w:left="-5"/>
        <w:jc w:val="left"/>
      </w:pPr>
      <w:r>
        <w:rPr>
          <w:b/>
          <w:sz w:val="34"/>
        </w:rPr>
        <w:t>Supporting Information Available</w:t>
      </w:r>
    </w:p>
    <w:p w14:paraId="22AE98A9" w14:textId="77777777" w:rsidR="003879A7" w:rsidRDefault="00FA75AB">
      <w:pPr>
        <w:pStyle w:val="Heading1"/>
        <w:spacing w:after="383"/>
        <w:ind w:left="-5"/>
      </w:pPr>
      <w:r>
        <w:t>Active Learning ML Section</w:t>
      </w:r>
    </w:p>
    <w:p w14:paraId="1F235DE5" w14:textId="77777777" w:rsidR="003879A7" w:rsidRDefault="00FA75AB">
      <w:pPr>
        <w:pStyle w:val="Heading2"/>
        <w:ind w:left="-5"/>
      </w:pPr>
      <w:r>
        <w:t>Candidate space generation</w:t>
      </w:r>
    </w:p>
    <w:p w14:paraId="2AD5CD25" w14:textId="77777777" w:rsidR="003879A7" w:rsidRDefault="00FA75AB">
      <w:pPr>
        <w:spacing w:after="438"/>
        <w:ind w:left="-5"/>
      </w:pPr>
      <w:r>
        <w:t>The candidate for IrO2 and IrO3</w:t>
      </w:r>
      <w:r>
        <w:t xml:space="preserve"> were generated from existing experimental structures in the OQMD and Materials Project databases. There are TEMP unique AB2 structures (or multiples, e.g. A2B4) Of those we found 697 unique AB2 prototypes (unique SG/Wyckoff combination) in OQMD/MP</w:t>
      </w:r>
    </w:p>
    <w:p w14:paraId="672BCBB2" w14:textId="77777777" w:rsidR="003879A7" w:rsidRDefault="00FA75AB">
      <w:pPr>
        <w:pStyle w:val="Heading2"/>
        <w:ind w:left="-5"/>
      </w:pPr>
      <w:r>
        <w:lastRenderedPageBreak/>
        <w:t>Gaussia</w:t>
      </w:r>
      <w:r>
        <w:t>n process regression model</w:t>
      </w:r>
    </w:p>
    <w:p w14:paraId="163261E7" w14:textId="77777777" w:rsidR="003879A7" w:rsidRDefault="00FA75AB">
      <w:pPr>
        <w:spacing w:after="173" w:line="259" w:lineRule="auto"/>
        <w:ind w:left="-5"/>
      </w:pPr>
      <w:r>
        <w:t>Relevant details about the ML Gaussian process here</w:t>
      </w:r>
    </w:p>
    <w:p w14:paraId="25E2A686" w14:textId="77777777" w:rsidR="003879A7" w:rsidRDefault="00FA75AB">
      <w:pPr>
        <w:spacing w:after="438"/>
        <w:ind w:left="-15" w:firstLine="351"/>
      </w:pPr>
      <w:r>
        <w:t>The Gaussian Process model utilized a rational quadratic kernel with variable length scales for each dimension of the feature space.</w:t>
      </w:r>
    </w:p>
    <w:p w14:paraId="031B20B9" w14:textId="77777777" w:rsidR="003879A7" w:rsidRDefault="00FA75AB">
      <w:pPr>
        <w:pStyle w:val="Heading2"/>
        <w:ind w:left="-5"/>
      </w:pPr>
      <w:r>
        <w:t>Bulk polymorph DFT optimization</w:t>
      </w:r>
    </w:p>
    <w:p w14:paraId="42C31BF8" w14:textId="77777777" w:rsidR="003879A7" w:rsidRDefault="00FA75AB">
      <w:pPr>
        <w:ind w:left="-5"/>
      </w:pPr>
      <w:r>
        <w:t>VASP PBE exchange correlation functional spin-polarized calculations plane-wave cutoff of 6</w:t>
      </w:r>
      <w:r>
        <w:t>00 eV</w:t>
      </w:r>
    </w:p>
    <w:p w14:paraId="5214CCDD" w14:textId="77777777" w:rsidR="003879A7" w:rsidRDefault="00FA75AB">
      <w:pPr>
        <w:spacing w:after="443"/>
        <w:ind w:left="-15" w:firstLine="351"/>
      </w:pPr>
      <w:r>
        <w:t xml:space="preserve">A variable k-point mesh is used such that a k-point density of at least 20 k-points per reciprocal space dimension. All bulk systems were run through the following computational recipe to converge the equilibrium structure. The recipe has 3 distinct </w:t>
      </w:r>
      <w:r>
        <w:t xml:space="preserve">phases, and structures are only advanced to the next phase when the previous phase completes without error. 1. </w:t>
      </w:r>
      <w:proofErr w:type="gramStart"/>
      <w:r>
        <w:t>A</w:t>
      </w:r>
      <w:proofErr w:type="gramEnd"/>
      <w:r>
        <w:t xml:space="preserve"> ISIF 7 calculation to optimize only the volume (initial volume of cell may be really off) 2. 3 consecutive ISIF 3 relaxations to fully converge</w:t>
      </w:r>
      <w:r>
        <w:t xml:space="preserve"> the lattice and atomic positions 3. A final ISIF 2, calculation to relax the atomic coordinates only to avoid errors associated with changing the cell volume with a fixed plane-wave cutoff basis The final ISIF 2 step is run with an electronic energy SCF c</w:t>
      </w:r>
      <w:r>
        <w:t>onvergence criteria of 1E-6 eV and the ionic relaxation has a tight force convergence criteria of 1E-3 eV/Angstrom</w:t>
      </w:r>
    </w:p>
    <w:p w14:paraId="03042DFA" w14:textId="77777777" w:rsidR="003879A7" w:rsidRDefault="00FA75AB">
      <w:pPr>
        <w:pStyle w:val="Heading2"/>
        <w:ind w:left="-5"/>
      </w:pPr>
      <w:r>
        <w:t>Structural coordination motif identification</w:t>
      </w:r>
    </w:p>
    <w:p w14:paraId="526494AE" w14:textId="77777777" w:rsidR="003879A7" w:rsidRDefault="00FA75AB">
      <w:pPr>
        <w:spacing w:after="593"/>
        <w:ind w:left="-5"/>
      </w:pPr>
      <w:r>
        <w:t>Several esoteric structural features were found in the DFT optimized structures and can be categ</w:t>
      </w:r>
      <w:r>
        <w:t xml:space="preserve">orized as one of two types, legitimate structural motifs not characterized by the scheme of </w:t>
      </w:r>
      <w:proofErr w:type="spellStart"/>
      <w:r>
        <w:t>Waroquiers</w:t>
      </w:r>
      <w:proofErr w:type="spellEnd"/>
      <w:r>
        <w:t xml:space="preserve"> et. al.,</w:t>
      </w:r>
      <w:r>
        <w:rPr>
          <w:vertAlign w:val="superscript"/>
        </w:rPr>
        <w:t xml:space="preserve">18 </w:t>
      </w:r>
      <w:r>
        <w:t xml:space="preserve">and arguably non-physical structural artifacts, </w:t>
      </w:r>
      <w:proofErr w:type="gramStart"/>
      <w:r>
        <w:t>including:</w:t>
      </w:r>
      <w:proofErr w:type="gramEnd"/>
      <w:r>
        <w:t xml:space="preserve"> unassociated oxygen atoms - molecular oxygens in the unit cell</w:t>
      </w:r>
    </w:p>
    <w:p w14:paraId="77A8AE47" w14:textId="77777777" w:rsidR="003879A7" w:rsidRDefault="00FA75AB">
      <w:pPr>
        <w:pStyle w:val="Heading1"/>
        <w:spacing w:after="383"/>
        <w:ind w:left="-5"/>
      </w:pPr>
      <w:r>
        <w:lastRenderedPageBreak/>
        <w:t xml:space="preserve">Electrochemical OER </w:t>
      </w:r>
      <w:r>
        <w:t>Computational Methods</w:t>
      </w:r>
    </w:p>
    <w:p w14:paraId="1D32CD2F" w14:textId="77777777" w:rsidR="003879A7" w:rsidRDefault="00FA75AB">
      <w:pPr>
        <w:pStyle w:val="Heading2"/>
        <w:ind w:left="-5"/>
      </w:pPr>
      <w:r>
        <w:t>Density Functional Theory Methods</w:t>
      </w:r>
    </w:p>
    <w:p w14:paraId="40F6536C" w14:textId="77777777" w:rsidR="003879A7" w:rsidRDefault="00FA75AB">
      <w:pPr>
        <w:ind w:left="-5"/>
      </w:pPr>
      <w:r>
        <w:t>All OER calculations were performed using density functional theory (DFT) implemented via the Vienna ab-initio simulation package (VASP) and utilizing the PBE exchange-correlation functional. Dipole c</w:t>
      </w:r>
      <w:r>
        <w:t xml:space="preserve">orrections were imposed on all non-symmetric slabs. A 4x4x3 k-point mesh with gamma-point centered </w:t>
      </w:r>
      <w:proofErr w:type="spellStart"/>
      <w:r>
        <w:t>Monkshort</w:t>
      </w:r>
      <w:proofErr w:type="spellEnd"/>
      <w:r>
        <w:t>-packing was used for all slabs. The plane-wave energy cutoff was 500 eV.</w:t>
      </w:r>
    </w:p>
    <w:p w14:paraId="44EB3DC9" w14:textId="77777777" w:rsidR="003879A7" w:rsidRDefault="00FA75AB">
      <w:pPr>
        <w:spacing w:after="438"/>
        <w:ind w:left="-15" w:firstLine="351"/>
      </w:pPr>
      <w:r>
        <w:t>All slab calculations maintained a vacuum spacing of ¡15 A. All structures</w:t>
      </w:r>
      <w:r>
        <w:t xml:space="preserve"> were relaxed utilizing a TEMP algorithm with a </w:t>
      </w:r>
      <w:proofErr w:type="gramStart"/>
      <w:r>
        <w:t>stop criteria</w:t>
      </w:r>
      <w:proofErr w:type="gramEnd"/>
      <w:r>
        <w:t xml:space="preserve"> being that all atoms satisfy a maximum force threshold of 0.02 eV/A.</w:t>
      </w:r>
    </w:p>
    <w:p w14:paraId="0FAE22E9" w14:textId="77777777" w:rsidR="003879A7" w:rsidRDefault="00FA75AB">
      <w:pPr>
        <w:pStyle w:val="Heading2"/>
        <w:ind w:left="-5"/>
      </w:pPr>
      <w:r>
        <w:t>OER Thermodynamic Methodology</w:t>
      </w:r>
    </w:p>
    <w:p w14:paraId="267E04C9" w14:textId="77777777" w:rsidR="003879A7" w:rsidRDefault="00FA75AB">
      <w:pPr>
        <w:ind w:left="-5"/>
      </w:pPr>
      <w:r>
        <w:t>Procedure: - For the top/most stable bulk structures the following procedure was carried out</w:t>
      </w:r>
    </w:p>
    <w:p w14:paraId="4B8A5914" w14:textId="77777777" w:rsidR="003879A7" w:rsidRDefault="00FA75AB">
      <w:pPr>
        <w:numPr>
          <w:ilvl w:val="0"/>
          <w:numId w:val="2"/>
        </w:numPr>
        <w:ind w:firstLine="351"/>
      </w:pPr>
      <w:r>
        <w:t>St</w:t>
      </w:r>
      <w:r>
        <w:t xml:space="preserve">able stoichiometric terminations were cut from the bulk Stable termination </w:t>
      </w:r>
      <w:proofErr w:type="spellStart"/>
      <w:r>
        <w:t>planeswere</w:t>
      </w:r>
      <w:proofErr w:type="spellEnd"/>
      <w:r>
        <w:t xml:space="preserve"> guesstimated via intuition, and the x-ray diffraction pattern tool from Vesta</w:t>
      </w:r>
    </w:p>
    <w:p w14:paraId="158827BD" w14:textId="77777777" w:rsidR="003879A7" w:rsidRDefault="00FA75AB">
      <w:pPr>
        <w:numPr>
          <w:ilvl w:val="0"/>
          <w:numId w:val="2"/>
        </w:numPr>
        <w:ind w:firstLine="351"/>
      </w:pPr>
      <w:r>
        <w:t xml:space="preserve">Electrochemical surface coverage was elucidated via a surface </w:t>
      </w:r>
      <w:proofErr w:type="spellStart"/>
      <w:r>
        <w:t>Pourbaix</w:t>
      </w:r>
      <w:proofErr w:type="spellEnd"/>
      <w:r>
        <w:t xml:space="preserve"> analysis </w:t>
      </w:r>
      <w:proofErr w:type="spellStart"/>
      <w:r>
        <w:t>Needto</w:t>
      </w:r>
      <w:proofErr w:type="spellEnd"/>
      <w:r>
        <w:t xml:space="preserve"> know </w:t>
      </w:r>
      <w:r>
        <w:t>the coverage of surface under operating conditions (¿1.23 V RHE)</w:t>
      </w:r>
    </w:p>
    <w:p w14:paraId="23693E7A" w14:textId="77777777" w:rsidR="003879A7" w:rsidRDefault="00FA75AB">
      <w:pPr>
        <w:numPr>
          <w:ilvl w:val="0"/>
          <w:numId w:val="2"/>
        </w:numPr>
        <w:spacing w:after="438"/>
        <w:ind w:firstLine="351"/>
      </w:pPr>
      <w:r>
        <w:t xml:space="preserve">Thermodynamic/limiting potential analysis of the OER mechanistic pathway </w:t>
      </w:r>
      <w:proofErr w:type="spellStart"/>
      <w:r>
        <w:t>Volcanoplot</w:t>
      </w:r>
      <w:proofErr w:type="spellEnd"/>
      <w:r>
        <w:t>, limiting potentials, etc.</w:t>
      </w:r>
    </w:p>
    <w:p w14:paraId="178E865F" w14:textId="77777777" w:rsidR="003879A7" w:rsidRDefault="00FA75AB">
      <w:pPr>
        <w:pStyle w:val="Heading2"/>
        <w:ind w:left="-5"/>
      </w:pPr>
      <w:r>
        <w:t xml:space="preserve">Surface Energy </w:t>
      </w:r>
      <w:proofErr w:type="spellStart"/>
      <w:r>
        <w:t>Pourbaix</w:t>
      </w:r>
      <w:proofErr w:type="spellEnd"/>
      <w:r>
        <w:t xml:space="preserve"> Methodology</w:t>
      </w:r>
    </w:p>
    <w:p w14:paraId="51C598E4" w14:textId="77777777" w:rsidR="003879A7" w:rsidRDefault="00FA75AB">
      <w:pPr>
        <w:ind w:left="-5"/>
      </w:pPr>
      <w:r>
        <w:t xml:space="preserve">Surface energy </w:t>
      </w:r>
      <w:proofErr w:type="spellStart"/>
      <w:r>
        <w:t>Pourbaix</w:t>
      </w:r>
      <w:proofErr w:type="spellEnd"/>
      <w:r>
        <w:t xml:space="preserve"> plots were construc</w:t>
      </w:r>
      <w:r>
        <w:t>ted by calculating the surface energy of each slab by under standard conditions (V=0 and pH=0) and then utilizing the computational hydrogen electrode to compute the potential dependence of the surfaces.</w:t>
      </w:r>
    </w:p>
    <w:p w14:paraId="24874D61" w14:textId="77777777" w:rsidR="003879A7" w:rsidRDefault="00FA75AB">
      <w:pPr>
        <w:ind w:left="-15" w:firstLine="351"/>
      </w:pPr>
      <w:r>
        <w:lastRenderedPageBreak/>
        <w:t>Surface energy calculations were performed for various facets for slabs of increasing thickness. The bulk energy was then extracted by fitting the total energy of the slabs against the number of layers as explained in REF2. This was done to avoid common is</w:t>
      </w:r>
      <w:r>
        <w:t>sues of surface energy divergence associated with using a separate bulk energy calculation.</w:t>
      </w:r>
    </w:p>
    <w:p w14:paraId="75B040F3" w14:textId="77777777" w:rsidR="003879A7" w:rsidRDefault="00FA75AB">
      <w:pPr>
        <w:spacing w:after="438"/>
        <w:ind w:left="-15" w:firstLine="351"/>
      </w:pPr>
      <w:r>
        <w:t>The sensitivity of a given slab to an applied bias is dependent on the composition of the surface</w:t>
      </w:r>
      <w:proofErr w:type="gramStart"/>
      <w:r>
        <w:t>, in particular, the</w:t>
      </w:r>
      <w:proofErr w:type="gramEnd"/>
      <w:r>
        <w:t xml:space="preserve"> effect of coverage of electrolyte species whic</w:t>
      </w:r>
      <w:r>
        <w:t xml:space="preserve">h can deposit oxygen, hydrogen, and hydroxide species on the surface layers. These additional O and H atoms are not referenced to the atoms in the </w:t>
      </w:r>
      <w:proofErr w:type="gramStart"/>
      <w:r>
        <w:t>slab, but</w:t>
      </w:r>
      <w:proofErr w:type="gramEnd"/>
      <w:r>
        <w:t xml:space="preserve"> are instead referenced to the computational hydrogen electrode and water-splitting reaction. The eq</w:t>
      </w:r>
      <w:r>
        <w:t>uation for is as follows:</w:t>
      </w:r>
      <w:bookmarkStart w:id="0" w:name="_GoBack"/>
      <w:bookmarkEnd w:id="0"/>
    </w:p>
    <w:p w14:paraId="05B8ABC2" w14:textId="77777777" w:rsidR="003879A7" w:rsidRDefault="00FA75AB">
      <w:pPr>
        <w:pStyle w:val="Heading2"/>
        <w:ind w:left="-5"/>
      </w:pPr>
      <w:r>
        <w:t>OER Scaling Relations</w:t>
      </w:r>
    </w:p>
    <w:p w14:paraId="18A1E029" w14:textId="77777777" w:rsidR="003879A7" w:rsidRDefault="00FA75AB">
      <w:pPr>
        <w:ind w:left="-5"/>
      </w:pPr>
      <w:r>
        <w:t xml:space="preserve">Figure S1 shows the scaling relations between the adsorption free energies of the OER intermediate species for the </w:t>
      </w:r>
      <w:proofErr w:type="spellStart"/>
      <w:r>
        <w:t>IrO</w:t>
      </w:r>
      <w:r>
        <w:rPr>
          <w:vertAlign w:val="subscript"/>
        </w:rPr>
        <w:t>x</w:t>
      </w:r>
      <w:proofErr w:type="spellEnd"/>
      <w:r>
        <w:rPr>
          <w:vertAlign w:val="subscript"/>
        </w:rPr>
        <w:t xml:space="preserve"> </w:t>
      </w:r>
      <w:r>
        <w:t>systems studied herein. It can be seen clearly that the data points corresponding to the</w:t>
      </w:r>
      <w:r>
        <w:t xml:space="preserve"> three IrO</w:t>
      </w:r>
      <w:r>
        <w:rPr>
          <w:vertAlign w:val="subscript"/>
        </w:rPr>
        <w:t xml:space="preserve">3 </w:t>
      </w:r>
      <w:r>
        <w:t>polymorphs are roughly 1 eV weaker binding than the rutile-IrO</w:t>
      </w:r>
      <w:r>
        <w:rPr>
          <w:vertAlign w:val="subscript"/>
        </w:rPr>
        <w:t xml:space="preserve">2 </w:t>
      </w:r>
      <w:r>
        <w:t>points. This generally weaker binding of the IrO</w:t>
      </w:r>
      <w:r>
        <w:rPr>
          <w:vertAlign w:val="subscript"/>
        </w:rPr>
        <w:t xml:space="preserve">3 </w:t>
      </w:r>
      <w:r>
        <w:t>stoichiometry is responsible for the observed improvement in theoretical activity. The ∆G</w:t>
      </w:r>
      <w:r>
        <w:rPr>
          <w:vertAlign w:val="subscript"/>
        </w:rPr>
        <w:t xml:space="preserve">OOH </w:t>
      </w:r>
      <w:proofErr w:type="spellStart"/>
      <w:r>
        <w:t>vs.∆G</w:t>
      </w:r>
      <w:r>
        <w:rPr>
          <w:vertAlign w:val="subscript"/>
        </w:rPr>
        <w:t>OH</w:t>
      </w:r>
      <w:proofErr w:type="spellEnd"/>
      <w:r>
        <w:rPr>
          <w:vertAlign w:val="subscript"/>
        </w:rPr>
        <w:t xml:space="preserve"> </w:t>
      </w:r>
      <w:r>
        <w:t>relationship is very close to the traditional “universal scaling relations”, demonstrating that our materials do not break the infamous ∆G</w:t>
      </w:r>
      <w:r>
        <w:rPr>
          <w:vertAlign w:val="subscript"/>
        </w:rPr>
        <w:t xml:space="preserve">OOH </w:t>
      </w:r>
      <w:r>
        <w:t>vs. ∆G</w:t>
      </w:r>
      <w:r>
        <w:rPr>
          <w:vertAlign w:val="subscript"/>
        </w:rPr>
        <w:t xml:space="preserve">OH </w:t>
      </w:r>
      <w:r>
        <w:t>scaling.</w:t>
      </w:r>
    </w:p>
    <w:p w14:paraId="15213E98" w14:textId="77777777" w:rsidR="003879A7" w:rsidRDefault="00FA75AB">
      <w:pPr>
        <w:spacing w:after="236" w:line="259" w:lineRule="auto"/>
        <w:ind w:left="1665" w:firstLine="0"/>
        <w:jc w:val="left"/>
      </w:pPr>
      <w:r>
        <w:rPr>
          <w:noProof/>
        </w:rPr>
        <w:drawing>
          <wp:inline distT="0" distB="0" distL="0" distR="0" wp14:anchorId="17986229" wp14:editId="4BFA7B49">
            <wp:extent cx="3780130" cy="2520087"/>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0"/>
                    <a:stretch>
                      <a:fillRect/>
                    </a:stretch>
                  </pic:blipFill>
                  <pic:spPr>
                    <a:xfrm>
                      <a:off x="0" y="0"/>
                      <a:ext cx="3780130" cy="2520087"/>
                    </a:xfrm>
                    <a:prstGeom prst="rect">
                      <a:avLst/>
                    </a:prstGeom>
                  </pic:spPr>
                </pic:pic>
              </a:graphicData>
            </a:graphic>
          </wp:inline>
        </w:drawing>
      </w:r>
    </w:p>
    <w:p w14:paraId="376AFB73" w14:textId="77777777" w:rsidR="003879A7" w:rsidRDefault="00FA75AB">
      <w:pPr>
        <w:spacing w:after="406" w:line="270" w:lineRule="auto"/>
        <w:ind w:left="-5"/>
      </w:pPr>
      <w:r>
        <w:lastRenderedPageBreak/>
        <w:t>Figure S1: Relationship between the adsorption free energies of the three key OER intermediate</w:t>
      </w:r>
      <w:r>
        <w:t>s (*OH, *O, *OOH), with ∆G</w:t>
      </w:r>
      <w:r>
        <w:rPr>
          <w:vertAlign w:val="subscript"/>
        </w:rPr>
        <w:t xml:space="preserve">OH </w:t>
      </w:r>
      <w:r>
        <w:t>chosen as the dependent variable. Best fit lines are provided for ∆G</w:t>
      </w:r>
      <w:r>
        <w:rPr>
          <w:vertAlign w:val="subscript"/>
        </w:rPr>
        <w:t xml:space="preserve">OOH </w:t>
      </w:r>
      <w:r>
        <w:t>vs. ∆G</w:t>
      </w:r>
      <w:r>
        <w:rPr>
          <w:vertAlign w:val="subscript"/>
        </w:rPr>
        <w:t xml:space="preserve">OH </w:t>
      </w:r>
      <w:r>
        <w:t>and ∆G</w:t>
      </w:r>
      <w:r>
        <w:rPr>
          <w:vertAlign w:val="subscript"/>
        </w:rPr>
        <w:t xml:space="preserve">O </w:t>
      </w:r>
      <w:r>
        <w:t>vs. ∆G</w:t>
      </w:r>
      <w:r>
        <w:rPr>
          <w:vertAlign w:val="subscript"/>
        </w:rPr>
        <w:t>OH</w:t>
      </w:r>
      <w:r>
        <w:t>. Additionally, “universal scaling relations” for ∆G</w:t>
      </w:r>
      <w:r>
        <w:rPr>
          <w:vertAlign w:val="subscript"/>
        </w:rPr>
        <w:t xml:space="preserve">OOH </w:t>
      </w:r>
      <w:r>
        <w:t>vs. ∆G</w:t>
      </w:r>
      <w:r>
        <w:rPr>
          <w:vertAlign w:val="subscript"/>
        </w:rPr>
        <w:t xml:space="preserve">OH </w:t>
      </w:r>
      <w:r>
        <w:t>and ∆G</w:t>
      </w:r>
      <w:r>
        <w:rPr>
          <w:vertAlign w:val="subscript"/>
        </w:rPr>
        <w:t xml:space="preserve">O </w:t>
      </w:r>
      <w:r>
        <w:t>vs. ∆G</w:t>
      </w:r>
      <w:r>
        <w:rPr>
          <w:vertAlign w:val="subscript"/>
        </w:rPr>
        <w:t xml:space="preserve">OH </w:t>
      </w:r>
      <w:r>
        <w:t xml:space="preserve">are shown (black dotted lines) to emphasize our </w:t>
      </w:r>
      <w:r>
        <w:t>deviation from the traditionally reported scaling fits. The ∆G</w:t>
      </w:r>
      <w:r>
        <w:rPr>
          <w:vertAlign w:val="subscript"/>
        </w:rPr>
        <w:t xml:space="preserve">OH </w:t>
      </w:r>
      <w:r>
        <w:t>line is shown as guide to eye.</w:t>
      </w:r>
    </w:p>
    <w:p w14:paraId="1E3D4764" w14:textId="77777777" w:rsidR="003879A7" w:rsidRDefault="00FA75AB">
      <w:pPr>
        <w:spacing w:after="375" w:line="265" w:lineRule="auto"/>
        <w:ind w:left="-5"/>
        <w:jc w:val="left"/>
      </w:pPr>
      <w:r>
        <w:rPr>
          <w:b/>
          <w:sz w:val="29"/>
        </w:rPr>
        <w:t>Bulk Systems</w:t>
      </w:r>
    </w:p>
    <w:p w14:paraId="2FE88E49" w14:textId="77777777" w:rsidR="003879A7" w:rsidRDefault="00FA75AB">
      <w:pPr>
        <w:spacing w:after="507" w:line="265" w:lineRule="auto"/>
        <w:ind w:left="-5"/>
        <w:jc w:val="left"/>
      </w:pPr>
      <w:r>
        <w:rPr>
          <w:b/>
          <w:sz w:val="29"/>
        </w:rPr>
        <w:t>Table of OER energetics</w:t>
      </w:r>
    </w:p>
    <w:p w14:paraId="07A760E3" w14:textId="77777777" w:rsidR="003879A7" w:rsidRDefault="00FA75AB">
      <w:pPr>
        <w:pStyle w:val="Heading1"/>
        <w:spacing w:after="296"/>
        <w:ind w:left="-5"/>
      </w:pPr>
      <w:r>
        <w:t>References</w:t>
      </w:r>
    </w:p>
    <w:p w14:paraId="3B3C9A30" w14:textId="77777777" w:rsidR="003879A7" w:rsidRDefault="00FA75AB">
      <w:pPr>
        <w:numPr>
          <w:ilvl w:val="0"/>
          <w:numId w:val="3"/>
        </w:numPr>
        <w:spacing w:after="185" w:line="259" w:lineRule="auto"/>
        <w:ind w:hanging="533"/>
      </w:pPr>
      <w:r>
        <w:t xml:space="preserve">Seitz, L. C.; Dickens, C. F.; </w:t>
      </w:r>
      <w:proofErr w:type="spellStart"/>
      <w:r>
        <w:t>Nishio</w:t>
      </w:r>
      <w:proofErr w:type="spellEnd"/>
      <w:r>
        <w:t xml:space="preserve">, K.; </w:t>
      </w:r>
      <w:proofErr w:type="spellStart"/>
      <w:r>
        <w:t>Hikita</w:t>
      </w:r>
      <w:proofErr w:type="spellEnd"/>
      <w:r>
        <w:t>, Y.; Montoya, J.; Doyle, A.; Kirk, C.;</w:t>
      </w:r>
    </w:p>
    <w:p w14:paraId="1EF40658" w14:textId="77777777" w:rsidR="003879A7" w:rsidRDefault="00FA75AB">
      <w:pPr>
        <w:spacing w:after="224"/>
        <w:ind w:left="543"/>
      </w:pPr>
      <w:proofErr w:type="spellStart"/>
      <w:r>
        <w:t>Vojvodic</w:t>
      </w:r>
      <w:proofErr w:type="spellEnd"/>
      <w:r>
        <w:t xml:space="preserve">, A.; Hwang, H. </w:t>
      </w:r>
      <w:r>
        <w:t xml:space="preserve">Y.; Norskov, J. K.; Jaramillo, T. F. A highly active and stable </w:t>
      </w:r>
      <w:proofErr w:type="spellStart"/>
      <w:r>
        <w:t>IrOx</w:t>
      </w:r>
      <w:proofErr w:type="spellEnd"/>
      <w:r>
        <w:t xml:space="preserve">/SrIrO3 catalyst for the oxygen evolution reaction. </w:t>
      </w:r>
      <w:r>
        <w:rPr>
          <w:i/>
        </w:rPr>
        <w:t xml:space="preserve">Science </w:t>
      </w:r>
      <w:r>
        <w:rPr>
          <w:b/>
        </w:rPr>
        <w:t>2016</w:t>
      </w:r>
      <w:r>
        <w:t xml:space="preserve">, </w:t>
      </w:r>
      <w:r>
        <w:rPr>
          <w:i/>
        </w:rPr>
        <w:t>353</w:t>
      </w:r>
      <w:r>
        <w:t>, 1011–1014.</w:t>
      </w:r>
    </w:p>
    <w:p w14:paraId="12A42ED2" w14:textId="77777777" w:rsidR="003879A7" w:rsidRDefault="00FA75AB">
      <w:pPr>
        <w:numPr>
          <w:ilvl w:val="0"/>
          <w:numId w:val="3"/>
        </w:numPr>
        <w:spacing w:after="225"/>
        <w:ind w:hanging="533"/>
      </w:pPr>
      <w:r>
        <w:t xml:space="preserve">Lee, Y.; </w:t>
      </w:r>
      <w:proofErr w:type="spellStart"/>
      <w:r>
        <w:t>Suntivich</w:t>
      </w:r>
      <w:proofErr w:type="spellEnd"/>
      <w:r>
        <w:t xml:space="preserve">, J.; May, K. J.; Perry, E. E.; Shao-Horn, Y. Synthesis and activities of rutile </w:t>
      </w:r>
      <w:proofErr w:type="spellStart"/>
      <w:r>
        <w:t>IrO</w:t>
      </w:r>
      <w:proofErr w:type="spellEnd"/>
      <w:r>
        <w:t xml:space="preserve"> 2 a</w:t>
      </w:r>
      <w:r>
        <w:t xml:space="preserve">nd </w:t>
      </w:r>
      <w:proofErr w:type="spellStart"/>
      <w:r>
        <w:t>RuO</w:t>
      </w:r>
      <w:proofErr w:type="spellEnd"/>
      <w:r>
        <w:t xml:space="preserve"> 2 nanoparticles for oxygen evolution in acid and alkaline solutions. </w:t>
      </w:r>
      <w:r>
        <w:rPr>
          <w:i/>
        </w:rPr>
        <w:t xml:space="preserve">Journal of Physical Chemistry Letters </w:t>
      </w:r>
      <w:r>
        <w:rPr>
          <w:b/>
        </w:rPr>
        <w:t>2012</w:t>
      </w:r>
      <w:r>
        <w:t xml:space="preserve">, </w:t>
      </w:r>
      <w:r>
        <w:rPr>
          <w:i/>
        </w:rPr>
        <w:t>3</w:t>
      </w:r>
      <w:r>
        <w:t>, 399–404.</w:t>
      </w:r>
    </w:p>
    <w:p w14:paraId="3FA4E164" w14:textId="77777777" w:rsidR="003879A7" w:rsidRDefault="00FA75AB">
      <w:pPr>
        <w:numPr>
          <w:ilvl w:val="0"/>
          <w:numId w:val="3"/>
        </w:numPr>
        <w:spacing w:after="185" w:line="259" w:lineRule="auto"/>
        <w:ind w:hanging="533"/>
      </w:pPr>
      <w:r>
        <w:t>McCrory, C. C. L.;</w:t>
      </w:r>
      <w:r>
        <w:tab/>
        <w:t>Jung, S.;</w:t>
      </w:r>
      <w:r>
        <w:tab/>
        <w:t>Ferrer, I. M.;</w:t>
      </w:r>
      <w:r>
        <w:tab/>
        <w:t>Chatman, S. M.;</w:t>
      </w:r>
      <w:r>
        <w:tab/>
        <w:t>Peters, J. C.;</w:t>
      </w:r>
    </w:p>
    <w:p w14:paraId="33678E86" w14:textId="77777777" w:rsidR="003879A7" w:rsidRDefault="00FA75AB">
      <w:pPr>
        <w:spacing w:after="178" w:line="441" w:lineRule="auto"/>
        <w:ind w:left="0" w:firstLine="0"/>
        <w:jc w:val="right"/>
      </w:pPr>
      <w:r>
        <w:t xml:space="preserve">Jaramillo, T. F. Benchmarking Hydrogen Evolving Reaction and Oxygen Evolving Reaction Electrocatalysts for Solar Water Splitting Devices. </w:t>
      </w:r>
      <w:r>
        <w:rPr>
          <w:i/>
        </w:rPr>
        <w:t xml:space="preserve">Journal of the American Chemical Society </w:t>
      </w:r>
      <w:r>
        <w:rPr>
          <w:b/>
        </w:rPr>
        <w:t>2015</w:t>
      </w:r>
      <w:r>
        <w:t xml:space="preserve">, </w:t>
      </w:r>
      <w:r>
        <w:rPr>
          <w:i/>
        </w:rPr>
        <w:t>137</w:t>
      </w:r>
      <w:r>
        <w:t>, 4347–4357.</w:t>
      </w:r>
    </w:p>
    <w:p w14:paraId="26D37250" w14:textId="77777777" w:rsidR="003879A7" w:rsidRDefault="00FA75AB">
      <w:pPr>
        <w:numPr>
          <w:ilvl w:val="0"/>
          <w:numId w:val="3"/>
        </w:numPr>
        <w:spacing w:after="201"/>
        <w:ind w:hanging="533"/>
      </w:pPr>
      <w:proofErr w:type="spellStart"/>
      <w:r>
        <w:t>Trotochaud</w:t>
      </w:r>
      <w:proofErr w:type="spellEnd"/>
      <w:r>
        <w:t>, L.; Ranney, J. K.; Williams, K. N.; Boettch</w:t>
      </w:r>
      <w:r>
        <w:t xml:space="preserve">er, S. W. Solution-cast metal oxide thin film electrocatalysts for oxygen evolution. </w:t>
      </w:r>
      <w:r>
        <w:rPr>
          <w:i/>
        </w:rPr>
        <w:t xml:space="preserve">Journal of the American Chemical Society </w:t>
      </w:r>
      <w:r>
        <w:rPr>
          <w:b/>
        </w:rPr>
        <w:t>2012</w:t>
      </w:r>
      <w:r>
        <w:t xml:space="preserve">, </w:t>
      </w:r>
      <w:r>
        <w:rPr>
          <w:i/>
        </w:rPr>
        <w:t>134</w:t>
      </w:r>
      <w:r>
        <w:t>, 17253–17261.</w:t>
      </w:r>
    </w:p>
    <w:p w14:paraId="18D5336B" w14:textId="77777777" w:rsidR="003879A7" w:rsidRDefault="00FA75AB">
      <w:pPr>
        <w:numPr>
          <w:ilvl w:val="0"/>
          <w:numId w:val="3"/>
        </w:numPr>
        <w:spacing w:after="204"/>
        <w:ind w:hanging="533"/>
      </w:pPr>
      <w:proofErr w:type="spellStart"/>
      <w:r>
        <w:t>Danilovic</w:t>
      </w:r>
      <w:proofErr w:type="spellEnd"/>
      <w:r>
        <w:t xml:space="preserve">, N.; </w:t>
      </w:r>
      <w:proofErr w:type="spellStart"/>
      <w:r>
        <w:t>Subbaraman</w:t>
      </w:r>
      <w:proofErr w:type="spellEnd"/>
      <w:r>
        <w:t xml:space="preserve">, R.; Chang, K. C.; Chang, S. H.; Kang, Y. J.; Snyder, J.; </w:t>
      </w:r>
      <w:proofErr w:type="spellStart"/>
      <w:r>
        <w:t>Paulikas</w:t>
      </w:r>
      <w:proofErr w:type="spellEnd"/>
      <w:r>
        <w:t xml:space="preserve">, A. P.; </w:t>
      </w:r>
      <w:proofErr w:type="spellStart"/>
      <w:r>
        <w:t>Strmc</w:t>
      </w:r>
      <w:r>
        <w:t>nik</w:t>
      </w:r>
      <w:proofErr w:type="spellEnd"/>
      <w:r>
        <w:t xml:space="preserve">, D.; Kim, Y. T.; Myers, D.; </w:t>
      </w:r>
      <w:proofErr w:type="spellStart"/>
      <w:r>
        <w:t>Stamenkovic</w:t>
      </w:r>
      <w:proofErr w:type="spellEnd"/>
      <w:r>
        <w:t>, V. R.; Markovic, N. M. Activity-</w:t>
      </w:r>
      <w:r>
        <w:lastRenderedPageBreak/>
        <w:t xml:space="preserve">stability trends for the oxygen evolution reaction on monometallic oxides in acidic environments. </w:t>
      </w:r>
      <w:r>
        <w:rPr>
          <w:i/>
        </w:rPr>
        <w:t xml:space="preserve">Journal of Physical Chemistry Letters </w:t>
      </w:r>
      <w:r>
        <w:rPr>
          <w:b/>
        </w:rPr>
        <w:t>2014</w:t>
      </w:r>
      <w:r>
        <w:t xml:space="preserve">, </w:t>
      </w:r>
      <w:r>
        <w:rPr>
          <w:i/>
        </w:rPr>
        <w:t>5</w:t>
      </w:r>
      <w:r>
        <w:t>, 2474–2478.</w:t>
      </w:r>
    </w:p>
    <w:p w14:paraId="462246DE" w14:textId="77777777" w:rsidR="003879A7" w:rsidRDefault="00FA75AB">
      <w:pPr>
        <w:numPr>
          <w:ilvl w:val="0"/>
          <w:numId w:val="3"/>
        </w:numPr>
        <w:spacing w:after="201"/>
        <w:ind w:hanging="533"/>
      </w:pPr>
      <w:proofErr w:type="spellStart"/>
      <w:r>
        <w:t>Carmo</w:t>
      </w:r>
      <w:proofErr w:type="spellEnd"/>
      <w:r>
        <w:t>, M.; Fritz, D. L.</w:t>
      </w:r>
      <w:r>
        <w:t xml:space="preserve">; </w:t>
      </w:r>
      <w:proofErr w:type="spellStart"/>
      <w:r>
        <w:t>Mergel</w:t>
      </w:r>
      <w:proofErr w:type="spellEnd"/>
      <w:r>
        <w:t xml:space="preserve">, J.; </w:t>
      </w:r>
      <w:proofErr w:type="spellStart"/>
      <w:r>
        <w:t>Stolten</w:t>
      </w:r>
      <w:proofErr w:type="spellEnd"/>
      <w:r>
        <w:t xml:space="preserve">, D. A comprehensive review on PEM water electrolysis. </w:t>
      </w:r>
      <w:r>
        <w:rPr>
          <w:i/>
        </w:rPr>
        <w:t xml:space="preserve">International Journal of Hydrogen Energy </w:t>
      </w:r>
      <w:r>
        <w:rPr>
          <w:b/>
        </w:rPr>
        <w:t>2013</w:t>
      </w:r>
      <w:r>
        <w:t xml:space="preserve">, </w:t>
      </w:r>
      <w:r>
        <w:rPr>
          <w:i/>
        </w:rPr>
        <w:t>38</w:t>
      </w:r>
      <w:r>
        <w:t>, 4901–4934.</w:t>
      </w:r>
    </w:p>
    <w:p w14:paraId="2C0598ED" w14:textId="77777777" w:rsidR="003879A7" w:rsidRDefault="00FA75AB">
      <w:pPr>
        <w:numPr>
          <w:ilvl w:val="0"/>
          <w:numId w:val="3"/>
        </w:numPr>
        <w:spacing w:after="204"/>
        <w:ind w:hanging="533"/>
      </w:pPr>
      <w:r>
        <w:t xml:space="preserve">Miles, M.; Klaus, E.; Gunn, B.; Locker, J.; Serafin, W.; Srinivasan, S. The oxygen evolution reaction on platinum, iridium, ruthenium and their alloys at 80C in acid solutions. </w:t>
      </w:r>
      <w:proofErr w:type="spellStart"/>
      <w:r>
        <w:rPr>
          <w:i/>
        </w:rPr>
        <w:t>Electrochimica</w:t>
      </w:r>
      <w:proofErr w:type="spellEnd"/>
      <w:r>
        <w:rPr>
          <w:i/>
        </w:rPr>
        <w:t xml:space="preserve"> Acta </w:t>
      </w:r>
      <w:r>
        <w:rPr>
          <w:b/>
        </w:rPr>
        <w:t>1978</w:t>
      </w:r>
      <w:r>
        <w:t xml:space="preserve">, </w:t>
      </w:r>
      <w:r>
        <w:rPr>
          <w:i/>
        </w:rPr>
        <w:t>23</w:t>
      </w:r>
      <w:r>
        <w:t>, 521–526.</w:t>
      </w:r>
    </w:p>
    <w:p w14:paraId="6DC8939D" w14:textId="77777777" w:rsidR="003879A7" w:rsidRDefault="00FA75AB">
      <w:pPr>
        <w:numPr>
          <w:ilvl w:val="0"/>
          <w:numId w:val="3"/>
        </w:numPr>
        <w:spacing w:after="204"/>
        <w:ind w:hanging="533"/>
      </w:pPr>
      <w:r>
        <w:t>Beni, G.; Schiavone, L. M.; Shay, J. L.;</w:t>
      </w:r>
      <w:r>
        <w:t xml:space="preserve"> </w:t>
      </w:r>
      <w:proofErr w:type="spellStart"/>
      <w:r>
        <w:t>Dautremont</w:t>
      </w:r>
      <w:proofErr w:type="spellEnd"/>
      <w:r>
        <w:t xml:space="preserve">-Smith, W. C.; Schneider, B. S. Electrocatalytic oxygen evolution on reactively sputtered electrochromic iridium oxide films [7]. </w:t>
      </w:r>
      <w:r>
        <w:rPr>
          <w:b/>
        </w:rPr>
        <w:t>1979</w:t>
      </w:r>
      <w:r>
        <w:t xml:space="preserve">, </w:t>
      </w:r>
      <w:r>
        <w:rPr>
          <w:i/>
        </w:rPr>
        <w:t>282</w:t>
      </w:r>
      <w:r>
        <w:t>, 281–283.</w:t>
      </w:r>
    </w:p>
    <w:p w14:paraId="42D3CDDE" w14:textId="77777777" w:rsidR="003879A7" w:rsidRDefault="00FA75AB">
      <w:pPr>
        <w:numPr>
          <w:ilvl w:val="0"/>
          <w:numId w:val="3"/>
        </w:numPr>
        <w:spacing w:after="203"/>
        <w:ind w:hanging="533"/>
      </w:pPr>
      <w:r>
        <w:t xml:space="preserve">Pearce, P. E.; Perez, A. J.; Rousse, G.; </w:t>
      </w:r>
      <w:proofErr w:type="spellStart"/>
      <w:r>
        <w:t>Sauban`ere</w:t>
      </w:r>
      <w:proofErr w:type="spellEnd"/>
      <w:r>
        <w:t xml:space="preserve">, M.; </w:t>
      </w:r>
      <w:proofErr w:type="spellStart"/>
      <w:r>
        <w:t>Batuk</w:t>
      </w:r>
      <w:proofErr w:type="spellEnd"/>
      <w:r>
        <w:t xml:space="preserve">, D.; Foix, D.; McCalla, E.; </w:t>
      </w:r>
      <w:proofErr w:type="spellStart"/>
      <w:r>
        <w:t>Abak</w:t>
      </w:r>
      <w:r>
        <w:t>umov</w:t>
      </w:r>
      <w:proofErr w:type="spellEnd"/>
      <w:r>
        <w:t xml:space="preserve">, A. M.; Van </w:t>
      </w:r>
      <w:proofErr w:type="spellStart"/>
      <w:r>
        <w:t>Tendeloo</w:t>
      </w:r>
      <w:proofErr w:type="spellEnd"/>
      <w:r>
        <w:t xml:space="preserve">, G.; Doublet, M. L.; </w:t>
      </w:r>
      <w:proofErr w:type="spellStart"/>
      <w:r>
        <w:t>Tarascon</w:t>
      </w:r>
      <w:proofErr w:type="spellEnd"/>
      <w:r>
        <w:t xml:space="preserve">, J. M. Evidence for anionic redox activity in a tridimensional-ordered Li-rich positive electrode </w:t>
      </w:r>
      <w:r>
        <w:rPr>
          <w:i/>
        </w:rPr>
        <w:t>β</w:t>
      </w:r>
      <w:r>
        <w:t xml:space="preserve">-Li2IrO3. </w:t>
      </w:r>
      <w:r>
        <w:rPr>
          <w:i/>
        </w:rPr>
        <w:t xml:space="preserve">Nature Materials </w:t>
      </w:r>
      <w:r>
        <w:rPr>
          <w:b/>
        </w:rPr>
        <w:t>2017</w:t>
      </w:r>
      <w:r>
        <w:t xml:space="preserve">, </w:t>
      </w:r>
      <w:r>
        <w:rPr>
          <w:i/>
        </w:rPr>
        <w:t>16</w:t>
      </w:r>
      <w:r>
        <w:t>, 580–586.</w:t>
      </w:r>
    </w:p>
    <w:p w14:paraId="528DA3C6" w14:textId="77777777" w:rsidR="003879A7" w:rsidRDefault="00FA75AB">
      <w:pPr>
        <w:numPr>
          <w:ilvl w:val="0"/>
          <w:numId w:val="3"/>
        </w:numPr>
        <w:ind w:hanging="533"/>
      </w:pPr>
      <w:r>
        <w:t xml:space="preserve">Jennings, P. C.; </w:t>
      </w:r>
      <w:proofErr w:type="spellStart"/>
      <w:r>
        <w:t>Lysgaard</w:t>
      </w:r>
      <w:proofErr w:type="spellEnd"/>
      <w:r>
        <w:t xml:space="preserve">, S.; </w:t>
      </w:r>
      <w:proofErr w:type="spellStart"/>
      <w:r>
        <w:t>Hummelshøj</w:t>
      </w:r>
      <w:proofErr w:type="spellEnd"/>
      <w:r>
        <w:t>, J. S.; Vegge</w:t>
      </w:r>
      <w:r>
        <w:t xml:space="preserve">, T.; Bligaard, T. Genetic algorithms for computational materials discovery accelerated by machine learning. </w:t>
      </w:r>
      <w:proofErr w:type="spellStart"/>
      <w:r>
        <w:rPr>
          <w:i/>
        </w:rPr>
        <w:t>npj</w:t>
      </w:r>
      <w:proofErr w:type="spellEnd"/>
    </w:p>
    <w:p w14:paraId="1ED0D2E0" w14:textId="77777777" w:rsidR="003879A7" w:rsidRDefault="00FA75AB">
      <w:pPr>
        <w:spacing w:after="185" w:line="259" w:lineRule="auto"/>
        <w:ind w:left="543"/>
        <w:jc w:val="left"/>
      </w:pPr>
      <w:r>
        <w:rPr>
          <w:i/>
        </w:rPr>
        <w:t xml:space="preserve">Computational Materials </w:t>
      </w:r>
      <w:r>
        <w:rPr>
          <w:b/>
        </w:rPr>
        <w:t>2019</w:t>
      </w:r>
      <w:r>
        <w:t xml:space="preserve">, </w:t>
      </w:r>
      <w:r>
        <w:rPr>
          <w:i/>
        </w:rPr>
        <w:t>5</w:t>
      </w:r>
      <w:r>
        <w:t>, 46.</w:t>
      </w:r>
    </w:p>
    <w:p w14:paraId="4C369D16" w14:textId="77777777" w:rsidR="003879A7" w:rsidRDefault="00FA75AB">
      <w:pPr>
        <w:numPr>
          <w:ilvl w:val="0"/>
          <w:numId w:val="3"/>
        </w:numPr>
        <w:spacing w:after="225"/>
        <w:ind w:hanging="533"/>
      </w:pPr>
      <w:r>
        <w:t xml:space="preserve">Hansen, M. H.; Torres, J. A. G.; Jennings, P. C.; Wang, Z.; </w:t>
      </w:r>
      <w:proofErr w:type="spellStart"/>
      <w:r>
        <w:t>Boes</w:t>
      </w:r>
      <w:proofErr w:type="spellEnd"/>
      <w:r>
        <w:t>, J. R.; Mamun, O. G.; Bligaard, T. An Ato</w:t>
      </w:r>
      <w:r>
        <w:t xml:space="preserve">mistic Machine Learning Package for Surface Science and Catalysis. </w:t>
      </w:r>
      <w:proofErr w:type="spellStart"/>
      <w:r>
        <w:rPr>
          <w:i/>
        </w:rPr>
        <w:t>arXiv</w:t>
      </w:r>
      <w:proofErr w:type="spellEnd"/>
      <w:r>
        <w:rPr>
          <w:i/>
        </w:rPr>
        <w:t xml:space="preserve"> preprint arXiv:1904.00904 </w:t>
      </w:r>
      <w:r>
        <w:rPr>
          <w:b/>
        </w:rPr>
        <w:t>2019</w:t>
      </w:r>
      <w:r>
        <w:t>,</w:t>
      </w:r>
    </w:p>
    <w:p w14:paraId="66353A4B" w14:textId="77777777" w:rsidR="003879A7" w:rsidRDefault="00FA75AB">
      <w:pPr>
        <w:numPr>
          <w:ilvl w:val="0"/>
          <w:numId w:val="3"/>
        </w:numPr>
        <w:spacing w:after="185" w:line="259" w:lineRule="auto"/>
        <w:ind w:hanging="533"/>
      </w:pPr>
      <w:r>
        <w:t xml:space="preserve">Torres, J. A. G.; Jennings, P. C.; Hansen, M. H.; </w:t>
      </w:r>
      <w:proofErr w:type="spellStart"/>
      <w:r>
        <w:t>Boes</w:t>
      </w:r>
      <w:proofErr w:type="spellEnd"/>
      <w:r>
        <w:t>, J. R.; Bligaard, T. Low-Scaling</w:t>
      </w:r>
    </w:p>
    <w:p w14:paraId="230A3F44" w14:textId="77777777" w:rsidR="003879A7" w:rsidRDefault="00FA75AB">
      <w:pPr>
        <w:spacing w:after="224"/>
        <w:ind w:left="543"/>
      </w:pPr>
      <w:r>
        <w:t>Algorithm for Nudged Elastic Band Calculations Using a Surrogat</w:t>
      </w:r>
      <w:r>
        <w:t xml:space="preserve">e Machine Learning Model. </w:t>
      </w:r>
      <w:r>
        <w:rPr>
          <w:i/>
        </w:rPr>
        <w:t xml:space="preserve">Physical review letters </w:t>
      </w:r>
      <w:r>
        <w:rPr>
          <w:b/>
        </w:rPr>
        <w:t>2019</w:t>
      </w:r>
      <w:r>
        <w:t xml:space="preserve">, </w:t>
      </w:r>
      <w:r>
        <w:rPr>
          <w:i/>
        </w:rPr>
        <w:t>122</w:t>
      </w:r>
      <w:r>
        <w:t>, 156001.</w:t>
      </w:r>
    </w:p>
    <w:p w14:paraId="5B29DC62" w14:textId="77777777" w:rsidR="003879A7" w:rsidRDefault="00FA75AB">
      <w:pPr>
        <w:numPr>
          <w:ilvl w:val="0"/>
          <w:numId w:val="3"/>
        </w:numPr>
        <w:ind w:hanging="533"/>
      </w:pPr>
      <w:r>
        <w:lastRenderedPageBreak/>
        <w:t xml:space="preserve">Jain, A.; Ong, S. P.; </w:t>
      </w:r>
      <w:proofErr w:type="spellStart"/>
      <w:r>
        <w:t>Hautier</w:t>
      </w:r>
      <w:proofErr w:type="spellEnd"/>
      <w:r>
        <w:t xml:space="preserve">, G.; Chen, W.; Richards, W. D.; </w:t>
      </w:r>
      <w:proofErr w:type="spellStart"/>
      <w:r>
        <w:t>Dacek</w:t>
      </w:r>
      <w:proofErr w:type="spellEnd"/>
      <w:r>
        <w:t xml:space="preserve">, S.; </w:t>
      </w:r>
      <w:proofErr w:type="spellStart"/>
      <w:r>
        <w:t>Cholia</w:t>
      </w:r>
      <w:proofErr w:type="spellEnd"/>
      <w:r>
        <w:t xml:space="preserve">, S.; Gunter, D.; Skinner, D.; </w:t>
      </w:r>
      <w:proofErr w:type="spellStart"/>
      <w:r>
        <w:t>Ceder</w:t>
      </w:r>
      <w:proofErr w:type="spellEnd"/>
      <w:r>
        <w:t>, G.; Persson, K. A. Commentary: The materials project:</w:t>
      </w:r>
    </w:p>
    <w:p w14:paraId="6FF87CC8" w14:textId="77777777" w:rsidR="003879A7" w:rsidRDefault="00FA75AB">
      <w:pPr>
        <w:spacing w:after="222"/>
        <w:ind w:left="543"/>
      </w:pPr>
      <w:r>
        <w:t>A materials geno</w:t>
      </w:r>
      <w:r>
        <w:t xml:space="preserve">me approach to accelerating materials innovation. </w:t>
      </w:r>
      <w:r>
        <w:rPr>
          <w:i/>
        </w:rPr>
        <w:t xml:space="preserve">APL Materials </w:t>
      </w:r>
      <w:r>
        <w:rPr>
          <w:b/>
        </w:rPr>
        <w:t>2013</w:t>
      </w:r>
      <w:r>
        <w:t xml:space="preserve">, </w:t>
      </w:r>
      <w:r>
        <w:rPr>
          <w:i/>
        </w:rPr>
        <w:t>1</w:t>
      </w:r>
      <w:r>
        <w:t>.</w:t>
      </w:r>
    </w:p>
    <w:p w14:paraId="2AD7F50D" w14:textId="77777777" w:rsidR="003879A7" w:rsidRDefault="00FA75AB">
      <w:pPr>
        <w:numPr>
          <w:ilvl w:val="0"/>
          <w:numId w:val="3"/>
        </w:numPr>
        <w:spacing w:after="225"/>
        <w:ind w:hanging="533"/>
      </w:pPr>
      <w:proofErr w:type="spellStart"/>
      <w:r>
        <w:t>Kirklin</w:t>
      </w:r>
      <w:proofErr w:type="spellEnd"/>
      <w:r>
        <w:t xml:space="preserve">, S.; Saal, J. E.; </w:t>
      </w:r>
      <w:proofErr w:type="spellStart"/>
      <w:r>
        <w:t>Meredig</w:t>
      </w:r>
      <w:proofErr w:type="spellEnd"/>
      <w:r>
        <w:t xml:space="preserve">, B.; Thompson, A.; </w:t>
      </w:r>
      <w:proofErr w:type="spellStart"/>
      <w:r>
        <w:t>Doak</w:t>
      </w:r>
      <w:proofErr w:type="spellEnd"/>
      <w:r>
        <w:t xml:space="preserve">, J. W.; </w:t>
      </w:r>
      <w:proofErr w:type="spellStart"/>
      <w:r>
        <w:t>Aykol</w:t>
      </w:r>
      <w:proofErr w:type="spellEnd"/>
      <w:r>
        <w:t xml:space="preserve">, M.; </w:t>
      </w:r>
      <w:proofErr w:type="spellStart"/>
      <w:r>
        <w:t>Ru¨hl</w:t>
      </w:r>
      <w:proofErr w:type="spellEnd"/>
      <w:r>
        <w:t xml:space="preserve">, S.; </w:t>
      </w:r>
      <w:proofErr w:type="spellStart"/>
      <w:r>
        <w:t>Wolverton</w:t>
      </w:r>
      <w:proofErr w:type="spellEnd"/>
      <w:r>
        <w:t>, C. The Open Quantum Materials Database (OQMD): Assessing the accuracy of DFT formati</w:t>
      </w:r>
      <w:r>
        <w:t xml:space="preserve">on energies. </w:t>
      </w:r>
      <w:proofErr w:type="spellStart"/>
      <w:r>
        <w:rPr>
          <w:i/>
        </w:rPr>
        <w:t>npj</w:t>
      </w:r>
      <w:proofErr w:type="spellEnd"/>
      <w:r>
        <w:rPr>
          <w:i/>
        </w:rPr>
        <w:t xml:space="preserve"> Computational Materials </w:t>
      </w:r>
      <w:r>
        <w:rPr>
          <w:b/>
        </w:rPr>
        <w:t>2015</w:t>
      </w:r>
      <w:r>
        <w:t xml:space="preserve">, </w:t>
      </w:r>
      <w:r>
        <w:rPr>
          <w:i/>
        </w:rPr>
        <w:t>1</w:t>
      </w:r>
      <w:r>
        <w:t>.</w:t>
      </w:r>
    </w:p>
    <w:p w14:paraId="39E0B8E2" w14:textId="77777777" w:rsidR="003879A7" w:rsidRDefault="00FA75AB">
      <w:pPr>
        <w:numPr>
          <w:ilvl w:val="0"/>
          <w:numId w:val="3"/>
        </w:numPr>
        <w:spacing w:after="222"/>
        <w:ind w:hanging="533"/>
      </w:pPr>
      <w:r>
        <w:t xml:space="preserve">Jain, A. PHYSICAL REVIEW B </w:t>
      </w:r>
      <w:proofErr w:type="gramStart"/>
      <w:r>
        <w:t>98 ,</w:t>
      </w:r>
      <w:proofErr w:type="gramEnd"/>
      <w:r>
        <w:t xml:space="preserve"> 214112 ( 2018 ) Atomic-position independent descriptor for machine learning of material properties. </w:t>
      </w:r>
      <w:r>
        <w:rPr>
          <w:b/>
        </w:rPr>
        <w:t>2018</w:t>
      </w:r>
      <w:r>
        <w:t xml:space="preserve">, </w:t>
      </w:r>
      <w:r>
        <w:rPr>
          <w:i/>
        </w:rPr>
        <w:t>214112</w:t>
      </w:r>
      <w:r>
        <w:t>, 1–7.</w:t>
      </w:r>
    </w:p>
    <w:p w14:paraId="7D2182AD" w14:textId="77777777" w:rsidR="003879A7" w:rsidRDefault="00FA75AB">
      <w:pPr>
        <w:numPr>
          <w:ilvl w:val="0"/>
          <w:numId w:val="3"/>
        </w:numPr>
        <w:spacing w:after="225"/>
        <w:ind w:hanging="533"/>
      </w:pPr>
      <w:r>
        <w:t xml:space="preserve">Ward, L.; Liu, R.; Krishna, A.; Hegde, V. I.; Agrawal, A.; Choudhary, A.; </w:t>
      </w:r>
      <w:proofErr w:type="spellStart"/>
      <w:r>
        <w:t>Wolverton</w:t>
      </w:r>
      <w:proofErr w:type="spellEnd"/>
      <w:r>
        <w:t>, C. Including crystal</w:t>
      </w:r>
      <w:r>
        <w:t xml:space="preserve"> structure attributes in machine learning models of formation energies via Voronoi tessellations. </w:t>
      </w:r>
      <w:r>
        <w:rPr>
          <w:i/>
        </w:rPr>
        <w:t xml:space="preserve">Physical Review B </w:t>
      </w:r>
      <w:r>
        <w:rPr>
          <w:b/>
        </w:rPr>
        <w:t>2017</w:t>
      </w:r>
      <w:r>
        <w:t>,</w:t>
      </w:r>
    </w:p>
    <w:p w14:paraId="099F191E" w14:textId="77777777" w:rsidR="003879A7" w:rsidRDefault="00FA75AB">
      <w:pPr>
        <w:numPr>
          <w:ilvl w:val="0"/>
          <w:numId w:val="3"/>
        </w:numPr>
        <w:spacing w:after="222"/>
        <w:ind w:hanging="533"/>
      </w:pPr>
      <w:r>
        <w:t xml:space="preserve">Tipping, M. E.; Bishop, C. M. Probabilistic principal component analysis. </w:t>
      </w:r>
      <w:r>
        <w:rPr>
          <w:i/>
        </w:rPr>
        <w:t>Journal of the Royal Statistical Society. Series B: Statisti</w:t>
      </w:r>
      <w:r>
        <w:rPr>
          <w:i/>
        </w:rPr>
        <w:t xml:space="preserve">cal Methodology </w:t>
      </w:r>
      <w:r>
        <w:rPr>
          <w:b/>
        </w:rPr>
        <w:t>1999</w:t>
      </w:r>
      <w:r>
        <w:t>,</w:t>
      </w:r>
    </w:p>
    <w:p w14:paraId="37934786" w14:textId="77777777" w:rsidR="003879A7" w:rsidRDefault="00FA75AB">
      <w:pPr>
        <w:numPr>
          <w:ilvl w:val="0"/>
          <w:numId w:val="3"/>
        </w:numPr>
        <w:ind w:hanging="533"/>
      </w:pPr>
      <w:proofErr w:type="spellStart"/>
      <w:r>
        <w:t>Waroquiers</w:t>
      </w:r>
      <w:proofErr w:type="spellEnd"/>
      <w:r>
        <w:t xml:space="preserve">, D.; </w:t>
      </w:r>
      <w:proofErr w:type="spellStart"/>
      <w:r>
        <w:t>Gonze</w:t>
      </w:r>
      <w:proofErr w:type="spellEnd"/>
      <w:r>
        <w:t xml:space="preserve">, X.; </w:t>
      </w:r>
      <w:proofErr w:type="spellStart"/>
      <w:r>
        <w:t>Rignanese</w:t>
      </w:r>
      <w:proofErr w:type="spellEnd"/>
      <w:r>
        <w:t>, G. M.; Welker-</w:t>
      </w:r>
      <w:proofErr w:type="spellStart"/>
      <w:r>
        <w:t>Nieuwoudt</w:t>
      </w:r>
      <w:proofErr w:type="spellEnd"/>
      <w:r>
        <w:t xml:space="preserve">, C.; </w:t>
      </w:r>
      <w:proofErr w:type="spellStart"/>
      <w:r>
        <w:t>Rosowski</w:t>
      </w:r>
      <w:proofErr w:type="spellEnd"/>
      <w:r>
        <w:t xml:space="preserve">, F.; </w:t>
      </w:r>
      <w:proofErr w:type="spellStart"/>
      <w:r>
        <w:t>Go¨bel</w:t>
      </w:r>
      <w:proofErr w:type="spellEnd"/>
      <w:r>
        <w:t xml:space="preserve">, M.; Schenk, S.; </w:t>
      </w:r>
      <w:proofErr w:type="spellStart"/>
      <w:r>
        <w:t>Degelmann</w:t>
      </w:r>
      <w:proofErr w:type="spellEnd"/>
      <w:r>
        <w:t xml:space="preserve">, P.; </w:t>
      </w:r>
      <w:proofErr w:type="spellStart"/>
      <w:r>
        <w:t>Andr´e</w:t>
      </w:r>
      <w:proofErr w:type="spellEnd"/>
      <w:r>
        <w:t xml:space="preserve">, R.; </w:t>
      </w:r>
      <w:proofErr w:type="spellStart"/>
      <w:r>
        <w:t>Glaum</w:t>
      </w:r>
      <w:proofErr w:type="spellEnd"/>
      <w:r>
        <w:t xml:space="preserve">, R.; </w:t>
      </w:r>
      <w:proofErr w:type="spellStart"/>
      <w:r>
        <w:t>Hautier</w:t>
      </w:r>
      <w:proofErr w:type="spellEnd"/>
      <w:r>
        <w:t xml:space="preserve">, G. Statistical analysis of coordination environments in Oxides. </w:t>
      </w:r>
      <w:r>
        <w:rPr>
          <w:i/>
        </w:rPr>
        <w:t>Chemistry of Mater</w:t>
      </w:r>
      <w:r>
        <w:rPr>
          <w:i/>
        </w:rPr>
        <w:t xml:space="preserve">ials </w:t>
      </w:r>
      <w:r>
        <w:rPr>
          <w:b/>
        </w:rPr>
        <w:t>2017</w:t>
      </w:r>
      <w:r>
        <w:t xml:space="preserve">, </w:t>
      </w:r>
      <w:r>
        <w:rPr>
          <w:i/>
        </w:rPr>
        <w:t>29</w:t>
      </w:r>
      <w:r>
        <w:t>,</w:t>
      </w:r>
    </w:p>
    <w:p w14:paraId="282BBF4A" w14:textId="77777777" w:rsidR="003879A7" w:rsidRDefault="00FA75AB">
      <w:pPr>
        <w:spacing w:line="259" w:lineRule="auto"/>
        <w:ind w:left="543"/>
      </w:pPr>
      <w:r>
        <w:t>8346–8360.</w:t>
      </w:r>
    </w:p>
    <w:p w14:paraId="31564B08" w14:textId="77777777" w:rsidR="003879A7" w:rsidRDefault="00FA75AB">
      <w:pPr>
        <w:numPr>
          <w:ilvl w:val="0"/>
          <w:numId w:val="3"/>
        </w:numPr>
        <w:spacing w:after="185" w:line="259" w:lineRule="auto"/>
        <w:ind w:hanging="533"/>
      </w:pPr>
      <w:r>
        <w:t xml:space="preserve">Ong, S. P.; Richards, W. D.; Jain, A.; </w:t>
      </w:r>
      <w:proofErr w:type="spellStart"/>
      <w:r>
        <w:t>Hautier</w:t>
      </w:r>
      <w:proofErr w:type="spellEnd"/>
      <w:r>
        <w:t xml:space="preserve">, G.; Kocher, M.; </w:t>
      </w:r>
      <w:proofErr w:type="spellStart"/>
      <w:r>
        <w:t>Cholia</w:t>
      </w:r>
      <w:proofErr w:type="spellEnd"/>
      <w:r>
        <w:t>, S.; Gunter, D.;</w:t>
      </w:r>
    </w:p>
    <w:p w14:paraId="568940E1" w14:textId="77777777" w:rsidR="003879A7" w:rsidRDefault="00FA75AB">
      <w:pPr>
        <w:ind w:left="543"/>
      </w:pPr>
      <w:proofErr w:type="spellStart"/>
      <w:r>
        <w:t>Chevrier</w:t>
      </w:r>
      <w:proofErr w:type="spellEnd"/>
      <w:r>
        <w:t xml:space="preserve">, V. L.; Persson, K. A.; </w:t>
      </w:r>
      <w:proofErr w:type="spellStart"/>
      <w:r>
        <w:t>Ceder</w:t>
      </w:r>
      <w:proofErr w:type="spellEnd"/>
      <w:r>
        <w:t>, G. Python Materials Genomics (</w:t>
      </w:r>
      <w:proofErr w:type="spellStart"/>
      <w:r>
        <w:t>pymatgen</w:t>
      </w:r>
      <w:proofErr w:type="spellEnd"/>
      <w:r>
        <w:t xml:space="preserve">): A robust, open-source python library for materials analysis. </w:t>
      </w:r>
      <w:r>
        <w:rPr>
          <w:i/>
        </w:rPr>
        <w:t>Computational Materials</w:t>
      </w:r>
    </w:p>
    <w:p w14:paraId="6A8AE2CF" w14:textId="77777777" w:rsidR="003879A7" w:rsidRDefault="00FA75AB">
      <w:pPr>
        <w:spacing w:line="259" w:lineRule="auto"/>
        <w:ind w:left="543"/>
      </w:pPr>
      <w:r>
        <w:rPr>
          <w:i/>
        </w:rPr>
        <w:t xml:space="preserve">Science </w:t>
      </w:r>
      <w:r>
        <w:rPr>
          <w:b/>
        </w:rPr>
        <w:t>2013</w:t>
      </w:r>
      <w:r>
        <w:t xml:space="preserve">, </w:t>
      </w:r>
      <w:r>
        <w:rPr>
          <w:i/>
        </w:rPr>
        <w:t>68</w:t>
      </w:r>
      <w:r>
        <w:t>, 314–319.</w:t>
      </w:r>
      <w:r>
        <w:br w:type="page"/>
      </w:r>
    </w:p>
    <w:p w14:paraId="6D2C0EB1" w14:textId="77777777" w:rsidR="003879A7" w:rsidRDefault="00FA75AB">
      <w:pPr>
        <w:pStyle w:val="Heading1"/>
        <w:spacing w:after="0"/>
        <w:ind w:left="-5"/>
      </w:pPr>
      <w:r>
        <w:lastRenderedPageBreak/>
        <w:t>Graphical TOC Entry</w:t>
      </w:r>
    </w:p>
    <w:p w14:paraId="4E3C80EE" w14:textId="77777777" w:rsidR="003879A7" w:rsidRDefault="00FA75AB">
      <w:pPr>
        <w:spacing w:after="0" w:line="259" w:lineRule="auto"/>
        <w:ind w:left="2065" w:firstLine="0"/>
        <w:jc w:val="left"/>
      </w:pPr>
      <w:r>
        <w:rPr>
          <w:rFonts w:ascii="Calibri" w:eastAsia="Calibri" w:hAnsi="Calibri" w:cs="Calibri"/>
          <w:noProof/>
          <w:sz w:val="22"/>
        </w:rPr>
        <mc:AlternateContent>
          <mc:Choice Requires="wpg">
            <w:drawing>
              <wp:inline distT="0" distB="0" distL="0" distR="0" wp14:anchorId="635888CB" wp14:editId="5684B574">
                <wp:extent cx="3320976" cy="1340976"/>
                <wp:effectExtent l="0" t="0" r="0" b="0"/>
                <wp:docPr id="12059" name="Group 12059"/>
                <wp:cNvGraphicFramePr/>
                <a:graphic xmlns:a="http://schemas.openxmlformats.org/drawingml/2006/main">
                  <a:graphicData uri="http://schemas.microsoft.com/office/word/2010/wordprocessingGroup">
                    <wpg:wgp>
                      <wpg:cNvGrpSpPr/>
                      <wpg:grpSpPr>
                        <a:xfrm>
                          <a:off x="0" y="0"/>
                          <a:ext cx="3320976" cy="1340976"/>
                          <a:chOff x="0" y="0"/>
                          <a:chExt cx="3320976" cy="1340976"/>
                        </a:xfrm>
                      </wpg:grpSpPr>
                      <pic:pic xmlns:pic="http://schemas.openxmlformats.org/drawingml/2006/picture">
                        <pic:nvPicPr>
                          <pic:cNvPr id="1082" name="Picture 1082"/>
                          <pic:cNvPicPr/>
                        </pic:nvPicPr>
                        <pic:blipFill>
                          <a:blip r:embed="rId11"/>
                          <a:stretch>
                            <a:fillRect/>
                          </a:stretch>
                        </pic:blipFill>
                        <pic:spPr>
                          <a:xfrm>
                            <a:off x="999563" y="40492"/>
                            <a:ext cx="1321860" cy="1260000"/>
                          </a:xfrm>
                          <a:prstGeom prst="rect">
                            <a:avLst/>
                          </a:prstGeom>
                        </pic:spPr>
                      </pic:pic>
                      <wps:wsp>
                        <wps:cNvPr id="1083" name="Shape 1083"/>
                        <wps:cNvSpPr/>
                        <wps:spPr>
                          <a:xfrm>
                            <a:off x="0" y="0"/>
                            <a:ext cx="3320976" cy="1340976"/>
                          </a:xfrm>
                          <a:custGeom>
                            <a:avLst/>
                            <a:gdLst/>
                            <a:ahLst/>
                            <a:cxnLst/>
                            <a:rect l="0" t="0" r="0" b="0"/>
                            <a:pathLst>
                              <a:path w="3320976" h="1340976">
                                <a:moveTo>
                                  <a:pt x="0" y="1340976"/>
                                </a:moveTo>
                                <a:lnTo>
                                  <a:pt x="3320976" y="1340976"/>
                                </a:lnTo>
                                <a:lnTo>
                                  <a:pt x="3320976" y="0"/>
                                </a:lnTo>
                                <a:lnTo>
                                  <a:pt x="0" y="0"/>
                                </a:lnTo>
                                <a:close/>
                              </a:path>
                            </a:pathLst>
                          </a:custGeom>
                          <a:ln w="5061"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59" style="width:261.494pt;height:105.589pt;mso-position-horizontal-relative:char;mso-position-vertical-relative:line" coordsize="33209,13409">
                <v:shape id="Picture 1082" style="position:absolute;width:13218;height:12600;left:9995;top:404;" filled="f">
                  <v:imagedata r:id="rId12"/>
                </v:shape>
                <v:shape id="Shape 1083" style="position:absolute;width:33209;height:13409;left:0;top:0;" coordsize="3320976,1340976" path="m0,1340976l3320976,1340976l3320976,0l0,0x">
                  <v:stroke weight="0.398506pt" endcap="square" joinstyle="miter" miterlimit="4" on="true" color="#000000"/>
                  <v:fill on="false" color="#000000" opacity="0"/>
                </v:shape>
              </v:group>
            </w:pict>
          </mc:Fallback>
        </mc:AlternateContent>
      </w:r>
    </w:p>
    <w:sectPr w:rsidR="003879A7">
      <w:footerReference w:type="even" r:id="rId13"/>
      <w:footerReference w:type="default" r:id="rId14"/>
      <w:footerReference w:type="first" r:id="rId15"/>
      <w:pgSz w:w="12240" w:h="15840"/>
      <w:pgMar w:top="1405" w:right="1440" w:bottom="1112" w:left="1440"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3F220" w14:textId="77777777" w:rsidR="00FA75AB" w:rsidRDefault="00FA75AB">
      <w:pPr>
        <w:spacing w:after="0" w:line="240" w:lineRule="auto"/>
      </w:pPr>
      <w:r>
        <w:separator/>
      </w:r>
    </w:p>
  </w:endnote>
  <w:endnote w:type="continuationSeparator" w:id="0">
    <w:p w14:paraId="65693D8A" w14:textId="77777777" w:rsidR="00FA75AB" w:rsidRDefault="00FA7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104D5" w14:textId="77777777" w:rsidR="003879A7" w:rsidRDefault="00FA75AB">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D467F" w14:textId="77777777" w:rsidR="003879A7" w:rsidRDefault="00FA75AB">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04925" w14:textId="77777777" w:rsidR="003879A7" w:rsidRDefault="00FA75AB">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5A354" w14:textId="77777777" w:rsidR="00FA75AB" w:rsidRDefault="00FA75AB">
      <w:pPr>
        <w:spacing w:after="0" w:line="240" w:lineRule="auto"/>
      </w:pPr>
      <w:r>
        <w:separator/>
      </w:r>
    </w:p>
  </w:footnote>
  <w:footnote w:type="continuationSeparator" w:id="0">
    <w:p w14:paraId="44A28149" w14:textId="77777777" w:rsidR="00FA75AB" w:rsidRDefault="00FA7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56E13"/>
    <w:multiLevelType w:val="hybridMultilevel"/>
    <w:tmpl w:val="4E0C859C"/>
    <w:lvl w:ilvl="0" w:tplc="3EFA4FA0">
      <w:start w:val="1"/>
      <w:numFmt w:val="decimal"/>
      <w:lvlText w:val="(%1)"/>
      <w:lvlJc w:val="left"/>
      <w:pPr>
        <w:ind w:left="5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59AAEE4">
      <w:start w:val="1"/>
      <w:numFmt w:val="lowerLetter"/>
      <w:lvlText w:val="%2"/>
      <w:lvlJc w:val="left"/>
      <w:pPr>
        <w:ind w:left="11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1C5DAA">
      <w:start w:val="1"/>
      <w:numFmt w:val="lowerRoman"/>
      <w:lvlText w:val="%3"/>
      <w:lvlJc w:val="left"/>
      <w:pPr>
        <w:ind w:left="18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328647A">
      <w:start w:val="1"/>
      <w:numFmt w:val="decimal"/>
      <w:lvlText w:val="%4"/>
      <w:lvlJc w:val="left"/>
      <w:pPr>
        <w:ind w:left="25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A98642C">
      <w:start w:val="1"/>
      <w:numFmt w:val="lowerLetter"/>
      <w:lvlText w:val="%5"/>
      <w:lvlJc w:val="left"/>
      <w:pPr>
        <w:ind w:left="32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446410E">
      <w:start w:val="1"/>
      <w:numFmt w:val="lowerRoman"/>
      <w:lvlText w:val="%6"/>
      <w:lvlJc w:val="left"/>
      <w:pPr>
        <w:ind w:left="40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0C6F5AA">
      <w:start w:val="1"/>
      <w:numFmt w:val="decimal"/>
      <w:lvlText w:val="%7"/>
      <w:lvlJc w:val="left"/>
      <w:pPr>
        <w:ind w:left="47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E10B052">
      <w:start w:val="1"/>
      <w:numFmt w:val="lowerLetter"/>
      <w:lvlText w:val="%8"/>
      <w:lvlJc w:val="left"/>
      <w:pPr>
        <w:ind w:left="54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F72AAFE">
      <w:start w:val="1"/>
      <w:numFmt w:val="lowerRoman"/>
      <w:lvlText w:val="%9"/>
      <w:lvlJc w:val="left"/>
      <w:pPr>
        <w:ind w:left="61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8F1E9D"/>
    <w:multiLevelType w:val="hybridMultilevel"/>
    <w:tmpl w:val="6302B48C"/>
    <w:lvl w:ilvl="0" w:tplc="F9BAE224">
      <w:start w:val="2"/>
      <w:numFmt w:val="chicago"/>
      <w:lvlText w:val="%1"/>
      <w:lvlJc w:val="left"/>
      <w:pPr>
        <w:ind w:left="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5A81D08">
      <w:start w:val="1"/>
      <w:numFmt w:val="lowerLetter"/>
      <w:lvlText w:val="%2"/>
      <w:lvlJc w:val="left"/>
      <w:pPr>
        <w:ind w:left="19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882D74">
      <w:start w:val="1"/>
      <w:numFmt w:val="lowerRoman"/>
      <w:lvlText w:val="%3"/>
      <w:lvlJc w:val="left"/>
      <w:pPr>
        <w:ind w:left="26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36A78E">
      <w:start w:val="1"/>
      <w:numFmt w:val="decimal"/>
      <w:lvlText w:val="%4"/>
      <w:lvlJc w:val="left"/>
      <w:pPr>
        <w:ind w:left="33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00E2188">
      <w:start w:val="1"/>
      <w:numFmt w:val="lowerLetter"/>
      <w:lvlText w:val="%5"/>
      <w:lvlJc w:val="left"/>
      <w:pPr>
        <w:ind w:left="40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9AD9F6">
      <w:start w:val="1"/>
      <w:numFmt w:val="lowerRoman"/>
      <w:lvlText w:val="%6"/>
      <w:lvlJc w:val="left"/>
      <w:pPr>
        <w:ind w:left="48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8862E2">
      <w:start w:val="1"/>
      <w:numFmt w:val="decimal"/>
      <w:lvlText w:val="%7"/>
      <w:lvlJc w:val="left"/>
      <w:pPr>
        <w:ind w:left="5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22EDBA">
      <w:start w:val="1"/>
      <w:numFmt w:val="lowerLetter"/>
      <w:lvlText w:val="%8"/>
      <w:lvlJc w:val="left"/>
      <w:pPr>
        <w:ind w:left="62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85C5BAE">
      <w:start w:val="1"/>
      <w:numFmt w:val="lowerRoman"/>
      <w:lvlText w:val="%9"/>
      <w:lvlJc w:val="left"/>
      <w:pPr>
        <w:ind w:left="69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3D20260"/>
    <w:multiLevelType w:val="hybridMultilevel"/>
    <w:tmpl w:val="9C1A0652"/>
    <w:lvl w:ilvl="0" w:tplc="B0D2FF62">
      <w:start w:val="1"/>
      <w:numFmt w:val="bullet"/>
      <w:lvlText w:val="*"/>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9A37C8">
      <w:start w:val="1"/>
      <w:numFmt w:val="bullet"/>
      <w:lvlText w:val="o"/>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AAAB910">
      <w:start w:val="1"/>
      <w:numFmt w:val="bullet"/>
      <w:lvlText w:val="▪"/>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1403396">
      <w:start w:val="1"/>
      <w:numFmt w:val="bullet"/>
      <w:lvlText w:val="•"/>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E4017E8">
      <w:start w:val="1"/>
      <w:numFmt w:val="bullet"/>
      <w:lvlText w:val="o"/>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722439E">
      <w:start w:val="1"/>
      <w:numFmt w:val="bullet"/>
      <w:lvlText w:val="▪"/>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9C7B60">
      <w:start w:val="1"/>
      <w:numFmt w:val="bullet"/>
      <w:lvlText w:val="•"/>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CE829A4">
      <w:start w:val="1"/>
      <w:numFmt w:val="bullet"/>
      <w:lvlText w:val="o"/>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DF077EE">
      <w:start w:val="1"/>
      <w:numFmt w:val="bullet"/>
      <w:lvlText w:val="▪"/>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9A7"/>
    <w:rsid w:val="003879A7"/>
    <w:rsid w:val="00E6686D"/>
    <w:rsid w:val="00FA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9557B"/>
  <w15:docId w15:val="{9A200144-D604-4335-B418-4123C1A53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1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267" w:line="265"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260" w:line="265"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353" w:line="263"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5485</Words>
  <Characters>31270</Characters>
  <Application>Microsoft Office Word</Application>
  <DocSecurity>0</DocSecurity>
  <Lines>260</Lines>
  <Paragraphs>73</Paragraphs>
  <ScaleCrop>false</ScaleCrop>
  <Company/>
  <LinksUpToDate>false</LinksUpToDate>
  <CharactersWithSpaces>36682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Flores</dc:creator>
  <cp:keywords/>
  <cp:lastModifiedBy>Raul Flores</cp:lastModifiedBy>
  <cp:revision>2</cp:revision>
  <dcterms:created xsi:type="dcterms:W3CDTF">2019-11-25T18:24:00Z</dcterms:created>
  <dcterms:modified xsi:type="dcterms:W3CDTF">2019-11-25T18:24:00Z</dcterms:modified>
</cp:coreProperties>
</file>