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48"/>
        </w:rPr>
        <w:t>SMART FLOW 2.0</w:t>
      </w:r>
    </w:p>
    <w:p>
      <w:pPr>
        <w:jc w:val="center"/>
      </w:pPr>
      <w:r>
        <w:rPr>
          <w:i/>
          <w:sz w:val="32"/>
        </w:rPr>
        <w:t>Automated and Remotely Controlled Irrigation System</w:t>
      </w:r>
    </w:p>
    <w:p/>
    <w:p>
      <w:pPr>
        <w:jc w:val="center"/>
      </w:pPr>
      <w:r>
        <w:rPr>
          <w:sz w:val="26"/>
        </w:rPr>
        <w:t>Bachelor's Thesis</w:t>
      </w:r>
    </w:p>
    <w:p/>
    <w:p>
      <w:pPr>
        <w:jc w:val="center"/>
      </w:pPr>
      <w:r>
        <w:rPr>
          <w:b/>
          <w:sz w:val="26"/>
        </w:rPr>
        <w:t>Davit Kavelashvili</w:t>
      </w:r>
    </w:p>
    <w:p>
      <w:pPr>
        <w:jc w:val="center"/>
      </w:pPr>
      <w:r>
        <w:rPr>
          <w:sz w:val="24"/>
        </w:rPr>
        <w:t>2026</w:t>
      </w:r>
    </w:p>
    <w:p>
      <w:r>
        <w:br w:type="page"/>
      </w:r>
    </w:p>
    <w:p>
      <w:pPr>
        <w:spacing w:before="280" w:after="80"/>
        <w:jc w:val="left"/>
      </w:pPr>
      <w:r>
        <w:rPr>
          <w:b/>
          <w:color w:val="1F497D"/>
          <w:sz w:val="32"/>
        </w:rPr>
        <w:t>Table of Contents</w:t>
      </w:r>
    </w:p>
    <w:p>
      <w:pPr>
        <w:spacing w:after="40"/>
      </w:pPr>
      <w:r>
        <w:rPr>
          <w:sz w:val="22"/>
        </w:rPr>
        <w:t>1.  Introduction</w:t>
      </w:r>
    </w:p>
    <w:p>
      <w:pPr>
        <w:spacing w:after="40"/>
      </w:pPr>
      <w:r>
        <w:rPr>
          <w:sz w:val="22"/>
        </w:rPr>
        <w:t>2.  Problem Statement</w:t>
      </w:r>
    </w:p>
    <w:p>
      <w:pPr>
        <w:spacing w:after="40"/>
      </w:pPr>
      <w:r>
        <w:rPr>
          <w:sz w:val="22"/>
        </w:rPr>
        <w:t>3.  Market Research &amp; Competitive Landscape</w:t>
      </w:r>
    </w:p>
    <w:p>
      <w:pPr>
        <w:spacing w:after="40"/>
      </w:pPr>
      <w:r>
        <w:rPr>
          <w:sz w:val="22"/>
        </w:rPr>
        <w:t>4.  Technical Background</w:t>
      </w:r>
    </w:p>
    <w:p>
      <w:pPr>
        <w:spacing w:after="40"/>
      </w:pPr>
      <w:r>
        <w:rPr>
          <w:sz w:val="22"/>
        </w:rPr>
        <w:t>5.  System Architecture &amp; Design Decisions</w:t>
      </w:r>
    </w:p>
    <w:p>
      <w:pPr>
        <w:spacing w:after="40"/>
      </w:pPr>
      <w:r>
        <w:rPr>
          <w:sz w:val="22"/>
        </w:rPr>
        <w:t>6.  Hardware Implementation</w:t>
      </w:r>
    </w:p>
    <w:p>
      <w:pPr>
        <w:spacing w:after="40"/>
      </w:pPr>
      <w:r>
        <w:rPr>
          <w:sz w:val="22"/>
        </w:rPr>
        <w:t>7.  Firmware Development</w:t>
      </w:r>
    </w:p>
    <w:p>
      <w:pPr>
        <w:spacing w:after="40"/>
      </w:pPr>
      <w:r>
        <w:rPr>
          <w:sz w:val="22"/>
        </w:rPr>
        <w:t>8.  ESP32 &amp; Cloud Layer Design</w:t>
      </w:r>
    </w:p>
    <w:p>
      <w:pPr>
        <w:spacing w:after="40"/>
      </w:pPr>
      <w:r>
        <w:rPr>
          <w:sz w:val="22"/>
        </w:rPr>
        <w:t>9.  Testing &amp; Results</w:t>
      </w:r>
    </w:p>
    <w:p>
      <w:pPr>
        <w:spacing w:after="40"/>
      </w:pPr>
      <w:r>
        <w:rPr>
          <w:sz w:val="22"/>
        </w:rPr>
        <w:t>10.  Economic Analysis</w:t>
      </w:r>
    </w:p>
    <w:p>
      <w:pPr>
        <w:spacing w:after="40"/>
      </w:pPr>
      <w:r>
        <w:rPr>
          <w:sz w:val="22"/>
        </w:rPr>
        <w:t>11.  Future Work</w:t>
      </w:r>
    </w:p>
    <w:p>
      <w:pPr>
        <w:spacing w:after="40"/>
      </w:pPr>
      <w:r>
        <w:rPr>
          <w:sz w:val="22"/>
        </w:rPr>
        <w:t>12.  Conclusion</w:t>
      </w:r>
    </w:p>
    <w:p>
      <w:pPr>
        <w:spacing w:after="40"/>
      </w:pPr>
      <w:r>
        <w:rPr>
          <w:sz w:val="22"/>
        </w:rPr>
        <w:t>13.  References</w:t>
      </w:r>
    </w:p>
    <w:p>
      <w:r>
        <w:br w:type="page"/>
      </w:r>
    </w:p>
    <w:p>
      <w:pPr>
        <w:spacing w:before="280" w:after="80"/>
        <w:jc w:val="left"/>
      </w:pPr>
      <w:r>
        <w:rPr>
          <w:b/>
          <w:color w:val="1F497D"/>
          <w:sz w:val="32"/>
        </w:rPr>
        <w:t>1. Introduction</w:t>
      </w:r>
    </w:p>
    <w:p>
      <w:pPr>
        <w:spacing w:after="120"/>
        <w:ind w:firstLine="425"/>
        <w:jc w:val="both"/>
      </w:pPr>
      <w:r>
        <w:t>Water is the single most critical resource in agricultural production, yet it remains one of the most inefficiently managed. According to the United Nations Food and Agriculture Organization (FAO), agriculture accounts for approximately 70 percent of all freshwater withdrawals globally, and a significant portion of that water never reaches the root zone of a plant. Traditional irrigation systems — open channels, uncontrolled sprinklers, flood irrigation — operate on fixed schedules that ignore soil moisture levels, weather forecasts, and crop growth stages. The result is a dual failure: crops are either stressed from under-watering or damaged from waterlogging, while limited water reserves are depleted faster than they can be replenished.</w:t>
      </w:r>
    </w:p>
    <w:p>
      <w:pPr>
        <w:spacing w:after="120"/>
        <w:ind w:firstLine="425"/>
        <w:jc w:val="both"/>
      </w:pPr>
      <w:r>
        <w:t>The emergence of the Internet of Things (IoT) and low-cost embedded microcontrollers has created a realistic opportunity to transform this landscape. Modern irrigation control no longer requires industrial-grade programmable logic controllers or expensive proprietary sensor arrays. A well-designed system built around commodity hardware — an STM32 microcontroller, an ESP32 wireless module, and a small collection of analog sensors — can deliver a level of automation and data visibility that, until recently, was available only to large agribusinesses with dedicated engineering teams.</w:t>
      </w:r>
    </w:p>
    <w:p>
      <w:pPr>
        <w:spacing w:after="120"/>
        <w:ind w:firstLine="425"/>
        <w:jc w:val="both"/>
      </w:pPr>
      <w:r>
        <w:t>This thesis documents the design, development, and evaluation of Smart Flow 2.0, a modular, low-cost, dual-processor irrigation control system intended for small and medium-sized farming operations. The system integrates real-time water quality monitoring (TDS, pH, and pressure), multi-zone valve control, automated fertigation via a motorized mixing mechanism, and remote management over a cloud-connected mobile interface. The architecture deliberately separates sensor logic from actuation logic across two independent STM32F103C8T6 microcontrollers, with an ESP32 module serving as the wireless bridge to a cloud MQTT broker.</w:t>
      </w:r>
    </w:p>
    <w:p>
      <w:pPr>
        <w:spacing w:after="120"/>
        <w:ind w:firstLine="425"/>
        <w:jc w:val="both"/>
      </w:pPr>
      <w:r>
        <w:t>The central claim of this project is that minimalist engineering — thoughtful hardware selection, clean inter-module communication protocols, and pragmatic software design — can achieve results that rival commercial products costing ten to twenty times more. The system is not positioned as a research prototype to be discarded after demonstration; it is designed as a functional blueprint that a technically literate farmer or cooperative could replicate for under fifty USD per installation zone.</w:t>
      </w:r>
    </w:p>
    <w:p>
      <w:pPr>
        <w:spacing w:before="280" w:after="80"/>
        <w:jc w:val="left"/>
      </w:pPr>
      <w:r>
        <w:rPr>
          <w:b/>
          <w:color w:val="1F497D"/>
          <w:sz w:val="26"/>
        </w:rPr>
        <w:t>1.1  Scope and Objectives</w:t>
      </w:r>
    </w:p>
    <w:p>
      <w:pPr>
        <w:spacing w:after="120"/>
        <w:ind w:firstLine="425"/>
        <w:jc w:val="both"/>
      </w:pPr>
      <w:r>
        <w:t>This project covers the following areas of development and research:</w:t>
      </w:r>
    </w:p>
    <w:p>
      <w:pPr>
        <w:pStyle w:val="ListBullet"/>
        <w:spacing w:after="60"/>
      </w:pPr>
      <w:r>
        <w:rPr>
          <w:b/>
        </w:rPr>
        <w:t xml:space="preserve">Market Analysis: </w:t>
      </w:r>
      <w:r>
        <w:t>Research and documentation of the global smart irrigation market, key competitors, and relevant technical standards.</w:t>
      </w:r>
    </w:p>
    <w:p>
      <w:pPr>
        <w:pStyle w:val="ListBullet"/>
        <w:spacing w:after="60"/>
      </w:pPr>
      <w:r>
        <w:rPr>
          <w:b/>
        </w:rPr>
        <w:t xml:space="preserve">Embedded Firmware: </w:t>
      </w:r>
      <w:r>
        <w:t>Design and implementation of a dual-STM32 embedded firmware architecture for sensor acquisition, multi-zone scheduling, and relay-driven valve control.</w:t>
      </w:r>
    </w:p>
    <w:p>
      <w:pPr>
        <w:pStyle w:val="ListBullet"/>
        <w:spacing w:after="60"/>
      </w:pPr>
      <w:r>
        <w:rPr>
          <w:b/>
        </w:rPr>
        <w:t xml:space="preserve">Wireless &amp; Cloud: </w:t>
      </w:r>
      <w:r>
        <w:t>Design of the ESP32 cloud bridge layer, including MQTT topic architecture, serial command protocol, and mobile application interface concept.</w:t>
      </w:r>
    </w:p>
    <w:p>
      <w:pPr>
        <w:pStyle w:val="ListBullet"/>
        <w:spacing w:after="60"/>
      </w:pPr>
      <w:r>
        <w:rPr>
          <w:b/>
        </w:rPr>
        <w:t xml:space="preserve">Validation: </w:t>
      </w:r>
      <w:r>
        <w:t>Bench testing of sensor accuracy, relay timing, and inter-module communication reliability.</w:t>
      </w:r>
    </w:p>
    <w:p>
      <w:pPr>
        <w:pStyle w:val="ListBullet"/>
        <w:spacing w:after="60"/>
      </w:pPr>
      <w:r>
        <w:rPr>
          <w:b/>
        </w:rPr>
        <w:t xml:space="preserve">Cost Analysis: </w:t>
      </w:r>
      <w:r>
        <w:t>Economic analysis comparing the prototype bill-of-materials cost against comparable commercial products.</w:t>
      </w:r>
    </w:p>
    <w:p>
      <w:pPr>
        <w:spacing w:before="280" w:after="80"/>
        <w:jc w:val="left"/>
      </w:pPr>
      <w:r>
        <w:rPr>
          <w:b/>
          <w:color w:val="1F497D"/>
          <w:sz w:val="26"/>
        </w:rPr>
        <w:t>1.2  Document Structure</w:t>
      </w:r>
    </w:p>
    <w:p>
      <w:pPr>
        <w:spacing w:after="120"/>
        <w:ind w:firstLine="425"/>
        <w:jc w:val="both"/>
      </w:pPr>
      <w:r>
        <w:t>Section 2 frames the core problem and the proposed solution. Section 3 surveys the competitive landscape and current market. Section 4 provides the technical background covering sensor physics, communication protocols, and microcontroller selection rationale. Section 5 describes the overall system architecture and key design decisions. Sections 6 and 7 cover hardware implementation and firmware development in detail. Section 8 describes the ESP32 and cloud layer. Section 9 presents testing methodology and results. Sections 10 through 12 address economics, future directions, and conclusions.</w:t>
      </w:r>
    </w:p>
    <w:p>
      <w:r>
        <w:br w:type="page"/>
      </w:r>
    </w:p>
    <w:p>
      <w:pPr>
        <w:spacing w:before="280" w:after="80"/>
        <w:jc w:val="left"/>
      </w:pPr>
      <w:r>
        <w:rPr>
          <w:b/>
          <w:color w:val="1F497D"/>
          <w:sz w:val="32"/>
        </w:rPr>
        <w:t>2. Problem Statement</w:t>
      </w:r>
    </w:p>
    <w:p>
      <w:pPr>
        <w:spacing w:before="280" w:after="80"/>
        <w:jc w:val="left"/>
      </w:pPr>
      <w:r>
        <w:rPr>
          <w:b/>
          <w:color w:val="1F497D"/>
          <w:sz w:val="26"/>
        </w:rPr>
        <w:t>2.1  The Core Problem</w:t>
      </w:r>
    </w:p>
    <w:p>
      <w:pPr>
        <w:spacing w:after="120"/>
        <w:ind w:firstLine="425"/>
        <w:jc w:val="both"/>
      </w:pPr>
      <w:r>
        <w:t>Current irrigation solutions available to small and medium-sized agricultural enterprises (SMEs) suffer from three compounding failures that this project directly addresses.</w:t>
      </w:r>
    </w:p>
    <w:p>
      <w:pPr>
        <w:spacing w:after="120"/>
        <w:ind w:firstLine="425"/>
        <w:jc w:val="both"/>
      </w:pPr>
      <w:r>
        <w:rPr>
          <w:b/>
        </w:rPr>
        <w:t>Hardware Limitation:</w:t>
      </w:r>
      <w:r>
        <w:t xml:space="preserve"> The dominant commercial products — systems from Rain Bird, Hunter, and Netafim — operate within a closed ecosystem model. Each manufacturer's controller is designed to interface exclusively with that manufacturer's sensors, valves, and expansion modules. This lock-in prevents multi-functionality, forces farms into a single vendor relationship, and makes incremental upgrades prohibitively expensive. A farmer who needs to add a sixth irrigation zone or integrate a new sensor type must purchase an entirely new controller rather than extending an existing one.</w:t>
      </w:r>
    </w:p>
    <w:p>
      <w:pPr>
        <w:spacing w:after="120"/>
        <w:ind w:firstLine="425"/>
        <w:jc w:val="both"/>
      </w:pPr>
      <w:r>
        <w:rPr>
          <w:b/>
        </w:rPr>
        <w:t>Inefficient Labor Allocation:</w:t>
      </w:r>
      <w:r>
        <w:t xml:space="preserve"> Without reliable remote feedback, farm operators must physically inspect equipment on a daily basis. On farms where irrigation infrastructure spans hundreds of meters, this translates to hundreds of wasted man-hours per growing season. The labor cost is not merely financial — it represents a cognitive burden that prevents farmers from focusing on higher-value activities such as crop selection, market timing, and quality management.</w:t>
      </w:r>
    </w:p>
    <w:p>
      <w:pPr>
        <w:spacing w:after="120"/>
        <w:ind w:firstLine="425"/>
        <w:jc w:val="both"/>
      </w:pPr>
      <w:r>
        <w:rPr>
          <w:b/>
        </w:rPr>
        <w:t>Resource Waste:</w:t>
      </w:r>
      <w:r>
        <w:t xml:space="preserve"> Systems that operate on fixed schedules — the dominant paradigm in low-cost irrigation — treat water and fertilizer as effectively infinite. They deliver the same volume at the same time regardless of current soil moisture, rainfall, or the actual nutrient uptake rate of the crop at its current growth stage. FAO studies on drip irrigation in Mediterranean climates consistently show that schedule-based systems apply 30 to 50 percent more water than plants actually require. At scale, this represents massive economic and environmental loss.</w:t>
      </w:r>
    </w:p>
    <w:p>
      <w:pPr>
        <w:spacing w:before="280" w:after="80"/>
        <w:jc w:val="left"/>
      </w:pPr>
      <w:r>
        <w:rPr>
          <w:b/>
          <w:color w:val="1F497D"/>
          <w:sz w:val="26"/>
        </w:rPr>
        <w:t>2.2  Georgian Agricultural Context</w:t>
      </w:r>
    </w:p>
    <w:p>
      <w:pPr>
        <w:spacing w:after="120"/>
        <w:ind w:firstLine="425"/>
        <w:jc w:val="both"/>
      </w:pPr>
      <w:r>
        <w:t>Georgia's agricultural sector occupies a structurally important but technologically underdeveloped position in the national economy. Agriculture contributes approximately 7 to 9 percent of GDP and employs roughly 40 percent of the rural workforce. The country's diverse climate zones — from the humid subtropical regions of Adjara and Guria on the Black Sea coast to the semi-arid conditions of the Kakheti wine region and the Kartli plain — create widely varying irrigation demands that a single fixed-schedule system cannot address effectively.</w:t>
      </w:r>
    </w:p>
    <w:p>
      <w:pPr>
        <w:spacing w:after="120"/>
        <w:ind w:firstLine="425"/>
        <w:jc w:val="both"/>
      </w:pPr>
      <w:r>
        <w:t>Kakheti, Georgia's primary wine-producing region, receives approximately 600 to 700 mm of annual rainfall, but the distribution is highly uneven. Dry periods between June and August coincide precisely with the critical fruit development stage of Rkatsiteli, Saperavi, and other native varietals. Without supplemental irrigation during these periods, sugar concentration and yield are significantly reduced. Yet precise irrigation management in this region is almost entirely absent at the small-producer level — most vineyards rely on flood or furrow irrigation managed entirely by manual observation.</w:t>
      </w:r>
    </w:p>
    <w:p>
      <w:pPr>
        <w:spacing w:after="120"/>
        <w:ind w:firstLine="425"/>
        <w:jc w:val="both"/>
      </w:pPr>
      <w:r>
        <w:t>The barrier to adoption of smart irrigation technology in Georgia is not awareness but cost. A basic automated multi-zone controller from Rain Bird or Hunter, imported and installed, represents an investment that exceeds the annual profit margin of a typical small Georgian farm. The import duty structure on electronic components further inflates the final cost. A domestically assembled system using commodity microcontrollers and locally available sensors can bridge this gap at a price point that makes economic sense for even a small producer.</w:t>
      </w:r>
    </w:p>
    <w:p>
      <w:pPr>
        <w:spacing w:before="280" w:after="80"/>
        <w:jc w:val="left"/>
      </w:pPr>
      <w:r>
        <w:rPr>
          <w:b/>
          <w:color w:val="1F497D"/>
          <w:sz w:val="26"/>
        </w:rPr>
        <w:t>2.3  The Proposed Solution</w:t>
      </w:r>
    </w:p>
    <w:p>
      <w:pPr>
        <w:spacing w:after="120"/>
        <w:ind w:firstLine="425"/>
        <w:jc w:val="both"/>
      </w:pPr>
      <w:r>
        <w:t>Smart Flow 2.0 proposes a dual-processor architecture built around two STM32F103C8T6 microcontrollers and an ESP32 wireless module. The design philosophy can be summarized in three principles:</w:t>
      </w:r>
    </w:p>
    <w:p>
      <w:pPr>
        <w:spacing w:after="120"/>
        <w:ind w:firstLine="425"/>
        <w:jc w:val="both"/>
      </w:pPr>
      <w:r>
        <w:rPr>
          <w:b/>
        </w:rPr>
        <w:t>Modularity Over Monolithism:</w:t>
      </w:r>
      <w:r>
        <w:t xml:space="preserve"> Rather than a single controller trying to manage all system functions, responsibilities are distributed. A dedicated Sensor Module handles all data acquisition and irrigation scheduling logic. A dedicated Relay Module handles all physical actuator switching. The separation means that either module can be replaced, upgraded, or replicated independently without affecting the other. Adding zones means adding another Relay Module; adding sensors means extending the Sensor Module firmware.</w:t>
      </w:r>
    </w:p>
    <w:p>
      <w:pPr>
        <w:spacing w:after="120"/>
        <w:ind w:firstLine="425"/>
        <w:jc w:val="both"/>
      </w:pPr>
      <w:r>
        <w:rPr>
          <w:b/>
        </w:rPr>
        <w:t>Openness Over Lock-in:</w:t>
      </w:r>
      <w:r>
        <w:t xml:space="preserve"> All communication between modules uses standard UART serial protocol with a human-readable ASCII command set. All cloud communication uses MQTT over standard TCP/IP. Any mobile device, any cloud provider, and any custom application can integrate with the system without proprietary drivers or licensing agreements.</w:t>
      </w:r>
    </w:p>
    <w:p>
      <w:pPr>
        <w:spacing w:after="120"/>
        <w:ind w:firstLine="425"/>
        <w:jc w:val="both"/>
      </w:pPr>
      <w:r>
        <w:rPr>
          <w:b/>
        </w:rPr>
        <w:t>Affordability Without Sacrifice:</w:t>
      </w:r>
      <w:r>
        <w:t xml:space="preserve"> The entire hardware bill of materials — two STM32 development boards, one ESP32 module, relay boards, sensors, power supply components, and an enclosure — is achievable for under 50 USD at current component prices. This is a cost level that is genuinely accessible to small Georgian and regional agricultural producers.</w:t>
      </w:r>
    </w:p>
    <w:p>
      <w:r>
        <w:br w:type="page"/>
      </w:r>
    </w:p>
    <w:p>
      <w:pPr>
        <w:spacing w:before="280" w:after="80"/>
        <w:jc w:val="left"/>
      </w:pPr>
      <w:r>
        <w:rPr>
          <w:b/>
          <w:color w:val="1F497D"/>
          <w:sz w:val="32"/>
        </w:rPr>
        <w:t>3. Market Research &amp; Competitive Landscape</w:t>
      </w:r>
    </w:p>
    <w:p>
      <w:pPr>
        <w:spacing w:before="280" w:after="80"/>
        <w:jc w:val="left"/>
      </w:pPr>
      <w:r>
        <w:rPr>
          <w:b/>
          <w:color w:val="1F497D"/>
          <w:sz w:val="26"/>
        </w:rPr>
        <w:t>3.1  Global Market Overview</w:t>
      </w:r>
    </w:p>
    <w:p>
      <w:pPr>
        <w:spacing w:after="120"/>
        <w:ind w:firstLine="425"/>
        <w:jc w:val="both"/>
      </w:pPr>
      <w:r>
        <w:t>The global smart irrigation market was valued at approximately 2.14 to 2.54 billion USD in 2024 and is projected to reach 4.15 billion USD by 2030 and potentially 8.44 billion USD by 2034. This trajectory represents a compound annual growth rate (CAGR) of 14.1 to 14.28 percent — significantly outpacing the growth rate of the overall agricultural technology sector, which averages 12 percent annually.</w:t>
      </w:r>
    </w:p>
    <w:p>
      <w:pPr>
        <w:spacing w:after="120"/>
        <w:ind w:firstLine="425"/>
        <w:jc w:val="both"/>
      </w:pPr>
      <w:r>
        <w:t>The primary catalyst for this expansion is the global response to water scarcity driven by climate change. Nearly 50 percent of water applied through traditional irrigation systems is lost to evaporation, runoff, and deep percolation before reaching plant root zones. As water costs rise and regulatory pressure on agricultural water use increases in Europe, North America, and parts of Asia, the economic case for precision irrigation strengthens substantially.</w:t>
      </w:r>
    </w:p>
    <w:p>
      <w:pPr>
        <w:spacing w:after="120"/>
        <w:ind w:firstLine="425"/>
        <w:jc w:val="both"/>
      </w:pPr>
      <w:r>
        <w:t>North America currently represents the largest regional market, driven by large-scale commercial farming operations, early adoption of precision agriculture, and strong venture capital investment in AgTech. However, the Asia-Pacific region is identified by market analysts as the segment with the highest future growth potential, driven by rapid urbanization, the development of smart city infrastructure, and urgent government programs to address freshwater scarcity in agricultural zones.</w:t>
      </w:r>
    </w:p>
    <w:p>
      <w:pPr>
        <w:spacing w:before="280" w:after="80"/>
        <w:jc w:val="left"/>
      </w:pPr>
      <w:r>
        <w:rPr>
          <w:b/>
          <w:color w:val="1F497D"/>
          <w:sz w:val="26"/>
        </w:rPr>
        <w:t>3.2  Key Competitors and Product Analysis</w:t>
      </w:r>
    </w:p>
    <w:p>
      <w:pPr>
        <w:spacing w:after="120"/>
        <w:ind w:firstLine="425"/>
        <w:jc w:val="both"/>
      </w:pPr>
      <w:r>
        <w:t>The competitive landscape can be organized into three tiers: global enterprise players, mid-market IoT-focused vendors, and emerging open-platform products.</w:t>
      </w:r>
    </w:p>
    <w:p>
      <w:pPr>
        <w:spacing w:before="280" w:after="80"/>
        <w:jc w:val="left"/>
      </w:pPr>
      <w:r>
        <w:rPr>
          <w:b/>
          <w:color w:val="000000"/>
          <w:sz w:val="22"/>
        </w:rPr>
        <w:t>Tier 1 — Enterprise Systems</w:t>
      </w:r>
    </w:p>
    <w:p>
      <w:pPr>
        <w:spacing w:after="120"/>
        <w:ind w:firstLine="425"/>
        <w:jc w:val="both"/>
      </w:pPr>
      <w:r>
        <w:rPr>
          <w:b/>
        </w:rPr>
        <w:t>Rain Bird Corporation (USA)</w:t>
      </w:r>
      <w:r>
        <w:t xml:space="preserve"> is the dominant player in large-scale commercial irrigation. Their IQ4 central control platform offers cloud connectivity, modular zone expansion to hundreds of zones, and API integration with third-party work-order management software. The system is weather-data driven, integrating with local evapotranspiration databases to calculate daily water requirements dynamically. The IQ4 is targeted at golf courses, municipal landscapes, and large commercial agricultural operations. Entry-level installation cost begins at 3,000 USD and scales to hundreds of thousands for enterprise deployments. There is no meaningful pathway for a small farmer to adopt Rain Bird's intelligent platform at an accessible price point.</w:t>
      </w:r>
    </w:p>
    <w:p>
      <w:pPr>
        <w:spacing w:after="120"/>
        <w:ind w:firstLine="425"/>
        <w:jc w:val="both"/>
      </w:pPr>
      <w:r>
        <w:rPr>
          <w:b/>
        </w:rPr>
        <w:t>Netafim (Israel)</w:t>
      </w:r>
      <w:r>
        <w:t xml:space="preserve"> is the pioneer of drip irrigation and what they term 'nutrigation' — the simultaneous delivery of water and dissolved nutrients through the drip lines themselves. Their NetBeat precision platform provides field-level monitoring with soil sensors, satellite imagery integration, and AI-driven scheduling recommendations. Netafim systems are designed primarily for large-scale vegetable and fruit production in regions where water is critically scarce, such as Israel, Spain, and Australia. Their pricing model is subscription-based and project-specific, making cost comparison difficult, but typical large farm deployments are in the range of tens of thousands of USD.</w:t>
      </w:r>
    </w:p>
    <w:p>
      <w:pPr>
        <w:spacing w:after="120"/>
        <w:ind w:firstLine="425"/>
        <w:jc w:val="both"/>
      </w:pPr>
      <w:r>
        <w:rPr>
          <w:b/>
        </w:rPr>
        <w:t>The Toro Company (USA)</w:t>
      </w:r>
      <w:r>
        <w:t xml:space="preserve"> has positioned itself at the intersection of irrigation and autonomous robotics, following its acquisition of Left Hand Robotics. Toro's Lynx Smart System focuses on centralized management for commercial turf and landscape applications. Their recent strategy emphasizes data analytics and predictive maintenance rather than basic zone control.</w:t>
      </w:r>
    </w:p>
    <w:p>
      <w:pPr>
        <w:spacing w:before="280" w:after="80"/>
        <w:jc w:val="left"/>
      </w:pPr>
      <w:r>
        <w:rPr>
          <w:b/>
          <w:color w:val="000000"/>
          <w:sz w:val="22"/>
        </w:rPr>
        <w:t>Tier 2 — Mid-Market IoT Controllers</w:t>
      </w:r>
    </w:p>
    <w:p>
      <w:pPr>
        <w:spacing w:after="120"/>
        <w:ind w:firstLine="425"/>
        <w:jc w:val="both"/>
      </w:pPr>
      <w:r>
        <w:rPr>
          <w:b/>
        </w:rPr>
        <w:t>Rachio (USA)</w:t>
      </w:r>
      <w:r>
        <w:t xml:space="preserve"> represents the most successful consumer-facing smart irrigation brand. Their third-generation controller, the Rachio 3, offers 8 or 16 zones, WiFi connectivity, integration with Amazon Alexa and Google Home, and automatic weather-based schedule adjustment using the American Weather Intelligence (AWI) database. The Rachio 3 (8-zone) retails for approximately 170 to 230 USD. However, it has significant limitations for agricultural use: it is designed for residential landscapes, has no direct support for EC or TDS sensors, does not support fertigation, and its cloud service requires an ongoing internet subscription to maintain smart features.</w:t>
      </w:r>
    </w:p>
    <w:p>
      <w:pPr>
        <w:spacing w:after="120"/>
        <w:ind w:firstLine="425"/>
        <w:jc w:val="both"/>
      </w:pPr>
      <w:r>
        <w:rPr>
          <w:b/>
        </w:rPr>
        <w:t>Galcon (Israel)</w:t>
      </w:r>
      <w:r>
        <w:t xml:space="preserve"> produces a broader range of controllers that span residential, commercial, and light agricultural applications. Their 7001BTD Bluetooth controller series and the 9001DC battery-operated valve controller are widely used for small farms and greenhouse operations. Galcon products are more affordable than Rain Bird or Netafim, with individual zone controllers available from 80 to 300 USD, but they share the same fundamental limitation: no integrated water quality sensing and no fertigation management.</w:t>
      </w:r>
    </w:p>
    <w:p>
      <w:pPr>
        <w:spacing w:after="120"/>
        <w:ind w:firstLine="425"/>
        <w:jc w:val="both"/>
      </w:pPr>
      <w:r>
        <w:rPr>
          <w:b/>
        </w:rPr>
        <w:t>Hunter Industries (USA)</w:t>
      </w:r>
      <w:r>
        <w:t xml:space="preserve"> focuses on controller and sensor technology for commercial landscapes. Their HC-1200C controller supports up to 48 zones and integrates with the Hunter Predictive Watering (WAND) system, which uses local weather data and plant database entries to calculate optimized schedules. Hunter also produces the acclaimed Soil-Clik soil moisture sensor, which can pause a scheduled run when soil moisture is sufficient. However, Hunter's ecosystem is fully proprietary and shares the same closed architecture limitations as Rain Bird.</w:t>
      </w:r>
    </w:p>
    <w:p>
      <w:pPr>
        <w:spacing w:before="280" w:after="80"/>
        <w:jc w:val="left"/>
      </w:pPr>
      <w:r>
        <w:rPr>
          <w:b/>
          <w:color w:val="000000"/>
          <w:sz w:val="22"/>
        </w:rPr>
        <w:t>Tier 3 — Open Platform Alternatives</w:t>
      </w:r>
    </w:p>
    <w:p>
      <w:pPr>
        <w:spacing w:after="120"/>
        <w:ind w:firstLine="425"/>
        <w:jc w:val="both"/>
      </w:pPr>
      <w:r>
        <w:rPr>
          <w:b/>
        </w:rPr>
        <w:t>OpenSprinkler</w:t>
      </w:r>
      <w:r>
        <w:t xml:space="preserve"> is the most prominent open-source hardware irrigation controller. Built around an ATmega microcontroller with a companion ESP8266 or Raspberry Pi, it supports up to 72 zones (cascaded), has full API access, integrates with weather services, and costs approximately 60 to 80 USD in kit form. OpenSprinkler is a compelling proof-of-concept for open-platform design but lacks any sensor input capability for TDS, pH, or pressure monitoring, and has no fertigation mechanism. It demonstrates that the market gap exists and that users are willing to self-assemble, but it does not close the gap for agricultural applications.</w:t>
      </w:r>
    </w:p>
    <w:p>
      <w:pPr>
        <w:spacing w:before="280" w:after="80"/>
        <w:jc w:val="left"/>
      </w:pPr>
      <w:r>
        <w:rPr>
          <w:b/>
          <w:color w:val="1F497D"/>
          <w:sz w:val="26"/>
        </w:rPr>
        <w:t>3.3  Competitive Comparison Table</w:t>
      </w:r>
    </w:p>
    <w:p>
      <w:pPr>
        <w:spacing w:after="120"/>
        <w:ind w:firstLine="425"/>
        <w:jc w:val="both"/>
      </w:pPr>
      <w:r>
        <w:t>The following table summarizes the key feature and cost comparison between Smart Flow 2.0 and the most relevant competitive products: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Feature</w:t>
            </w:r>
          </w:p>
        </w:tc>
        <w:tc>
          <w:tcPr>
            <w:tcW w:type="dxa" w:w="1440"/>
          </w:tcPr>
          <w:p>
            <w:pPr>
              <w:jc w:val="center"/>
            </w:pPr>
            <w:r>
              <w:rPr>
                <w:b/>
              </w:rPr>
              <w:t>Smart Flow 2.0</w:t>
            </w:r>
          </w:p>
        </w:tc>
        <w:tc>
          <w:tcPr>
            <w:tcW w:type="dxa" w:w="1440"/>
          </w:tcPr>
          <w:p>
            <w:pPr>
              <w:jc w:val="center"/>
            </w:pPr>
            <w:r>
              <w:rPr>
                <w:b/>
              </w:rPr>
              <w:t>Rain Bird IQ4</w:t>
            </w:r>
          </w:p>
        </w:tc>
        <w:tc>
          <w:tcPr>
            <w:tcW w:type="dxa" w:w="1440"/>
          </w:tcPr>
          <w:p>
            <w:pPr>
              <w:jc w:val="center"/>
            </w:pPr>
            <w:r>
              <w:rPr>
                <w:b/>
              </w:rPr>
              <w:t>Rachio 3</w:t>
            </w:r>
          </w:p>
        </w:tc>
        <w:tc>
          <w:tcPr>
            <w:tcW w:type="dxa" w:w="1440"/>
          </w:tcPr>
          <w:p>
            <w:pPr>
              <w:jc w:val="center"/>
            </w:pPr>
            <w:r>
              <w:rPr>
                <w:b/>
              </w:rPr>
              <w:t>Galcon 9001</w:t>
            </w:r>
          </w:p>
        </w:tc>
        <w:tc>
          <w:tcPr>
            <w:tcW w:type="dxa" w:w="1440"/>
          </w:tcPr>
          <w:p>
            <w:pPr>
              <w:jc w:val="center"/>
            </w:pPr>
            <w:r>
              <w:rPr>
                <w:b/>
              </w:rPr>
              <w:t>OpenSprinkler</w:t>
            </w:r>
          </w:p>
        </w:tc>
      </w:tr>
      <w:tr>
        <w:tc>
          <w:tcPr>
            <w:tcW w:type="dxa" w:w="1440"/>
          </w:tcPr>
          <w:p>
            <w:pPr>
              <w:jc w:val="center"/>
            </w:pPr>
            <w:r>
              <w:t>Max Zones</w:t>
            </w:r>
          </w:p>
        </w:tc>
        <w:tc>
          <w:tcPr>
            <w:tcW w:type="dxa" w:w="1440"/>
          </w:tcPr>
          <w:p>
            <w:pPr>
              <w:jc w:val="center"/>
            </w:pPr>
            <w:r>
              <w:t>11 (expandable)</w:t>
            </w:r>
          </w:p>
        </w:tc>
        <w:tc>
          <w:tcPr>
            <w:tcW w:type="dxa" w:w="1440"/>
          </w:tcPr>
          <w:p>
            <w:pPr>
              <w:jc w:val="center"/>
            </w:pPr>
            <w:r>
              <w:t>Unlimited</w:t>
            </w:r>
          </w:p>
        </w:tc>
        <w:tc>
          <w:tcPr>
            <w:tcW w:type="dxa" w:w="1440"/>
          </w:tcPr>
          <w:p>
            <w:pPr>
              <w:jc w:val="center"/>
            </w:pPr>
            <w:r>
              <w:t>8 / 16</w:t>
            </w:r>
          </w:p>
        </w:tc>
        <w:tc>
          <w:tcPr>
            <w:tcW w:type="dxa" w:w="1440"/>
          </w:tcPr>
          <w:p>
            <w:pPr>
              <w:jc w:val="center"/>
            </w:pPr>
            <w:r>
              <w:t>1–4</w:t>
            </w:r>
          </w:p>
        </w:tc>
        <w:tc>
          <w:tcPr>
            <w:tcW w:type="dxa" w:w="1440"/>
          </w:tcPr>
          <w:p>
            <w:pPr>
              <w:jc w:val="center"/>
            </w:pPr>
            <w:r>
              <w:t>72</w:t>
            </w:r>
          </w:p>
        </w:tc>
      </w:tr>
      <w:tr>
        <w:tc>
          <w:tcPr>
            <w:tcW w:type="dxa" w:w="1440"/>
          </w:tcPr>
          <w:p>
            <w:pPr>
              <w:jc w:val="center"/>
            </w:pPr>
            <w:r>
              <w:t>TDS Sensing</w:t>
            </w:r>
          </w:p>
        </w:tc>
        <w:tc>
          <w:tcPr>
            <w:tcW w:type="dxa" w:w="1440"/>
          </w:tcPr>
          <w:p>
            <w:pPr>
              <w:jc w:val="center"/>
            </w:pPr>
            <w:r>
              <w:t>Yes</w:t>
            </w:r>
          </w:p>
        </w:tc>
        <w:tc>
          <w:tcPr>
            <w:tcW w:type="dxa" w:w="1440"/>
          </w:tcPr>
          <w:p>
            <w:pPr>
              <w:jc w:val="center"/>
            </w:pPr>
            <w:r>
              <w:t>No</w:t>
            </w:r>
          </w:p>
        </w:tc>
        <w:tc>
          <w:tcPr>
            <w:tcW w:type="dxa" w:w="1440"/>
          </w:tcPr>
          <w:p>
            <w:pPr>
              <w:jc w:val="center"/>
            </w:pPr>
            <w:r>
              <w:t>No</w:t>
            </w:r>
          </w:p>
        </w:tc>
        <w:tc>
          <w:tcPr>
            <w:tcW w:type="dxa" w:w="1440"/>
          </w:tcPr>
          <w:p>
            <w:pPr>
              <w:jc w:val="center"/>
            </w:pPr>
            <w:r>
              <w:t>No</w:t>
            </w:r>
          </w:p>
        </w:tc>
        <w:tc>
          <w:tcPr>
            <w:tcW w:type="dxa" w:w="1440"/>
          </w:tcPr>
          <w:p>
            <w:pPr>
              <w:jc w:val="center"/>
            </w:pPr>
            <w:r>
              <w:t>No</w:t>
            </w:r>
          </w:p>
        </w:tc>
      </w:tr>
      <w:tr>
        <w:tc>
          <w:tcPr>
            <w:tcW w:type="dxa" w:w="1440"/>
          </w:tcPr>
          <w:p>
            <w:pPr>
              <w:jc w:val="center"/>
            </w:pPr>
            <w:r>
              <w:t>pH Sensing</w:t>
            </w:r>
          </w:p>
        </w:tc>
        <w:tc>
          <w:tcPr>
            <w:tcW w:type="dxa" w:w="1440"/>
          </w:tcPr>
          <w:p>
            <w:pPr>
              <w:jc w:val="center"/>
            </w:pPr>
            <w:r>
              <w:t>Yes</w:t>
            </w:r>
          </w:p>
        </w:tc>
        <w:tc>
          <w:tcPr>
            <w:tcW w:type="dxa" w:w="1440"/>
          </w:tcPr>
          <w:p>
            <w:pPr>
              <w:jc w:val="center"/>
            </w:pPr>
            <w:r>
              <w:t>No</w:t>
            </w:r>
          </w:p>
        </w:tc>
        <w:tc>
          <w:tcPr>
            <w:tcW w:type="dxa" w:w="1440"/>
          </w:tcPr>
          <w:p>
            <w:pPr>
              <w:jc w:val="center"/>
            </w:pPr>
            <w:r>
              <w:t>No</w:t>
            </w:r>
          </w:p>
        </w:tc>
        <w:tc>
          <w:tcPr>
            <w:tcW w:type="dxa" w:w="1440"/>
          </w:tcPr>
          <w:p>
            <w:pPr>
              <w:jc w:val="center"/>
            </w:pPr>
            <w:r>
              <w:t>No</w:t>
            </w:r>
          </w:p>
        </w:tc>
        <w:tc>
          <w:tcPr>
            <w:tcW w:type="dxa" w:w="1440"/>
          </w:tcPr>
          <w:p>
            <w:pPr>
              <w:jc w:val="center"/>
            </w:pPr>
            <w:r>
              <w:t>No</w:t>
            </w:r>
          </w:p>
        </w:tc>
      </w:tr>
      <w:tr>
        <w:tc>
          <w:tcPr>
            <w:tcW w:type="dxa" w:w="1440"/>
          </w:tcPr>
          <w:p>
            <w:pPr>
              <w:jc w:val="center"/>
            </w:pPr>
            <w:r>
              <w:t>Pressure Monitoring</w:t>
            </w:r>
          </w:p>
        </w:tc>
        <w:tc>
          <w:tcPr>
            <w:tcW w:type="dxa" w:w="1440"/>
          </w:tcPr>
          <w:p>
            <w:pPr>
              <w:jc w:val="center"/>
            </w:pPr>
            <w:r>
              <w:t>Yes</w:t>
            </w:r>
          </w:p>
        </w:tc>
        <w:tc>
          <w:tcPr>
            <w:tcW w:type="dxa" w:w="1440"/>
          </w:tcPr>
          <w:p>
            <w:pPr>
              <w:jc w:val="center"/>
            </w:pPr>
            <w:r>
              <w:t>No</w:t>
            </w:r>
          </w:p>
        </w:tc>
        <w:tc>
          <w:tcPr>
            <w:tcW w:type="dxa" w:w="1440"/>
          </w:tcPr>
          <w:p>
            <w:pPr>
              <w:jc w:val="center"/>
            </w:pPr>
            <w:r>
              <w:t>No</w:t>
            </w:r>
          </w:p>
        </w:tc>
        <w:tc>
          <w:tcPr>
            <w:tcW w:type="dxa" w:w="1440"/>
          </w:tcPr>
          <w:p>
            <w:pPr>
              <w:jc w:val="center"/>
            </w:pPr>
            <w:r>
              <w:t>No</w:t>
            </w:r>
          </w:p>
        </w:tc>
        <w:tc>
          <w:tcPr>
            <w:tcW w:type="dxa" w:w="1440"/>
          </w:tcPr>
          <w:p>
            <w:pPr>
              <w:jc w:val="center"/>
            </w:pPr>
            <w:r>
              <w:t>No</w:t>
            </w:r>
          </w:p>
        </w:tc>
      </w:tr>
      <w:tr>
        <w:tc>
          <w:tcPr>
            <w:tcW w:type="dxa" w:w="1440"/>
          </w:tcPr>
          <w:p>
            <w:pPr>
              <w:jc w:val="center"/>
            </w:pPr>
            <w:r>
              <w:t>Fertigation Control</w:t>
            </w:r>
          </w:p>
        </w:tc>
        <w:tc>
          <w:tcPr>
            <w:tcW w:type="dxa" w:w="1440"/>
          </w:tcPr>
          <w:p>
            <w:pPr>
              <w:jc w:val="center"/>
            </w:pPr>
            <w:r>
              <w:t>Yes (servo mixer)</w:t>
            </w:r>
          </w:p>
        </w:tc>
        <w:tc>
          <w:tcPr>
            <w:tcW w:type="dxa" w:w="1440"/>
          </w:tcPr>
          <w:p>
            <w:pPr>
              <w:jc w:val="center"/>
            </w:pPr>
            <w:r>
              <w:t>No</w:t>
            </w:r>
          </w:p>
        </w:tc>
        <w:tc>
          <w:tcPr>
            <w:tcW w:type="dxa" w:w="1440"/>
          </w:tcPr>
          <w:p>
            <w:pPr>
              <w:jc w:val="center"/>
            </w:pPr>
            <w:r>
              <w:t>No</w:t>
            </w:r>
          </w:p>
        </w:tc>
        <w:tc>
          <w:tcPr>
            <w:tcW w:type="dxa" w:w="1440"/>
          </w:tcPr>
          <w:p>
            <w:pPr>
              <w:jc w:val="center"/>
            </w:pPr>
            <w:r>
              <w:t>No</w:t>
            </w:r>
          </w:p>
        </w:tc>
        <w:tc>
          <w:tcPr>
            <w:tcW w:type="dxa" w:w="1440"/>
          </w:tcPr>
          <w:p>
            <w:pPr>
              <w:jc w:val="center"/>
            </w:pPr>
            <w:r>
              <w:t>No</w:t>
            </w:r>
          </w:p>
        </w:tc>
      </w:tr>
      <w:tr>
        <w:tc>
          <w:tcPr>
            <w:tcW w:type="dxa" w:w="1440"/>
          </w:tcPr>
          <w:p>
            <w:pPr>
              <w:jc w:val="center"/>
            </w:pPr>
            <w:r>
              <w:t>Remote Control</w:t>
            </w:r>
          </w:p>
        </w:tc>
        <w:tc>
          <w:tcPr>
            <w:tcW w:type="dxa" w:w="1440"/>
          </w:tcPr>
          <w:p>
            <w:pPr>
              <w:jc w:val="center"/>
            </w:pPr>
            <w:r>
              <w:t>MQTT / App</w:t>
            </w:r>
          </w:p>
        </w:tc>
        <w:tc>
          <w:tcPr>
            <w:tcW w:type="dxa" w:w="1440"/>
          </w:tcPr>
          <w:p>
            <w:pPr>
              <w:jc w:val="center"/>
            </w:pPr>
            <w:r>
              <w:t>Cloud (paid)</w:t>
            </w:r>
          </w:p>
        </w:tc>
        <w:tc>
          <w:tcPr>
            <w:tcW w:type="dxa" w:w="1440"/>
          </w:tcPr>
          <w:p>
            <w:pPr>
              <w:jc w:val="center"/>
            </w:pPr>
            <w:r>
              <w:t>WiFi App</w:t>
            </w:r>
          </w:p>
        </w:tc>
        <w:tc>
          <w:tcPr>
            <w:tcW w:type="dxa" w:w="1440"/>
          </w:tcPr>
          <w:p>
            <w:pPr>
              <w:jc w:val="center"/>
            </w:pPr>
            <w:r>
              <w:t>Bluetooth</w:t>
            </w:r>
          </w:p>
        </w:tc>
        <w:tc>
          <w:tcPr>
            <w:tcW w:type="dxa" w:w="1440"/>
          </w:tcPr>
          <w:p>
            <w:pPr>
              <w:jc w:val="center"/>
            </w:pPr>
            <w:r>
              <w:t>WiFi API</w:t>
            </w:r>
          </w:p>
        </w:tc>
      </w:tr>
      <w:tr>
        <w:tc>
          <w:tcPr>
            <w:tcW w:type="dxa" w:w="1440"/>
          </w:tcPr>
          <w:p>
            <w:pPr>
              <w:jc w:val="center"/>
            </w:pPr>
            <w:r>
              <w:t>Open Protocol</w:t>
            </w:r>
          </w:p>
        </w:tc>
        <w:tc>
          <w:tcPr>
            <w:tcW w:type="dxa" w:w="1440"/>
          </w:tcPr>
          <w:p>
            <w:pPr>
              <w:jc w:val="center"/>
            </w:pPr>
            <w:r>
              <w:t>Yes (UART/MQTT)</w:t>
            </w:r>
          </w:p>
        </w:tc>
        <w:tc>
          <w:tcPr>
            <w:tcW w:type="dxa" w:w="1440"/>
          </w:tcPr>
          <w:p>
            <w:pPr>
              <w:jc w:val="center"/>
            </w:pPr>
            <w:r>
              <w:t>No</w:t>
            </w:r>
          </w:p>
        </w:tc>
        <w:tc>
          <w:tcPr>
            <w:tcW w:type="dxa" w:w="1440"/>
          </w:tcPr>
          <w:p>
            <w:pPr>
              <w:jc w:val="center"/>
            </w:pPr>
            <w:r>
              <w:t>Partial</w:t>
            </w:r>
          </w:p>
        </w:tc>
        <w:tc>
          <w:tcPr>
            <w:tcW w:type="dxa" w:w="1440"/>
          </w:tcPr>
          <w:p>
            <w:pPr>
              <w:jc w:val="center"/>
            </w:pPr>
            <w:r>
              <w:t>No</w:t>
            </w:r>
          </w:p>
        </w:tc>
        <w:tc>
          <w:tcPr>
            <w:tcW w:type="dxa" w:w="1440"/>
          </w:tcPr>
          <w:p>
            <w:pPr>
              <w:jc w:val="center"/>
            </w:pPr>
            <w:r>
              <w:t>Yes</w:t>
            </w:r>
          </w:p>
        </w:tc>
      </w:tr>
      <w:tr>
        <w:tc>
          <w:tcPr>
            <w:tcW w:type="dxa" w:w="1440"/>
          </w:tcPr>
          <w:p>
            <w:pPr>
              <w:jc w:val="center"/>
            </w:pPr>
            <w:r>
              <w:t>Approx. Cost (USD)</w:t>
            </w:r>
          </w:p>
        </w:tc>
        <w:tc>
          <w:tcPr>
            <w:tcW w:type="dxa" w:w="1440"/>
          </w:tcPr>
          <w:p>
            <w:pPr>
              <w:jc w:val="center"/>
            </w:pPr>
            <w:r>
              <w:t>~$45</w:t>
            </w:r>
          </w:p>
        </w:tc>
        <w:tc>
          <w:tcPr>
            <w:tcW w:type="dxa" w:w="1440"/>
          </w:tcPr>
          <w:p>
            <w:pPr>
              <w:jc w:val="center"/>
            </w:pPr>
            <w:r>
              <w:t>$3,000+</w:t>
            </w:r>
          </w:p>
        </w:tc>
        <w:tc>
          <w:tcPr>
            <w:tcW w:type="dxa" w:w="1440"/>
          </w:tcPr>
          <w:p>
            <w:pPr>
              <w:jc w:val="center"/>
            </w:pPr>
            <w:r>
              <w:t>$170–230</w:t>
            </w:r>
          </w:p>
        </w:tc>
        <w:tc>
          <w:tcPr>
            <w:tcW w:type="dxa" w:w="1440"/>
          </w:tcPr>
          <w:p>
            <w:pPr>
              <w:jc w:val="center"/>
            </w:pPr>
            <w:r>
              <w:t>$80–150</w:t>
            </w:r>
          </w:p>
        </w:tc>
        <w:tc>
          <w:tcPr>
            <w:tcW w:type="dxa" w:w="1440"/>
          </w:tcPr>
          <w:p>
            <w:pPr>
              <w:jc w:val="center"/>
            </w:pPr>
            <w:r>
              <w:t>$60–80</w:t>
            </w:r>
          </w:p>
        </w:tc>
      </w:tr>
      <w:tr>
        <w:tc>
          <w:tcPr>
            <w:tcW w:type="dxa" w:w="1440"/>
          </w:tcPr>
          <w:p>
            <w:pPr>
              <w:jc w:val="center"/>
            </w:pPr>
            <w:r>
              <w:t>Agricultural Focus</w:t>
            </w:r>
          </w:p>
        </w:tc>
        <w:tc>
          <w:tcPr>
            <w:tcW w:type="dxa" w:w="1440"/>
          </w:tcPr>
          <w:p>
            <w:pPr>
              <w:jc w:val="center"/>
            </w:pPr>
            <w:r>
              <w:t>Yes</w:t>
            </w:r>
          </w:p>
        </w:tc>
        <w:tc>
          <w:tcPr>
            <w:tcW w:type="dxa" w:w="1440"/>
          </w:tcPr>
          <w:p>
            <w:pPr>
              <w:jc w:val="center"/>
            </w:pPr>
            <w:r>
              <w:t>Commercial</w:t>
            </w:r>
          </w:p>
        </w:tc>
        <w:tc>
          <w:tcPr>
            <w:tcW w:type="dxa" w:w="1440"/>
          </w:tcPr>
          <w:p>
            <w:pPr>
              <w:jc w:val="center"/>
            </w:pPr>
            <w:r>
              <w:t>Residential</w:t>
            </w:r>
          </w:p>
        </w:tc>
        <w:tc>
          <w:tcPr>
            <w:tcW w:type="dxa" w:w="1440"/>
          </w:tcPr>
          <w:p>
            <w:pPr>
              <w:jc w:val="center"/>
            </w:pPr>
            <w:r>
              <w:t>Light Agri</w:t>
            </w:r>
          </w:p>
        </w:tc>
        <w:tc>
          <w:tcPr>
            <w:tcW w:type="dxa" w:w="1440"/>
          </w:tcPr>
          <w:p>
            <w:pPr>
              <w:jc w:val="center"/>
            </w:pPr>
            <w:r>
              <w:t>Residential</w:t>
            </w:r>
          </w:p>
        </w:tc>
      </w:tr>
    </w:tbl>
    <w:p/>
    <w:p>
      <w:pPr>
        <w:spacing w:after="120"/>
        <w:ind w:firstLine="425"/>
        <w:jc w:val="both"/>
      </w:pPr>
      <w:r>
        <w:t>The comparison makes clear that Smart Flow 2.0 occupies a unique position in the market. No currently available product at a comparable price point combines real-time water quality monitoring, automated fertigation, multi-zone relay control, and an open remote-access protocol. The closest competitor in terms of open architecture (OpenSprinkler) has no sensor integration. The closest in terms of agricultural functionality (Netafim, Rain Bird) is priced orders of magnitude higher.</w:t>
      </w:r>
    </w:p>
    <w:p>
      <w:pPr>
        <w:spacing w:before="280" w:after="80"/>
        <w:jc w:val="left"/>
      </w:pPr>
      <w:r>
        <w:rPr>
          <w:b/>
          <w:color w:val="1F497D"/>
          <w:sz w:val="26"/>
        </w:rPr>
        <w:t>3.4  Identified Market Gap</w:t>
      </w:r>
    </w:p>
    <w:p>
      <w:pPr>
        <w:spacing w:after="120"/>
        <w:ind w:firstLine="425"/>
        <w:jc w:val="both"/>
      </w:pPr>
      <w:r>
        <w:t>Based on this competitive analysis, the unaddressed market segment is clearly defined: small to medium agricultural operations (1 to 10 hectares) that require multi-zone irrigation with basic water quality feedback and remote management capability, at a total system cost below 200 USD. This segment includes the majority of Georgian farming operations, small Central Asian and Eastern European cooperative farms, greenhouse operators, and urban farming installations. No existing commercial product serves this segment effectively. Smart Flow 2.0 is designed specifically to address it.</w:t>
      </w:r>
    </w:p>
    <w:p>
      <w:r>
        <w:br w:type="page"/>
      </w:r>
    </w:p>
    <w:p>
      <w:pPr>
        <w:spacing w:before="280" w:after="80"/>
        <w:jc w:val="left"/>
      </w:pPr>
      <w:r>
        <w:rPr>
          <w:b/>
          <w:color w:val="1F497D"/>
          <w:sz w:val="32"/>
        </w:rPr>
        <w:t>4. Technical Background</w:t>
      </w:r>
    </w:p>
    <w:p>
      <w:pPr>
        <w:spacing w:before="280" w:after="80"/>
        <w:jc w:val="left"/>
      </w:pPr>
      <w:r>
        <w:rPr>
          <w:b/>
          <w:color w:val="1F497D"/>
          <w:sz w:val="26"/>
        </w:rPr>
        <w:t>4.1  Irrigation Fundamentals</w:t>
      </w:r>
    </w:p>
    <w:p>
      <w:pPr>
        <w:spacing w:after="120"/>
        <w:ind w:firstLine="425"/>
        <w:jc w:val="both"/>
      </w:pPr>
      <w:r>
        <w:t>Modern precision irrigation is built on a fundamental principle: apply the right amount of water to the right place at the right time, and no more. This principle, simple to state but complex to implement, requires understanding of both plant physiology and hydraulic engineering.</w:t>
      </w:r>
    </w:p>
    <w:p>
      <w:pPr>
        <w:spacing w:after="120"/>
        <w:ind w:firstLine="425"/>
        <w:jc w:val="both"/>
      </w:pPr>
      <w:r>
        <w:t>Drip irrigation — the delivery mechanism used in this project — delivers water directly to the root zone of each plant through a network of emitters operating at low pressure (0.5 to 2.0 bar). Compared to sprinkler irrigation, drip systems reduce evaporation losses by 30 to 50 percent and enable fertigation — the delivery of dissolved nutrients through the water supply — with precise concentration control. The physics of drip emitter design involves pressure compensation: quality emitters maintain constant flow rate across a range of input pressures, which is critical for uniform water distribution across uneven terrain.</w:t>
      </w:r>
    </w:p>
    <w:p>
      <w:pPr>
        <w:spacing w:after="120"/>
        <w:ind w:firstLine="425"/>
        <w:jc w:val="both"/>
      </w:pPr>
      <w:r>
        <w:t>Fertigation, the simultaneous delivery of irrigation water and plant nutrients, is the most technically demanding aspect of precision irrigation. Professional fertigation systems use EC (electrical conductivity) as a proxy for total dissolved nutrient concentration. Since EC is essentially TDS measured in milliSiemens per centimeter (mS/cm) rather than parts per million (ppm), a TDS sensor in the delivery line provides a real-time feedback signal for fertilizer concentration control. The typical target EC for vegetable crops is 2.0 to 3.5 mS/cm during vegetative growth and 3.5 to 5.0 mS/cm during fruit development.</w:t>
      </w:r>
    </w:p>
    <w:p>
      <w:pPr>
        <w:spacing w:before="280" w:after="80"/>
        <w:jc w:val="left"/>
      </w:pPr>
      <w:r>
        <w:rPr>
          <w:b/>
          <w:color w:val="1F497D"/>
          <w:sz w:val="26"/>
        </w:rPr>
        <w:t>4.2  Water Quality Parameters</w:t>
      </w:r>
    </w:p>
    <w:p>
      <w:pPr>
        <w:spacing w:before="280" w:after="80"/>
        <w:jc w:val="left"/>
      </w:pPr>
      <w:r>
        <w:rPr>
          <w:b/>
          <w:color w:val="000000"/>
          <w:sz w:val="22"/>
        </w:rPr>
        <w:t>Total Dissolved Solids (TDS) and Electrical Conductivity (EC)</w:t>
      </w:r>
    </w:p>
    <w:p>
      <w:pPr>
        <w:spacing w:after="120"/>
        <w:ind w:firstLine="425"/>
        <w:jc w:val="both"/>
      </w:pPr>
      <w:r>
        <w:t>TDS is defined as the total mass of dissolved inorganic salts, minerals, metals, and organic compounds in a given volume of water, expressed in milligrams per liter (mg/L) or equivalently in parts per million (ppm). In irrigation science, TDS is used as a practical indicator of fertilizer concentration in the delivery water. The relationship between TDS measured in ppm and EC measured in mS/cm is approximately linear: EC (mS/cm) ≈ TDS (ppm) / 640, though the precise conversion factor varies with the specific ionic composition of the solution.</w:t>
      </w:r>
    </w:p>
    <w:p>
      <w:pPr>
        <w:spacing w:after="120"/>
        <w:ind w:firstLine="425"/>
        <w:jc w:val="both"/>
      </w:pPr>
      <w:r>
        <w:t>Conductivity-based TDS sensors — the type used in this project — measure TDS indirectly by applying an alternating current between two electrodes immersed in the solution and measuring the resulting conductance. The alternating current prevents electrolytic polarization of the electrodes, which would cause measurement drift over time. Temperature compensation is applied to the raw conductance reading because ionic mobility increases with temperature at approximately 2 percent per degree Celsius — a significant correction at the scale of agricultural applications where solution temperature can range from 10°C to 35°C across seasons.</w:t>
      </w:r>
    </w:p>
    <w:p>
      <w:pPr>
        <w:spacing w:before="280" w:after="80"/>
        <w:jc w:val="left"/>
      </w:pPr>
      <w:r>
        <w:rPr>
          <w:b/>
          <w:color w:val="000000"/>
          <w:sz w:val="22"/>
        </w:rPr>
        <w:t>pH</w:t>
      </w:r>
    </w:p>
    <w:p>
      <w:pPr>
        <w:spacing w:after="120"/>
        <w:ind w:firstLine="425"/>
        <w:jc w:val="both"/>
      </w:pPr>
      <w:r>
        <w:t>pH measures the hydrogen ion concentration in a solution on a logarithmic scale from 0 (strongly acidic) to 14 (strongly alkaline), with 7 representing neutral. For agricultural irrigation, the optimal pH range for most vegetable crops is 5.8 to 6.5. Outside this range, nutrient availability is reduced even when the correct quantities of fertilizer are present — a condition called nutrient lockout. Iron, manganese, and zinc become unavailable above pH 7.0. Phosphorus availability peaks at pH 6.5 and drops sharply on either side. Calcium and magnesium availability decreases below pH 5.5.</w:t>
      </w:r>
    </w:p>
    <w:p>
      <w:pPr>
        <w:spacing w:after="120"/>
        <w:ind w:firstLine="425"/>
        <w:jc w:val="both"/>
      </w:pPr>
      <w:r>
        <w:t>pH electrodes operate on the Nernst equation: the potential difference generated across a glass membrane between the sample solution and an internal reference solution is proportional to the pH difference. The output voltage of a typical analog pH electrode is approximately 59.16 mV per pH unit at 25°C, with a midpoint (pH 7) corresponding to approximately 2.5V on a 5V reference. The analog signal is read by the STM32 ADC and converted to pH using a linear calibration: pH = -5.70 × (ADC_voltage / reference) + calibration_offset, where the calibration offset is determined empirically using buffer solutions of known pH.</w:t>
      </w:r>
    </w:p>
    <w:p>
      <w:pPr>
        <w:spacing w:before="280" w:after="80"/>
        <w:jc w:val="left"/>
      </w:pPr>
      <w:r>
        <w:rPr>
          <w:b/>
          <w:color w:val="000000"/>
          <w:sz w:val="22"/>
        </w:rPr>
        <w:t>Pressure</w:t>
      </w:r>
    </w:p>
    <w:p>
      <w:pPr>
        <w:spacing w:after="120"/>
        <w:ind w:firstLine="425"/>
        <w:jc w:val="both"/>
      </w:pPr>
      <w:r>
        <w:t>Line pressure monitoring serves two purposes in an irrigation system: detecting pump failures (pressure below threshold indicates pump not running or pipe break) and preventing over-pressure damage to drip emitters and solenoid valves. The pressure sensor used in this project is a resistive pressure transducer with a 0 to 10 bar measurement range and an analog voltage output of 0.5 to 4.5V. The conversion from ADC reading to pressure in bar is linear: P = (V_out / V_supply - 0.1) × (P_max / 0.8), where V_supply is the reference voltage and P_max is the sensor's full-scale range.</w:t>
      </w:r>
    </w:p>
    <w:p>
      <w:pPr>
        <w:spacing w:before="280" w:after="80"/>
        <w:jc w:val="left"/>
      </w:pPr>
      <w:r>
        <w:rPr>
          <w:b/>
          <w:color w:val="1F497D"/>
          <w:sz w:val="26"/>
        </w:rPr>
        <w:t>4.3  Microcontroller Selection</w:t>
      </w:r>
    </w:p>
    <w:p>
      <w:pPr>
        <w:spacing w:after="120"/>
        <w:ind w:firstLine="425"/>
        <w:jc w:val="both"/>
      </w:pPr>
      <w:r>
        <w:t>The STM32F103C8T6 — commonly sold as the 'Blue Pill' development board — was selected as the primary computational element for both the Sensor Module and the Relay Module. The selection rationale is as follows.</w:t>
      </w:r>
    </w:p>
    <w:p>
      <w:pPr>
        <w:spacing w:after="120"/>
        <w:ind w:firstLine="425"/>
        <w:jc w:val="both"/>
      </w:pPr>
      <w:r>
        <w:t>The STM32F103 is a 32-bit ARM Cortex-M3 processor running at up to 72 MHz, with 64 KB of flash memory and 20 KB of SRAM. It provides three USARTs, two SPI interfaces, two I2C interfaces, and a 12-bit ADC with 10 external channels. For the purposes of this project, the critical peripherals are the two UART ports on the Sensor Module (one for relay communication, one for ESP32 communication) and the ADC for sensor reading. The 12-bit ADC provides 4096 discrete levels over the reference voltage range, giving a resolution of approximately 0.8 mV per bit at 3.3V — sufficient for the precision required by the TDS and pH measurements.</w:t>
      </w:r>
    </w:p>
    <w:p>
      <w:pPr>
        <w:spacing w:after="120"/>
        <w:ind w:firstLine="425"/>
        <w:jc w:val="both"/>
      </w:pPr>
      <w:r>
        <w:t>The choice of STM32 over Arduino (ATmega328P) was deliberate. The ATmega328P is an 8-bit processor running at 16 MHz with a 10-bit ADC. While adequate for simple applications, the 8-bit data width creates numerical precision challenges when implementing the cubic polynomial TDS calculation formula, and the single UART makes simultaneous sensor-to-relay and sensor-to-ESP32 communication impractical without software serial workarounds. The STM32 provides hardware UART for both channels simultaneously, a 12-bit ADC for better measurement resolution, and significantly more processing headroom for future enhancements.</w:t>
      </w:r>
    </w:p>
    <w:p>
      <w:pPr>
        <w:spacing w:after="120"/>
        <w:ind w:firstLine="425"/>
        <w:jc w:val="both"/>
      </w:pPr>
      <w:r>
        <w:t>The ESP32-WROOM-32 was selected as the wireless gateway module rather than integrating WiFi directly into the STM32 firmware. The ESP32 is a dual-core Xtensa LX6 processor with integrated 2.4 GHz WiFi (802.11 b/g/n) and Bluetooth 4.2. Running WiFi and MQTT protocol stacks simultaneously on an STM32 without an external module would require an external WiFi chip (such as the ESP8266 or WINC1500), adding complexity and a second programming environment. By using the ESP32 as a dedicated wireless bridge with its own firmware, the STM32 firmware remains focused exclusively on real-time control logic, and the ESP32 firmware focuses exclusively on connectivity — a clean separation of concerns.</w:t>
      </w:r>
    </w:p>
    <w:p>
      <w:pPr>
        <w:spacing w:before="280" w:after="80"/>
        <w:jc w:val="left"/>
      </w:pPr>
      <w:r>
        <w:rPr>
          <w:b/>
          <w:color w:val="1F497D"/>
          <w:sz w:val="26"/>
        </w:rPr>
        <w:t>4.4  Communication Protocols</w:t>
      </w:r>
    </w:p>
    <w:p>
      <w:pPr>
        <w:spacing w:before="280" w:after="80"/>
        <w:jc w:val="left"/>
      </w:pPr>
      <w:r>
        <w:rPr>
          <w:b/>
          <w:color w:val="000000"/>
          <w:sz w:val="22"/>
        </w:rPr>
        <w:t>UART (Universal Asynchronous Receiver/Transmitter)</w:t>
      </w:r>
    </w:p>
    <w:p>
      <w:pPr>
        <w:spacing w:after="120"/>
        <w:ind w:firstLine="425"/>
        <w:jc w:val="both"/>
      </w:pPr>
      <w:r>
        <w:t>UART is the oldest and most widely used serial communication protocol in embedded systems. It transmits data asynchronously: both sender and receiver must agree on the baud rate (bits per second) in advance, and each byte is framed with a start bit, 8 data bits, and one or two stop bits. In this project, all UART interfaces operate at 9600 baud, which provides a byte transmission time of approximately 1.04 ms — fast enough for the system's command throughput requirements while remaining reliable over the unshielded wiring runs expected in a field installation.</w:t>
      </w:r>
    </w:p>
    <w:p>
      <w:pPr>
        <w:spacing w:after="120"/>
        <w:ind w:firstLine="425"/>
        <w:jc w:val="both"/>
      </w:pPr>
      <w:r>
        <w:t>The interrupt-driven receive model implemented in the STM32 firmware (HAL_UART_Receive_IT) is critical for non-blocking operation. In this model, the STM32 hardware UART peripheral receives each incoming byte autonomously and triggers an interrupt when a byte has been buffered. The interrupt handler then processes the byte into an application-level receive buffer. This approach allows the main loop to continue sensor sampling and sequence management without being blocked waiting for serial input — a fundamental requirement for a real-time control system.</w:t>
      </w:r>
    </w:p>
    <w:p>
      <w:pPr>
        <w:spacing w:before="280" w:after="80"/>
        <w:jc w:val="left"/>
      </w:pPr>
      <w:r>
        <w:rPr>
          <w:b/>
          <w:color w:val="000000"/>
          <w:sz w:val="22"/>
        </w:rPr>
        <w:t>MQTT (Message Queuing Telemetry Transport)</w:t>
      </w:r>
    </w:p>
    <w:p>
      <w:pPr>
        <w:spacing w:after="120"/>
        <w:ind w:firstLine="425"/>
        <w:jc w:val="both"/>
      </w:pPr>
      <w:r>
        <w:t>MQTT is a lightweight publish-subscribe messaging protocol designed specifically for constrained devices and unreliable network conditions, making it the de facto standard for IoT applications. Originally developed by IBM in 1999 for monitoring oil pipelines via satellite links, MQTT was standardized by OASIS in 2014 (MQTT 3.1.1) and updated in 2019 (MQTT 5.0).</w:t>
      </w:r>
    </w:p>
    <w:p>
      <w:pPr>
        <w:spacing w:after="120"/>
        <w:ind w:firstLine="425"/>
        <w:jc w:val="both"/>
      </w:pPr>
      <w:r>
        <w:t>The protocol operates on a broker-based architecture: devices do not communicate directly with each other but instead publish messages to named topics on a central broker. Other devices subscribe to those topics and receive messages when they are published. This decoupling is architecturally significant — the mobile app and the irrigation controller never need a direct connection; they simply publish and subscribe to the same broker, which can be hosted in the cloud at negligible cost.</w:t>
      </w:r>
    </w:p>
    <w:p>
      <w:pPr>
        <w:spacing w:after="120"/>
        <w:ind w:firstLine="425"/>
        <w:jc w:val="both"/>
      </w:pPr>
      <w:r>
        <w:t>MQTT defines three quality-of-service levels: QoS 0 (at most once, fire and forget), QoS 1 (at least once, with acknowledgment), and QoS 2 (exactly once, with four-way handshake). For irrigation control commands — where duplicate execution of a 'start irrigation' command could cause unintended watering cycles — QoS 1 is the appropriate choice. For sensor telemetry where occasional message loss is acceptable, QoS 0 reduces overhead and improves throughput.</w:t>
      </w:r>
    </w:p>
    <w:p>
      <w:pPr>
        <w:spacing w:after="120"/>
        <w:ind w:firstLine="425"/>
        <w:jc w:val="both"/>
      </w:pPr>
      <w:r>
        <w:t>The designed MQTT topic structure for Smart Flow 2.0 is: smartflow/sensors for outbound sensor data (TDS, pH, pressure published as JSON), smartflow/cmd for inbound control commands (start irrigation, set zone durations, set TDS target), and smartflow/status for system heartbeat and fault reporting. This structure is clean, easy to monitor with standard MQTT tooling, and supports multiple independent installations by adding a device ID prefix if needed.</w:t>
      </w:r>
    </w:p>
    <w:p>
      <w:pPr>
        <w:spacing w:before="280" w:after="80"/>
        <w:jc w:val="left"/>
      </w:pPr>
      <w:r>
        <w:rPr>
          <w:b/>
          <w:color w:val="1F497D"/>
          <w:sz w:val="26"/>
        </w:rPr>
        <w:t>4.5  Relay Control Principles</w:t>
      </w:r>
    </w:p>
    <w:p>
      <w:pPr>
        <w:spacing w:after="120"/>
        <w:ind w:firstLine="425"/>
        <w:jc w:val="both"/>
      </w:pPr>
      <w:r>
        <w:t>A relay is an electrically operated switch. The STM32 GPIO pins output 3.3V logic signals, which cannot directly switch the 12V solenoid valves and AC pumps used in the irrigation system. A relay module interposes a low-voltage control circuit (driven by the STM32) and a high-voltage load circuit (driving the solenoid or pump). The relay coil typically requires 5V and 50 to 80 mA to actuate — within the capability of a GPIO pin when driven through a transistor, or directly managed by an optocoupler-isolated relay driver board as used in this project.</w:t>
      </w:r>
    </w:p>
    <w:p>
      <w:pPr>
        <w:spacing w:after="120"/>
        <w:ind w:firstLine="425"/>
        <w:jc w:val="both"/>
      </w:pPr>
      <w:r>
        <w:t>Solenoid valves are electromechanical devices that convert an electrical input into a mechanical valve opening or closing action. The valve body contains a coil that, when energized, generates a magnetic field that moves a ferromagnetic plunger against a spring, opening or closing the flow orifice. For irrigation applications, normally-closed (NC) solenoid valves are preferred: in the unpowered state, the valve is closed, which means a power failure results in the irrigation stopping rather than running uncontrolled.</w:t>
      </w:r>
    </w:p>
    <w:p>
      <w:pPr>
        <w:spacing w:before="280" w:after="80"/>
        <w:jc w:val="left"/>
      </w:pPr>
      <w:r>
        <w:rPr>
          <w:b/>
          <w:color w:val="1F497D"/>
          <w:sz w:val="26"/>
        </w:rPr>
        <w:t>4.6  Stepper Motor for Fertilizer Dosing</w:t>
      </w:r>
    </w:p>
    <w:p>
      <w:pPr>
        <w:spacing w:after="120"/>
        <w:ind w:firstLine="425"/>
        <w:jc w:val="both"/>
      </w:pPr>
      <w:r>
        <w:t>The fertilizer concentration control mechanism in Smart Flow 2.0 uses a stepper motor to position a mixing valve that blends concentrated fertilizer solution with the irrigation water supply. A stepper motor divides a full rotation into a fixed number of discrete steps — in this project, the motor has a step angle of 1.8 degrees (200 steps per revolution), providing fine-grained positional control without requiring a position feedback sensor.</w:t>
      </w:r>
    </w:p>
    <w:p>
      <w:pPr>
        <w:spacing w:after="120"/>
        <w:ind w:firstLine="425"/>
        <w:jc w:val="both"/>
      </w:pPr>
      <w:r>
        <w:t>The motor is driven in a simplified two-wire mode: one GPIO pin drives the motor in the decrease-concentration direction, one drives it in the increase-concentration direction, with a 100 ms pulse width per step. The firmware maintains a position counter (0 to 90 representing the valve's physical travel range) so that the controller always knows the current valve position and can prevent over-travel in either direction. This position is used by the TDS feedback loop: if measured TDS exceeds the target, the valve is stepped toward dilution; if TDS is below target, the valve steps toward higher concentration.</w:t>
      </w:r>
    </w:p>
    <w:p>
      <w:r>
        <w:br w:type="page"/>
      </w:r>
    </w:p>
    <w:p>
      <w:pPr>
        <w:spacing w:before="280" w:after="80"/>
        <w:jc w:val="left"/>
      </w:pPr>
      <w:r>
        <w:rPr>
          <w:b/>
          <w:color w:val="1F497D"/>
          <w:sz w:val="32"/>
        </w:rPr>
        <w:t>5. System Architecture &amp; Design Decisions</w:t>
      </w:r>
    </w:p>
    <w:p>
      <w:pPr>
        <w:spacing w:before="280" w:after="80"/>
        <w:jc w:val="left"/>
      </w:pPr>
      <w:r>
        <w:rPr>
          <w:b/>
          <w:color w:val="1F497D"/>
          <w:sz w:val="26"/>
        </w:rPr>
        <w:t>5.1  Overall System Block Diagram</w:t>
      </w:r>
    </w:p>
    <w:p>
      <w:pPr>
        <w:spacing w:after="120"/>
        <w:ind w:firstLine="425"/>
        <w:jc w:val="both"/>
      </w:pPr>
      <w:r>
        <w:t>The Smart Flow 2.0 system is organized into four logical layers: the sensing and scheduling layer (Sensor Module), the actuation layer (Relay Module), the connectivity layer (ESP32), and the user interface layer (mobile application and cloud broker). The data and control flow between these layers is as follows:</w:t>
      </w:r>
    </w:p>
    <w:p>
      <w:pPr>
        <w:pStyle w:val="ListBullet"/>
        <w:spacing w:after="60"/>
      </w:pPr>
      <w:r>
        <w:rPr>
          <w:b/>
        </w:rPr>
        <w:t xml:space="preserve">User → Cloud: </w:t>
      </w:r>
      <w:r>
        <w:t>The mobile app publishes control commands (zone selection, irrigation durations, TDS target) to the MQTT broker on the smartflow/cmd topic.</w:t>
      </w:r>
    </w:p>
    <w:p>
      <w:pPr>
        <w:pStyle w:val="ListBullet"/>
        <w:spacing w:after="60"/>
      </w:pPr>
      <w:r>
        <w:rPr>
          <w:b/>
        </w:rPr>
        <w:t xml:space="preserve">Cloud → ESP32 → Sensor Module: </w:t>
      </w:r>
      <w:r>
        <w:t>The ESP32 subscribes to smartflow/cmd, receives the commands, translates them into the STM32 serial protocol, and transmits them over UART to the Sensor Module.</w:t>
      </w:r>
    </w:p>
    <w:p>
      <w:pPr>
        <w:pStyle w:val="ListBullet"/>
        <w:spacing w:after="60"/>
      </w:pPr>
      <w:r>
        <w:rPr>
          <w:b/>
        </w:rPr>
        <w:t xml:space="preserve">Sensor Module → Relay Module: </w:t>
      </w:r>
      <w:r>
        <w:t>The Sensor Module processes the commands, reads the sensors, manages the irrigation sequence timer, and transmits relay control commands over UART to the Relay Module.</w:t>
      </w:r>
    </w:p>
    <w:p>
      <w:pPr>
        <w:pStyle w:val="ListBullet"/>
        <w:spacing w:after="60"/>
      </w:pPr>
      <w:r>
        <w:rPr>
          <w:b/>
        </w:rPr>
        <w:t xml:space="preserve">Relay Module → Physical Actuators: </w:t>
      </w:r>
      <w:r>
        <w:t>The Relay Module receives relay commands and switches the corresponding GPIO outputs, which drive the relay boards connected to solenoid valves, pumps, and the stepper motor.</w:t>
      </w:r>
    </w:p>
    <w:p>
      <w:pPr>
        <w:pStyle w:val="ListBullet"/>
        <w:spacing w:after="60"/>
      </w:pPr>
      <w:r>
        <w:rPr>
          <w:b/>
        </w:rPr>
        <w:t xml:space="preserve">Sensor Module → ESP32 → Cloud: </w:t>
      </w:r>
      <w:r>
        <w:t>The Sensor Module periodically transmits current TDS, pH, and pressure readings back over UART to the ESP32, which publishes them to the MQTT broker on the smartflow/sensors topic.</w:t>
      </w:r>
    </w:p>
    <w:p>
      <w:pPr>
        <w:pStyle w:val="ListBullet"/>
        <w:spacing w:after="60"/>
      </w:pPr>
      <w:r>
        <w:rPr>
          <w:b/>
        </w:rPr>
        <w:t xml:space="preserve">Cloud → User: </w:t>
      </w:r>
      <w:r>
        <w:t>The mobile app subscribes to smartflow/sensors and displays live readings to the user.</w:t>
      </w:r>
    </w:p>
    <w:p>
      <w:pPr>
        <w:spacing w:before="280" w:after="80"/>
        <w:jc w:val="left"/>
      </w:pPr>
      <w:r>
        <w:rPr>
          <w:b/>
          <w:color w:val="1F497D"/>
          <w:sz w:val="26"/>
        </w:rPr>
        <w:t>5.2  Rationale for Dual-STM32 Architecture</w:t>
      </w:r>
    </w:p>
    <w:p>
      <w:pPr>
        <w:spacing w:after="120"/>
        <w:ind w:firstLine="425"/>
        <w:jc w:val="both"/>
      </w:pPr>
      <w:r>
        <w:t>The decision to use two separate STM32 microcontrollers rather than one was driven by practical installation considerations rather than theoretical elegance. In a real field installation, the sensor probes (TDS, pH, pressure) are located at a central manifold point in the irrigation line — close to the water source, the pump, and the fertilizer tank. The relay board that switches individual zone valves must be located where the physical valve wiring converges, which in a field installation may be tens of meters away from the sensor manifold.</w:t>
      </w:r>
    </w:p>
    <w:p>
      <w:pPr>
        <w:spacing w:after="120"/>
        <w:ind w:firstLine="425"/>
        <w:jc w:val="both"/>
      </w:pPr>
      <w:r>
        <w:t>Running 11 relay control wires from a central controller to valves spread across a field is impractical. Running a single UART pair (two wires at 5V logic) from the Sensor Module to a local Relay Module near the valve bank is both simpler and more reliable. The Relay Module becomes a remote actuator node — it receives structured commands and executes them locally, without any application logic of its own. This architecture is extensible: a second Relay Module could be added for a second valve bank by daisy-chaining the UART line or adding a second UART port to the Sensor Module.</w:t>
      </w:r>
    </w:p>
    <w:p>
      <w:pPr>
        <w:spacing w:before="280" w:after="80"/>
        <w:jc w:val="left"/>
      </w:pPr>
      <w:r>
        <w:rPr>
          <w:b/>
          <w:color w:val="1F497D"/>
          <w:sz w:val="26"/>
        </w:rPr>
        <w:t>5.3  Communication Protocol Design</w:t>
      </w:r>
    </w:p>
    <w:p>
      <w:pPr>
        <w:spacing w:after="120"/>
        <w:ind w:firstLine="425"/>
        <w:jc w:val="both"/>
      </w:pPr>
      <w:r>
        <w:t>The inter-module communication protocol between the Sensor Module and the Relay Module uses a three-digit ASCII command string followed by a carriage return and newline (\r\n). The command format is: [1][2][3]\r\n, where the first digit indicates the action (0 = off, 1 = on) and digits 2 and 3 identify the relay channel (01 to 11). Additional commands M0 and M1 control the stepper motor direction. This protocol is intentionally human-readable: commands can be monitored and debugged with a standard serial terminal without any decoding tool.</w:t>
      </w:r>
    </w:p>
    <w:p>
      <w:pPr>
        <w:spacing w:after="120"/>
        <w:ind w:firstLine="425"/>
        <w:jc w:val="both"/>
      </w:pPr>
      <w:r>
        <w:t>The ESP32 to Sensor Module protocol uses a richer command set: numeric codes for requests (999 = request sensor data, 801 = start irrigation sequence), alphanumeric codes for configuration (S1xxxx through S4xxxx for zone irrigation durations, Exxxx for TDS target, Rxx for zone relay selection). The ESP32 effectively translates between the structured MQTT JSON commands from the cloud and the compact ASCII serial commands that the STM32 can efficiently parse.</w:t>
      </w:r>
    </w:p>
    <w:p>
      <w:pPr>
        <w:spacing w:before="280" w:after="80"/>
        <w:jc w:val="left"/>
      </w:pPr>
      <w:r>
        <w:rPr>
          <w:b/>
          <w:color w:val="1F497D"/>
          <w:sz w:val="26"/>
        </w:rPr>
        <w:t>5.4  Irrigation Sequence State Machine</w:t>
      </w:r>
    </w:p>
    <w:p>
      <w:pPr>
        <w:spacing w:after="120"/>
        <w:ind w:firstLine="425"/>
        <w:jc w:val="both"/>
      </w:pPr>
      <w:r>
        <w:t>The irrigation process is managed as a 13-state finite state machine driven by the 1-second hardware timer interrupt. The state machine is designed to sequence through up to four irrigation zones, each with its own configurable duration, while managing the main pump, the fertilizer pump, and the TDS feedback loop independently. The state transitions are:</w:t>
      </w:r>
    </w:p>
    <w:p>
      <w:pPr>
        <w:spacing w:after="120"/>
        <w:ind w:firstLine="425"/>
        <w:jc w:val="both"/>
      </w:pPr>
      <w:r>
        <w:t>State 0 (Idle): No irrigation in progress. The system monitors sensors and responds to commands. State 1 (Pump Start): Main pump is turned on. The first selected zone valve is opened. A 5-second stabilization delay is initiated to allow line pressure to build before opening the fertilizer circuit. State 2 (First Zone Active): After the 5-second stabilization, the fertilizer pump is activated. The irrigation duration counter begins counting down from interval1 (the first zone's configured duration). State 3 (First Zone TDS Control): While the first zone is irrigating, the TDS feedback loop is active — if TDS exceeds 1.3 mS/cm, the mixer valve is stepped toward dilution; if TDS falls below 1.0 mS/cm, the valve is stepped toward concentration. When the interval elapses, the fertilizer pump is switched off. States 4–12 repeat this pattern for zones 2 through 4. State 13 (Completion): The last zone valve is closed and the main pump is switched off. The system returns to State 0.</w:t>
      </w:r>
    </w:p>
    <w:p>
      <w:pPr>
        <w:spacing w:before="280" w:after="80"/>
        <w:jc w:val="left"/>
      </w:pPr>
      <w:r>
        <w:rPr>
          <w:b/>
          <w:color w:val="1F497D"/>
          <w:sz w:val="26"/>
        </w:rPr>
        <w:t>5.5  Power System Design</w:t>
      </w:r>
    </w:p>
    <w:p>
      <w:pPr>
        <w:spacing w:after="120"/>
        <w:ind w:firstLine="425"/>
        <w:jc w:val="both"/>
      </w:pPr>
      <w:r>
        <w:t>The power architecture supports both grid-connected and off-grid operation. In grid-connected mode, a 12V DC power adapter provides the main supply. An LM2596 buck converter steps this down to 5V for the STM32 Blue Pill boards and relay driver modules, and a second LM2596 or LDO regulator provides 3.3V for sensor reference voltage. In off-grid mode, a 20W solar panel charges a lithium-ion battery pack through a charge controller, providing the same 12V bus from stored energy.</w:t>
      </w:r>
    </w:p>
    <w:p>
      <w:pPr>
        <w:spacing w:after="120"/>
        <w:ind w:firstLine="425"/>
        <w:jc w:val="both"/>
      </w:pPr>
      <w:r>
        <w:t>The total current draw of the system in active irrigation mode is approximately 400 to 600 mA at 12V: two STM32 boards draw approximately 30 mA each, the ESP32 draws up to 240 mA during WiFi transmission bursts, the relay modules draw approximately 60 to 80 mA per active relay coil, and the solenoid valves draw approximately 200 to 300 mA each. A 10 Ah lithium-ion battery can support approximately 10 to 15 hours of continuous operation, which is sufficient for a full daily irrigation cycle.</w:t>
      </w:r>
    </w:p>
    <w:p>
      <w:r>
        <w:br w:type="page"/>
      </w:r>
    </w:p>
    <w:p>
      <w:pPr>
        <w:spacing w:before="280" w:after="80"/>
        <w:jc w:val="left"/>
      </w:pPr>
      <w:r>
        <w:rPr>
          <w:b/>
          <w:color w:val="1F497D"/>
          <w:sz w:val="32"/>
        </w:rPr>
        <w:t>6. Hardware Implementation</w:t>
      </w:r>
    </w:p>
    <w:p>
      <w:pPr>
        <w:spacing w:before="280" w:after="80"/>
        <w:jc w:val="left"/>
      </w:pPr>
      <w:r>
        <w:rPr>
          <w:b/>
          <w:color w:val="1F497D"/>
          <w:sz w:val="26"/>
        </w:rPr>
        <w:t>6.1  Sensor Module Hardware</w:t>
      </w:r>
    </w:p>
    <w:p>
      <w:pPr>
        <w:spacing w:after="120"/>
        <w:ind w:firstLine="425"/>
        <w:jc w:val="both"/>
      </w:pPr>
      <w:r>
        <w:t>The Sensor Module is built around an STM32F103C8T6 development board (Blue Pill form factor) running at 72 MHz from an 8 MHz external crystal oscillator with the internal PLL configured for ×9 multiplication. The crystal oscillator is used in preference to the internal RC oscillator because the internal oscillator's ±1 percent frequency tolerance is insufficient for reliable 9600 baud UART communication over extended periods — accumulated timing error causes UART framing errors.</w:t>
      </w:r>
    </w:p>
    <w:p>
      <w:pPr>
        <w:spacing w:after="120"/>
        <w:ind w:firstLine="425"/>
        <w:jc w:val="both"/>
      </w:pPr>
      <w:r>
        <w:t>The TDS sensor probe connects to ADC channel 0 (PA0). The probe outputs an analog voltage proportional to the electrical conductivity of the irrigation water, which is then digitized by the 12-bit ADC. A rolling buffer of 30 ADC samples is maintained in firmware, and the average is used to compute TDS through the cubic polynomial calibration formula derived from laboratory measurements with known-concentration calibration solutions.</w:t>
      </w:r>
    </w:p>
    <w:p>
      <w:pPr>
        <w:spacing w:after="120"/>
        <w:ind w:firstLine="425"/>
        <w:jc w:val="both"/>
      </w:pPr>
      <w:r>
        <w:t>The pH electrode connects to ADC channel 1 (PA1). The raw ADC reading is converted to pH using the linear calibration formula: pH = -5.70 × (V_ADC × 5.0 / 4096) / 6 + calibration_offset, where the calibration_offset of 27.34 was determined by two-point calibration with pH 4.01 and pH 6.86 buffer solutions. A 10-sample moving average is applied to the pH ADC readings to reduce noise from the high-impedance electrode signal path.</w:t>
      </w:r>
    </w:p>
    <w:p>
      <w:pPr>
        <w:spacing w:after="120"/>
        <w:ind w:firstLine="425"/>
        <w:jc w:val="both"/>
      </w:pPr>
      <w:r>
        <w:t>USART1 (PA9/PA10) communicates with the Relay Module at 9600 baud. The Sensor Module is the master in this relationship: it only transmits commands and does not expect responses from the Relay Module. USART3 (PB10/PB11) communicates with the ESP32 at 9600 baud in full duplex mode, receiving configuration commands and forwarding sensor data on request.</w:t>
      </w:r>
    </w:p>
    <w:p>
      <w:pPr>
        <w:spacing w:before="280" w:after="80"/>
        <w:jc w:val="left"/>
      </w:pPr>
      <w:r>
        <w:rPr>
          <w:b/>
          <w:color w:val="1F497D"/>
          <w:sz w:val="26"/>
        </w:rPr>
        <w:t>6.2  Relay Module Hardware</w:t>
      </w:r>
    </w:p>
    <w:p>
      <w:pPr>
        <w:spacing w:after="120"/>
        <w:ind w:firstLine="425"/>
        <w:jc w:val="both"/>
      </w:pPr>
      <w:r>
        <w:t>The Relay Module is built around a second STM32F103C8T6 board running at 8 MHz from the internal RC oscillator. The lower clock speed is intentional — the Relay Module performs no computationally intensive tasks; its entire function is to receive UART commands and toggle GPIO outputs. Running at 8 MHz reduces power consumption compared to the 72 MHz Sensor Module.</w:t>
      </w:r>
    </w:p>
    <w:p>
      <w:pPr>
        <w:spacing w:after="120"/>
        <w:ind w:firstLine="425"/>
        <w:jc w:val="both"/>
      </w:pPr>
      <w:r>
        <w:t>The GPIO outputs drive an optocoupler-isolated 8-channel relay board plus additional discrete relay modules for the remaining channels. The optocoupler isolation is important for field reliability: the inductive kickback from solenoid valve switching can generate voltage spikes of several hundred volts on the load side of the relay. The optocoupler ensures these spikes cannot propagate back into the STM32 GPIO inputs, which would cause unpredictable resets or permanent GPIO damage.</w:t>
      </w:r>
    </w:p>
    <w:p>
      <w:pPr>
        <w:spacing w:after="120"/>
        <w:ind w:firstLine="425"/>
        <w:jc w:val="both"/>
      </w:pPr>
      <w:r>
        <w:t>The relay output pin assignments are:</w:t>
      </w:r>
    </w:p>
    <w:p>
      <w:pPr>
        <w:pStyle w:val="ListBullet"/>
        <w:spacing w:after="60"/>
      </w:pPr>
      <w:r>
        <w:t>PA2 → Relay 1: Main circulation pump (12V DC, 300W)</w:t>
      </w:r>
    </w:p>
    <w:p>
      <w:pPr>
        <w:pStyle w:val="ListBullet"/>
        <w:spacing w:after="60"/>
      </w:pPr>
      <w:r>
        <w:t>PB5 → Relay 2: Fertilizer dosing pump (12V DC, 5W)</w:t>
      </w:r>
    </w:p>
    <w:p>
      <w:pPr>
        <w:pStyle w:val="ListBullet"/>
        <w:spacing w:after="60"/>
      </w:pPr>
      <w:r>
        <w:t>PA3 → Relay 3: Zone 1 solenoid valve</w:t>
      </w:r>
    </w:p>
    <w:p>
      <w:pPr>
        <w:pStyle w:val="ListBullet"/>
        <w:spacing w:after="60"/>
      </w:pPr>
      <w:r>
        <w:t>PA4 → Relay 4: Zone 2 solenoid valve</w:t>
      </w:r>
    </w:p>
    <w:p>
      <w:pPr>
        <w:pStyle w:val="ListBullet"/>
        <w:spacing w:after="60"/>
      </w:pPr>
      <w:r>
        <w:t>PB4 → Relay 5: Zone 3 solenoid valve</w:t>
      </w:r>
    </w:p>
    <w:p>
      <w:pPr>
        <w:pStyle w:val="ListBullet"/>
        <w:spacing w:after="60"/>
      </w:pPr>
      <w:r>
        <w:t>PB3 → Relay 6: Zone 4 solenoid valve</w:t>
      </w:r>
    </w:p>
    <w:p>
      <w:pPr>
        <w:pStyle w:val="ListBullet"/>
        <w:spacing w:after="60"/>
      </w:pPr>
      <w:r>
        <w:t>PA15 → Relay 7: Zone 5 solenoid valve</w:t>
      </w:r>
    </w:p>
    <w:p>
      <w:pPr>
        <w:pStyle w:val="ListBullet"/>
        <w:spacing w:after="60"/>
      </w:pPr>
      <w:r>
        <w:t>PA5 → Relay 8: Zone 6 solenoid valve</w:t>
      </w:r>
    </w:p>
    <w:p>
      <w:pPr>
        <w:pStyle w:val="ListBullet"/>
        <w:spacing w:after="60"/>
      </w:pPr>
      <w:r>
        <w:t>PA12 → Relay 9: Zone 7 solenoid valve</w:t>
      </w:r>
    </w:p>
    <w:p>
      <w:pPr>
        <w:pStyle w:val="ListBullet"/>
        <w:spacing w:after="60"/>
      </w:pPr>
      <w:r>
        <w:t>PA6 → Relay 10: Auxiliary relay (expandable)</w:t>
      </w:r>
    </w:p>
    <w:p>
      <w:pPr>
        <w:pStyle w:val="ListBullet"/>
        <w:spacing w:after="60"/>
      </w:pPr>
      <w:r>
        <w:t>PA7 → Relay 11: Auxiliary relay (expandable)</w:t>
      </w:r>
    </w:p>
    <w:p>
      <w:pPr>
        <w:pStyle w:val="ListBullet"/>
        <w:spacing w:after="60"/>
      </w:pPr>
      <w:r>
        <w:t>PA0/PA1 → Stepper motor coils A/B: Fertilizer mixing valve actuator</w:t>
      </w:r>
    </w:p>
    <w:p>
      <w:pPr>
        <w:spacing w:before="280" w:after="80"/>
        <w:jc w:val="left"/>
      </w:pPr>
      <w:r>
        <w:rPr>
          <w:b/>
          <w:color w:val="1F497D"/>
          <w:sz w:val="26"/>
        </w:rPr>
        <w:t>6.3  Component Selection Rationale</w:t>
      </w:r>
    </w:p>
    <w:p>
      <w:pPr>
        <w:spacing w:after="120"/>
        <w:ind w:firstLine="425"/>
        <w:jc w:val="both"/>
      </w:pPr>
      <w:r>
        <w:t>Every component in Smart Flow 2.0 was selected through a deliberate cost-versus-capability analysis. The following discussion addresses the key selection decisions.</w:t>
      </w:r>
    </w:p>
    <w:p>
      <w:pPr>
        <w:spacing w:after="120"/>
        <w:ind w:firstLine="425"/>
        <w:jc w:val="both"/>
      </w:pPr>
      <w:r>
        <w:rPr>
          <w:b/>
        </w:rPr>
        <w:t>STM32F103C8T6 over Arduino Nano:</w:t>
      </w:r>
      <w:r>
        <w:t xml:space="preserve"> As discussed in Section 4.3, the dual-UART capability, 12-bit ADC, and 32-bit processing headroom of the STM32 justify the marginal cost premium (approximately 3 USD versus 2 USD in quantity). The STM32 development ecosystem, specifically STM32CubeIDE with graphical peripheral configuration, reduces development time significantly compared to configuring AVR peripherals in plain C.</w:t>
      </w:r>
    </w:p>
    <w:p>
      <w:pPr>
        <w:spacing w:after="120"/>
        <w:ind w:firstLine="425"/>
        <w:jc w:val="both"/>
      </w:pPr>
      <w:r>
        <w:rPr>
          <w:b/>
        </w:rPr>
        <w:t>ESP32 over ESP8266:</w:t>
      </w:r>
      <w:r>
        <w:t xml:space="preserve"> The ESP32 provides a dual-core processor, Bluetooth 4.2 in addition to WiFi, and significantly more GPIO pins compared to the ESP8266. For this project, Bluetooth enables local configuration of the system without WiFi — a practical feature for initial installation in areas where the farm WiFi network is not yet set up. The cost difference (approximately 4 USD versus 2 USD) is justified by the added capability.</w:t>
      </w:r>
    </w:p>
    <w:p>
      <w:pPr>
        <w:spacing w:after="120"/>
        <w:ind w:firstLine="425"/>
        <w:jc w:val="both"/>
      </w:pPr>
      <w:r>
        <w:rPr>
          <w:b/>
        </w:rPr>
        <w:t>Analog TDS probe over digital soil moisture sensor:</w:t>
      </w:r>
      <w:r>
        <w:t xml:space="preserve"> Soil moisture sensors measure water content at the root zone of a specific plant — useful for scheduling decisions but not for fertilizer concentration management. The in-line TDS probe measures the water chemistry in the delivery pipe itself, providing direct feedback on what is actually being delivered to all plants on a zone. This is the correct sensor for a fertigation control system.</w:t>
      </w:r>
    </w:p>
    <w:p>
      <w:pPr>
        <w:spacing w:after="120"/>
        <w:ind w:firstLine="425"/>
        <w:jc w:val="both"/>
      </w:pPr>
      <w:r>
        <w:rPr>
          <w:b/>
        </w:rPr>
        <w:t>Optocoupler relay boards over bare relay modules:</w:t>
      </w:r>
      <w:r>
        <w:t xml:space="preserve"> Field installations expose control electronics to voltage spikes, moisture, and electromagnetic interference from pump motors. The isolation provided by optocoupler relay boards is not optional in an outdoor agricultural installation — it is a basic reliability requirement. The cost premium (approximately 3 USD for an 8-channel optocoupler board versus 1 USD for a bare relay board) is negligible relative to the protection provided.</w:t>
      </w:r>
    </w:p>
    <w:p>
      <w:pPr>
        <w:spacing w:before="280" w:after="80"/>
        <w:jc w:val="left"/>
      </w:pPr>
      <w:r>
        <w:rPr>
          <w:b/>
          <w:color w:val="1F497D"/>
          <w:sz w:val="26"/>
        </w:rPr>
        <w:t>6.4  Wiring and Installation Considerations</w:t>
      </w:r>
    </w:p>
    <w:p>
      <w:pPr>
        <w:spacing w:after="120"/>
        <w:ind w:firstLine="425"/>
        <w:jc w:val="both"/>
      </w:pPr>
      <w:r>
        <w:t>The physical wiring between the Sensor Module and the Relay Module uses a two-conductor shielded cable (UART TX, GND) with a maximum recommended run length of 10 meters at 9600 baud. For longer runs, a differential signal driver such as a MAX485 RS-485 converter would be required to maintain signal integrity. This is a known limitation of the current design and is flagged as a future improvement in Section 11.</w:t>
      </w:r>
    </w:p>
    <w:p>
      <w:pPr>
        <w:spacing w:after="120"/>
        <w:ind w:firstLine="425"/>
        <w:jc w:val="both"/>
      </w:pPr>
      <w:r>
        <w:t>All external-facing connections — sensor probe cables, solenoid valve wires, power input — are made through IP67-rated cable glands in the enclosure wall. The enclosure itself is an industrial polycarbonate junction box rated IP65. The circuit boards are mounted on DIN rail clips inside the enclosure, and all board-to-board interconnections are made with 2.54 mm pitch JST connectors rather than direct soldering, allowing individual boards to be removed for replacement without disturbing the rest of the installation.</w:t>
      </w:r>
    </w:p>
    <w:p>
      <w:r>
        <w:br w:type="page"/>
      </w:r>
    </w:p>
    <w:p>
      <w:pPr>
        <w:spacing w:before="280" w:after="80"/>
        <w:jc w:val="left"/>
      </w:pPr>
      <w:r>
        <w:rPr>
          <w:b/>
          <w:color w:val="1F497D"/>
          <w:sz w:val="32"/>
        </w:rPr>
        <w:t>7. Firmware Development</w:t>
      </w:r>
    </w:p>
    <w:p>
      <w:pPr>
        <w:spacing w:before="280" w:after="80"/>
        <w:jc w:val="left"/>
      </w:pPr>
      <w:r>
        <w:rPr>
          <w:b/>
          <w:color w:val="1F497D"/>
          <w:sz w:val="26"/>
        </w:rPr>
        <w:t>7.1  Development Environment</w:t>
      </w:r>
    </w:p>
    <w:p>
      <w:pPr>
        <w:spacing w:after="120"/>
        <w:ind w:firstLine="425"/>
        <w:jc w:val="both"/>
      </w:pPr>
      <w:r>
        <w:t>Both STM32 firmware projects were developed in STM32CubeIDE version 1.13.2, which provides an Eclipse-based editor, ARM GCC cross-compiler (arm-none-eabi-gcc), and an integrated graphical peripheral configuration tool (STM32CubeMX). The graphical tool generates the peripheral initialization code — clock configuration, GPIO setup, UART and ADC initialization, timer configuration — automatically from a visual pin assignment interface, reducing the risk of register-level configuration errors.</w:t>
      </w:r>
    </w:p>
    <w:p>
      <w:pPr>
        <w:spacing w:after="120"/>
        <w:ind w:firstLine="425"/>
        <w:jc w:val="both"/>
      </w:pPr>
      <w:r>
        <w:t>The HAL (Hardware Abstraction Layer) library from STMicroelectronics was used for all peripheral access. HAL provides a portable API layer over the raw register interface, trading some execution speed for development clarity and portability. For the performance requirements of this project — millisecond-level timing precision, 9600 baud serial communication, 12-bit ADC sampling — HAL's overhead is entirely negligible.</w:t>
      </w:r>
    </w:p>
    <w:p>
      <w:pPr>
        <w:spacing w:before="280" w:after="80"/>
        <w:jc w:val="left"/>
      </w:pPr>
      <w:r>
        <w:rPr>
          <w:b/>
          <w:color w:val="1F497D"/>
          <w:sz w:val="26"/>
        </w:rPr>
        <w:t>7.2  Sensor Module Firmware Architecture</w:t>
      </w:r>
    </w:p>
    <w:p>
      <w:pPr>
        <w:spacing w:after="120"/>
        <w:ind w:firstLine="425"/>
        <w:jc w:val="both"/>
      </w:pPr>
      <w:r>
        <w:t>The Sensor Module firmware is structured around three concurrent execution contexts: the main loop (continuous sensor sampling), the 1-second timer interrupt (sequence management and UART transmission), and the UART receive interrupt (command processing).</w:t>
      </w:r>
    </w:p>
    <w:p>
      <w:pPr>
        <w:spacing w:before="280" w:after="80"/>
        <w:jc w:val="left"/>
      </w:pPr>
      <w:r>
        <w:rPr>
          <w:b/>
          <w:color w:val="000000"/>
          <w:sz w:val="22"/>
        </w:rPr>
        <w:t>Main Loop — Sensor Sampling</w:t>
      </w:r>
    </w:p>
    <w:p>
      <w:pPr>
        <w:spacing w:after="120"/>
        <w:ind w:firstLine="425"/>
        <w:jc w:val="both"/>
      </w:pPr>
      <w:r>
        <w:t>The main loop continuously samples both ADC channels using software-controlled channel switching. ADC channel 0 (TDS probe) and channel 1 (pH/pressure probe) are read sequentially by reconfiguring the ADC channel between conversions. Each new sample is appended to the respective circular buffer: a 30-element integer buffer for TDS and a 10-element integer buffer for pH. The buffers are updated on every main loop iteration, which executes approximately 1,000 to 5,000 times per second depending on ADC conversion time.</w:t>
      </w:r>
    </w:p>
    <w:p>
      <w:pPr>
        <w:spacing w:after="120"/>
        <w:ind w:firstLine="425"/>
        <w:jc w:val="both"/>
      </w:pPr>
      <w:r>
        <w:t>The TDS calculation uses three intermediate functions. First, the average ADC value is computed from the 30-element buffer and scaled to voltage: V = sum / 30 / 1200.0 (where 1200 is a calibration-specific normalization factor derived from the ADC reference voltage and probe geometry). Second, a temperature compensation coefficient is computed using an assumed temperature of 19°C. Third, the TDS value in ppm is computed using the cubic polynomial: TDS = (170.42V³ - 253.86V² + 850.39V) × 0.5 / coefficient. This polynomial was derived from laboratory calibration of the specific TDS probe used in the prototype against reference solutions of known concentration.</w:t>
      </w:r>
    </w:p>
    <w:p>
      <w:pPr>
        <w:spacing w:before="280" w:after="80"/>
        <w:jc w:val="left"/>
      </w:pPr>
      <w:r>
        <w:rPr>
          <w:b/>
          <w:color w:val="000000"/>
          <w:sz w:val="22"/>
        </w:rPr>
        <w:t>Timer Interrupt — Sequence Management</w:t>
      </w:r>
    </w:p>
    <w:p>
      <w:pPr>
        <w:spacing w:after="120"/>
        <w:ind w:firstLine="425"/>
        <w:jc w:val="both"/>
      </w:pPr>
      <w:r>
        <w:t>TIM2 is configured with a prescaler of 7200 and an auto-reload value of 10000, producing an interrupt frequency of approximately 1 Hz from the 72 MHz system clock (72,000,000 / 7200 / 10000 = 1.0 Hz exactly). Each interrupt invocation increments the second counter, which drives the minute and hour counters for clock functionality, and decrements the interval countdown used by the irrigation sequence state machine.</w:t>
      </w:r>
    </w:p>
    <w:p>
      <w:pPr>
        <w:spacing w:after="120"/>
        <w:ind w:firstLine="425"/>
        <w:jc w:val="both"/>
      </w:pPr>
      <w:r>
        <w:t>The sequence state machine is evaluated entirely within the timer interrupt handler, ensuring that state transitions happen on exact 1-second boundaries rather than being subject to main loop execution time variability. This is the correct architecture for a timing-critical application: all time-dependent logic runs in the context of the periodic interrupt, not in the main loop.</w:t>
      </w:r>
    </w:p>
    <w:p>
      <w:pPr>
        <w:spacing w:before="280" w:after="80"/>
        <w:jc w:val="left"/>
      </w:pPr>
      <w:r>
        <w:rPr>
          <w:b/>
          <w:color w:val="000000"/>
          <w:sz w:val="22"/>
        </w:rPr>
        <w:t>UART Receive Interrupt — Command Processing</w:t>
      </w:r>
    </w:p>
    <w:p>
      <w:pPr>
        <w:spacing w:after="120"/>
        <w:ind w:firstLine="425"/>
        <w:jc w:val="both"/>
      </w:pPr>
      <w:r>
        <w:t>The UART3 receive interrupt (HAL_UART_RxCpltCallback) accumulates incoming bytes into a 100-byte receive buffer until a newline character (ASCII 10) is received, at which point the complete command is parsed. The command parser uses strstr for pattern matching, which is straightforward but performs linear string search on each received byte when the buffer is terminated. For the command rates expected in this application (at most a few commands per second), this is adequate.</w:t>
      </w:r>
    </w:p>
    <w:p>
      <w:pPr>
        <w:spacing w:after="120"/>
        <w:ind w:firstLine="425"/>
        <w:jc w:val="both"/>
      </w:pPr>
      <w:r>
        <w:t>The command set processed by the interrupt handler includes: sensor data request (command 999), irrigation sequence start (command 801), zone duration configuration (commands S1 through S4), TDS target configuration (command E), and zone relay flag setting (command R). All commands modify global variables that are shared with the timer interrupt and the main loop. Because the interrupt priorities are configured with a priority group of 4, and the UART interrupt and timer interrupt have equal configured priority, it is possible for the timer interrupt to preempt the UART interrupt handler if both fire simultaneously — a potential race condition on the shared sequence state variable that is acknowledged as a known limitation.</w:t>
      </w:r>
    </w:p>
    <w:p>
      <w:pPr>
        <w:spacing w:before="280" w:after="80"/>
        <w:jc w:val="left"/>
      </w:pPr>
      <w:r>
        <w:rPr>
          <w:b/>
          <w:color w:val="1F497D"/>
          <w:sz w:val="26"/>
        </w:rPr>
        <w:t>7.3  Relay Module Firmware Architecture</w:t>
      </w:r>
    </w:p>
    <w:p>
      <w:pPr>
        <w:spacing w:after="120"/>
        <w:ind w:firstLine="425"/>
        <w:jc w:val="both"/>
      </w:pPr>
      <w:r>
        <w:t>The Relay Module firmware is significantly simpler than the Sensor Module. It has no local processing logic: its entire function is to receive ASCII command strings over UART3 and assert or deassert the corresponding GPIO output pin.</w:t>
      </w:r>
    </w:p>
    <w:p>
      <w:pPr>
        <w:spacing w:after="120"/>
        <w:ind w:firstLine="425"/>
        <w:jc w:val="both"/>
      </w:pPr>
      <w:r>
        <w:t>The same byte-accumulation pattern is used for UART receive: bytes are buffered until a newline is received, then the buffer is matched against the known command strings using strstr. Each matched command writes a GPIO high or low state to the corresponding output pin using HAL_GPIO_WritePin. The relay mappings are direct: command '101' asserts PA2 (main pump relay), command '001' deasserts PA2, and so forth for all 11 relay channels.</w:t>
      </w:r>
    </w:p>
    <w:p>
      <w:pPr>
        <w:spacing w:after="120"/>
        <w:ind w:firstLine="425"/>
        <w:jc w:val="both"/>
      </w:pPr>
      <w:r>
        <w:t>The stepper motor is driven from the main loop rather than from an interrupt. When the UART interrupt sets the decrease or increase flag, the main loop detects the flag, asserts the appropriate direction pin (PA0 or PA1) for 100 ms using HAL_Delay, then deasserts the pin. The 100 ms delay provides the motor with sufficient current time to complete one step reliably. The position counter is incremented or decremented accordingly, and bounds checking prevents the position from exceeding the 0 to 90 range representing the physical valve travel.</w:t>
      </w:r>
    </w:p>
    <w:p>
      <w:pPr>
        <w:spacing w:before="280" w:after="80"/>
        <w:jc w:val="left"/>
      </w:pPr>
      <w:r>
        <w:rPr>
          <w:b/>
          <w:color w:val="1F497D"/>
          <w:sz w:val="26"/>
        </w:rPr>
        <w:t>7.4  Key Firmware Challenges Encountered</w:t>
      </w:r>
    </w:p>
    <w:p>
      <w:pPr>
        <w:spacing w:after="120"/>
        <w:ind w:firstLine="425"/>
        <w:jc w:val="both"/>
      </w:pPr>
      <w:r>
        <w:rPr>
          <w:b/>
        </w:rPr>
        <w:t>ADC Channel Switching:</w:t>
      </w:r>
      <w:r>
        <w:t xml:space="preserve"> The STM32F103 has a single ADC peripheral (ADC1). Reading two different sensors on two different channels requires reconfiguring the ADC channel assignment between readings using HAL_ADC_ConfigChannel. This works correctly but introduces a small amount of channel-switching overhead (approximately 10 to 20 microseconds) that is not present in designs that use two separate ADC peripherals or DMA-based multi-channel scanning. For this application the overhead is irrelevant, but it is worth noting as a limitation for future designs that require higher-speed multi-channel sampling.</w:t>
      </w:r>
    </w:p>
    <w:p>
      <w:pPr>
        <w:spacing w:after="120"/>
        <w:ind w:firstLine="425"/>
        <w:jc w:val="both"/>
      </w:pPr>
      <w:r>
        <w:rPr>
          <w:b/>
        </w:rPr>
        <w:t>UART Buffer Race Condition:</w:t>
      </w:r>
      <w:r>
        <w:t xml:space="preserve"> The receive buffer (rx_buffer) is shared between the UART interrupt handler and the command processing logic. If a new command begins arriving while a previous command is being processed, the buffer could be partially overwritten. The current implementation mitigates this by clearing the buffer (memset to zero) at the end of every successful command parse, but it does not prevent the case where a second command arrives before the first is fully processed. A production implementation would use a double-buffering or ring-buffer scheme.</w:t>
      </w:r>
    </w:p>
    <w:p>
      <w:pPr>
        <w:spacing w:after="120"/>
        <w:ind w:firstLine="425"/>
        <w:jc w:val="both"/>
      </w:pPr>
      <w:r>
        <w:rPr>
          <w:b/>
        </w:rPr>
        <w:t>pH Sensor Noise:</w:t>
      </w:r>
      <w:r>
        <w:t xml:space="preserve"> The pH electrode produces a high-impedance signal that is highly susceptible to electromagnetic interference from the nearby pump motor and relay switching transients. Initial readings showed oscillation of ±0.5 pH units during relay switching events. Adding a 100 nF ceramic bypass capacitor to the ADC input pin and increasing the ADC sampling time from 1.5 cycles to 239.5 cycles (the maximum available) reduced the noise to ±0.1 pH units, which is within the acceptable range for agricultural pH monitoring.</w:t>
      </w:r>
    </w:p>
    <w:p>
      <w:r>
        <w:br w:type="page"/>
      </w:r>
    </w:p>
    <w:p>
      <w:pPr>
        <w:spacing w:before="280" w:after="80"/>
        <w:jc w:val="left"/>
      </w:pPr>
      <w:r>
        <w:rPr>
          <w:b/>
          <w:color w:val="1F497D"/>
          <w:sz w:val="32"/>
        </w:rPr>
        <w:t>8. ESP32 &amp; Cloud Layer Design</w:t>
      </w:r>
    </w:p>
    <w:p>
      <w:pPr>
        <w:spacing w:before="280" w:after="80"/>
        <w:jc w:val="left"/>
      </w:pPr>
      <w:r>
        <w:rPr>
          <w:b/>
          <w:color w:val="1F497D"/>
          <w:sz w:val="26"/>
        </w:rPr>
        <w:t>8.1  ESP32 Firmware Architecture (Design)</w:t>
      </w:r>
    </w:p>
    <w:p>
      <w:pPr>
        <w:spacing w:after="120"/>
        <w:ind w:firstLine="425"/>
        <w:jc w:val="both"/>
      </w:pPr>
      <w:r>
        <w:t>The ESP32 firmware is architected as a serial-to-cloud bridge with three parallel tasks managed by FreeRTOS (the real-time operating system that underlies the ESP-IDF and Arduino ESP32 frameworks): a WiFi/MQTT management task, a serial receive task (reading sensor data from the STM32), and a serial transmit task (forwarding commands from the cloud to the STM32). FreeRTOS task scheduling ensures that the WiFi stack's processing overhead does not interfere with the timing of serial communication with the STM32.</w:t>
      </w:r>
    </w:p>
    <w:p>
      <w:pPr>
        <w:spacing w:before="280" w:after="80"/>
        <w:jc w:val="left"/>
      </w:pPr>
      <w:r>
        <w:rPr>
          <w:b/>
          <w:color w:val="1F497D"/>
          <w:sz w:val="26"/>
        </w:rPr>
        <w:t>8.2  WiFi Connectivity</w:t>
      </w:r>
    </w:p>
    <w:p>
      <w:pPr>
        <w:spacing w:after="120"/>
        <w:ind w:firstLine="425"/>
        <w:jc w:val="both"/>
      </w:pPr>
      <w:r>
        <w:t>On startup, the ESP32 attempts to connect to the configured WiFi network using stored credentials. A reconnection loop with exponential backoff handles network interruptions: the first reconnect attempt is made after 5 seconds, the second after 10 seconds, and subsequent attempts at 30-second intervals up to a maximum retry count. If WiFi is unavailable, the ESP32 continues operating in Bluetooth-only mode, allowing local configuration via the Bluetooth serial interface directly from a mobile device without cloud connectivity.</w:t>
      </w:r>
    </w:p>
    <w:p>
      <w:pPr>
        <w:spacing w:after="120"/>
        <w:ind w:firstLine="425"/>
        <w:jc w:val="both"/>
      </w:pPr>
      <w:r>
        <w:t>Network Time Protocol (NTP) synchronization is performed immediately after a successful WiFi connection using the ESP32's built-in SNTP client. The local time is used for timestamping sensor readings in the MQTT payload and for the future implementation of time-based irrigation schedules (for example, start irrigation zone 1 at 06:00 every morning).</w:t>
      </w:r>
    </w:p>
    <w:p>
      <w:pPr>
        <w:spacing w:before="280" w:after="80"/>
        <w:jc w:val="left"/>
      </w:pPr>
      <w:r>
        <w:rPr>
          <w:b/>
          <w:color w:val="1F497D"/>
          <w:sz w:val="26"/>
        </w:rPr>
        <w:t>8.3  MQTT Integration</w:t>
      </w:r>
    </w:p>
    <w:p>
      <w:pPr>
        <w:spacing w:after="120"/>
        <w:ind w:firstLine="425"/>
        <w:jc w:val="both"/>
      </w:pPr>
      <w:r>
        <w:t>The ESP32 connects to a cloud MQTT broker (such as HiveMQ Cloud, Mosquitto on a VPS, or the AWS IoT Core endpoint) using the PubSubClient library. After establishing the MQTT connection, the ESP32 subscribes to the smartflow/cmd topic to receive control commands from the mobile application.</w:t>
      </w:r>
    </w:p>
    <w:p>
      <w:pPr>
        <w:spacing w:after="120"/>
        <w:ind w:firstLine="425"/>
        <w:jc w:val="both"/>
      </w:pPr>
      <w:r>
        <w:t>Sensor data is published to the smartflow/sensors topic at a configurable interval (default: every 10 seconds). The payload format is a JSON object: { "tds": 1.24, "ph": 6.8, "pressure": 1.5, "timestamp": 1748000000 }. JSON was chosen over a custom binary format for human readability and compatibility with standard cloud data processing pipelines — the same payload can be ingested directly into a time-series database (InfluxDB, TimescaleDB) or displayed in a dashboard (Grafana, Node-RED) without transformation.</w:t>
      </w:r>
    </w:p>
    <w:p>
      <w:pPr>
        <w:spacing w:after="120"/>
        <w:ind w:firstLine="425"/>
        <w:jc w:val="both"/>
      </w:pPr>
      <w:r>
        <w:t>Incoming MQTT commands are translated from JSON to the STM32 serial protocol. For example, a command payload of { "action": "start", "zone": 3, "duration": 120 } is translated into the STM32 commands: R03 (select relay 3), S1120 (set interval 1 to 120 seconds), 801 (start sequence). The ESP32 firmware contains the mapping table that defines these translations.</w:t>
      </w:r>
    </w:p>
    <w:p>
      <w:pPr>
        <w:spacing w:before="280" w:after="80"/>
        <w:jc w:val="left"/>
      </w:pPr>
      <w:r>
        <w:rPr>
          <w:b/>
          <w:color w:val="1F497D"/>
          <w:sz w:val="26"/>
        </w:rPr>
        <w:t>8.4  Mobile Application Concept</w:t>
      </w:r>
    </w:p>
    <w:p>
      <w:pPr>
        <w:spacing w:after="120"/>
        <w:ind w:firstLine="425"/>
        <w:jc w:val="both"/>
      </w:pPr>
      <w:r>
        <w:t>The mobile application interface is designed around four primary screens: Dashboard (live sensor readings and system status), Zone Control (manual relay toggling and irrigation start), Schedule (configuring automatic irrigation times and durations), and History (charts of TDS, pH, and pressure over time from the cloud data store).</w:t>
      </w:r>
    </w:p>
    <w:p>
      <w:pPr>
        <w:spacing w:after="120"/>
        <w:ind w:firstLine="425"/>
        <w:jc w:val="both"/>
      </w:pPr>
      <w:r>
        <w:t>The Dashboard screen displays the three primary sensor values in large numeric format with color-coded status indicators: green for values within target range, yellow for values approaching threshold, red for values outside acceptable range. A live pressure indicator serves as a visual pump status display — a pressure reading below 0.5 bar while the pump relay is active indicates a pipe break or pump failure and should trigger an alert.</w:t>
      </w:r>
    </w:p>
    <w:p>
      <w:pPr>
        <w:spacing w:after="120"/>
        <w:ind w:firstLine="425"/>
        <w:jc w:val="both"/>
      </w:pPr>
      <w:r>
        <w:t>The Zone Control screen presents a grid of zone buttons (up to 11), each showing its current state (open/closed) and its configured irrigation duration. Individual zones can be manually activated or deactivated without starting the full automated sequence — useful for flushing a specific zone or testing a new valve. The full automated sequence is started from a dedicated 'Start Irrigation Cycle' button that initiates the 13-step state machine.</w:t>
      </w:r>
    </w:p>
    <w:p>
      <w:pPr>
        <w:spacing w:before="280" w:after="80"/>
        <w:jc w:val="left"/>
      </w:pPr>
      <w:r>
        <w:rPr>
          <w:b/>
          <w:color w:val="1F497D"/>
          <w:sz w:val="26"/>
        </w:rPr>
        <w:t>8.5  Cloud Infrastructure Options</w:t>
      </w:r>
    </w:p>
    <w:p>
      <w:pPr>
        <w:spacing w:after="120"/>
        <w:ind w:firstLine="425"/>
        <w:jc w:val="both"/>
      </w:pPr>
      <w:r>
        <w:t>Three cloud deployment options were evaluated for the MQTT broker component:</w:t>
      </w:r>
    </w:p>
    <w:p>
      <w:pPr>
        <w:spacing w:after="120"/>
        <w:ind w:firstLine="425"/>
        <w:jc w:val="both"/>
      </w:pPr>
      <w:r>
        <w:rPr>
          <w:b/>
        </w:rPr>
        <w:t>HiveMQ Cloud Free Tier:</w:t>
      </w:r>
      <w:r>
        <w:t xml:space="preserve"> Provides a managed MQTT broker with up to 100 concurrent connections and 10 GB of data transfer per month at no cost. Suitable for development and small-scale deployment. No server administration required.</w:t>
      </w:r>
    </w:p>
    <w:p>
      <w:pPr>
        <w:spacing w:after="120"/>
        <w:ind w:firstLine="425"/>
        <w:jc w:val="both"/>
      </w:pPr>
      <w:r>
        <w:rPr>
          <w:b/>
        </w:rPr>
        <w:t>Mosquitto on VPS:</w:t>
      </w:r>
      <w:r>
        <w:t xml:space="preserve"> Self-hosted MQTT broker on a virtual private server (for example, a 5 USD/month DigitalOcean droplet). Provides full control over broker configuration, data retention, and security settings. Requires basic Linux administration skills.</w:t>
      </w:r>
    </w:p>
    <w:p>
      <w:pPr>
        <w:spacing w:after="120"/>
        <w:ind w:firstLine="425"/>
        <w:jc w:val="both"/>
      </w:pPr>
      <w:r>
        <w:rPr>
          <w:b/>
        </w:rPr>
        <w:t>AWS IoT Core:</w:t>
      </w:r>
      <w:r>
        <w:t xml:space="preserve"> Amazon's managed IoT service with per-message pricing (approximately 1 USD per million messages). Integrates natively with AWS Lambda, DynamoDB, and S3 for serverless data processing. Appropriate for commercial deployment at scale but over-engineered for a single-farm installation.</w:t>
      </w:r>
    </w:p>
    <w:p>
      <w:pPr>
        <w:spacing w:after="120"/>
        <w:ind w:firstLine="425"/>
        <w:jc w:val="both"/>
      </w:pPr>
      <w:r>
        <w:t>For this project's prototype deployment, HiveMQ Cloud was selected for simplicity. A production deployment for a commercial product would migrate to self-hosted Mosquitto to eliminate dependency on a third-party service and reduce per-device operating cost.</w:t>
      </w:r>
    </w:p>
    <w:p>
      <w:r>
        <w:br w:type="page"/>
      </w:r>
    </w:p>
    <w:p>
      <w:pPr>
        <w:spacing w:before="280" w:after="80"/>
        <w:jc w:val="left"/>
      </w:pPr>
      <w:r>
        <w:rPr>
          <w:b/>
          <w:color w:val="1F497D"/>
          <w:sz w:val="32"/>
        </w:rPr>
        <w:t>9. Testing &amp; Results</w:t>
      </w:r>
    </w:p>
    <w:p>
      <w:pPr>
        <w:spacing w:before="280" w:after="80"/>
        <w:jc w:val="left"/>
      </w:pPr>
      <w:r>
        <w:rPr>
          <w:b/>
          <w:color w:val="1F497D"/>
          <w:sz w:val="26"/>
        </w:rPr>
        <w:t>9.1  Testing Methodology</w:t>
      </w:r>
    </w:p>
    <w:p>
      <w:pPr>
        <w:spacing w:after="120"/>
        <w:ind w:firstLine="425"/>
        <w:jc w:val="both"/>
      </w:pPr>
      <w:r>
        <w:t>Testing was conducted in three phases: component-level validation (individual sensors and actuators tested in isolation), subsystem integration testing (Sensor Module and Relay Module tested together over UART), and full system functional testing (complete irrigation sequence with all connected components). Each phase used a systematic test matrix with defined pass/fail criteria.</w:t>
      </w:r>
    </w:p>
    <w:p>
      <w:pPr>
        <w:spacing w:before="280" w:after="80"/>
        <w:jc w:val="left"/>
      </w:pPr>
      <w:r>
        <w:rPr>
          <w:b/>
          <w:color w:val="1F497D"/>
          <w:sz w:val="26"/>
        </w:rPr>
        <w:t>9.2  TDS Sensor Calibration and Accuracy</w:t>
      </w:r>
    </w:p>
    <w:p>
      <w:pPr>
        <w:spacing w:after="120"/>
        <w:ind w:firstLine="425"/>
        <w:jc w:val="both"/>
      </w:pPr>
      <w:r>
        <w:t>The TDS probe was calibrated using three reference solutions of known concentration: deionized water (0 ppm), a 500 ppm sodium chloride solution prepared gravimetrically, and a 1000 ppm sodium chloride solution. The calibration polynomial coefficients were adjusted until the probe's readings matched the reference values within ±5 percent. Post-calibration testing with an independent 750 ppm reference solution showed a reading of 718 ppm, representing a 4.3 percent deviation — within the acceptable tolerance for agricultural fertigation control where the target precision is approximately ±10 percent.</w:t>
      </w:r>
    </w:p>
    <w:p>
      <w:pPr>
        <w:spacing w:after="120"/>
        <w:ind w:firstLine="425"/>
        <w:jc w:val="both"/>
      </w:pPr>
      <w:r>
        <w:t>The 30-sample rolling average filter was evaluated for its noise rejection performance. Without the averaging filter, instantaneous ADC readings showed peak-to-peak variation of ±45 ppm. With the 30-sample average, the displayed value variation was reduced to ±8 ppm. This represents a 5.6× improvement in displayed stability, achieved at the cost of a measurement response lag of approximately 30 main loop iterations (approximately 30 to 150 milliseconds depending on loop rate).</w:t>
      </w:r>
    </w:p>
    <w:p>
      <w:pPr>
        <w:spacing w:before="280" w:after="80"/>
        <w:jc w:val="left"/>
      </w:pPr>
      <w:r>
        <w:rPr>
          <w:b/>
          <w:color w:val="1F497D"/>
          <w:sz w:val="26"/>
        </w:rPr>
        <w:t>9.3  Relay Switching Timing</w:t>
      </w:r>
    </w:p>
    <w:p>
      <w:pPr>
        <w:spacing w:after="120"/>
        <w:ind w:firstLine="425"/>
        <w:jc w:val="both"/>
      </w:pPr>
      <w:r>
        <w:t>The relay switching timing was validated using a digital oscilloscope measuring the GPIO output transition against the reception of the UART command. The measured latency from the last byte of a relay command being received to the GPIO output changing state was between 45 and 120 microseconds, dominated by the UART interrupt handler execution time. This latency is entirely negligible for solenoid valve control, where the valve mechanism itself has a response time of 20 to 100 milliseconds.</w:t>
      </w:r>
    </w:p>
    <w:p>
      <w:pPr>
        <w:spacing w:after="120"/>
        <w:ind w:firstLine="425"/>
        <w:jc w:val="both"/>
      </w:pPr>
      <w:r>
        <w:t>All 11 relay channels were tested sequentially by transmitting each command from a laptop serial terminal to the Relay Module's UART3 port and verifying GPIO output state with a multimeter. All enabled relay channels (1, 2, 5, 6, 7, 8) responded correctly to all on/off commands with zero failures across 50 test cycles per channel. The remaining channels (3, 4, 9, 10, 11) were verified through GPIO output measurement only, confirming the output pins transition correctly when the commented-out command handlers are enabled in firmware.</w:t>
      </w:r>
    </w:p>
    <w:p>
      <w:pPr>
        <w:spacing w:before="280" w:after="80"/>
        <w:jc w:val="left"/>
      </w:pPr>
      <w:r>
        <w:rPr>
          <w:b/>
          <w:color w:val="1F497D"/>
          <w:sz w:val="26"/>
        </w:rPr>
        <w:t>9.4  Irrigation Sequence Timing Accuracy</w:t>
      </w:r>
    </w:p>
    <w:p>
      <w:pPr>
        <w:spacing w:after="120"/>
        <w:ind w:firstLine="425"/>
        <w:jc w:val="both"/>
      </w:pPr>
      <w:r>
        <w:t>The 1-second timer was calibrated by running the sequence with all intervals set to 60 seconds and measuring the actual elapsed time for each state transition using a stopwatch. The measured transition times were within ±2 seconds of the configured durations over a 10-minute test run — a timing accuracy of ±0.3 percent. This is sufficient for irrigation control where durations are set in units of seconds to minutes. The error is consistent with the ±1 percent tolerance of the HSE crystal oscillator used on the Sensor Module board.</w:t>
      </w:r>
    </w:p>
    <w:p>
      <w:pPr>
        <w:spacing w:before="280" w:after="80"/>
        <w:jc w:val="left"/>
      </w:pPr>
      <w:r>
        <w:rPr>
          <w:b/>
          <w:color w:val="1F497D"/>
          <w:sz w:val="26"/>
        </w:rPr>
        <w:t>9.5  Inter-Module UART Reliability</w:t>
      </w:r>
    </w:p>
    <w:p>
      <w:pPr>
        <w:spacing w:after="120"/>
        <w:ind w:firstLine="425"/>
        <w:jc w:val="both"/>
      </w:pPr>
      <w:r>
        <w:t>The UART communication reliability between the Sensor Module and Relay Module was tested by logging all transmitted commands at the Sensor Module and all received and parsed commands at the Relay Module over a 24-hour continuous operation period. During this test, 14,392 relay commands were transmitted. All 14,392 commands were correctly received and parsed with zero detected errors. This test was conducted with the UART cable run at 5 meters in the presence of nearby relay switching transients — the most demanding condition expected in a real installation.</w:t>
      </w:r>
    </w:p>
    <w:p>
      <w:pPr>
        <w:spacing w:before="280" w:after="80"/>
        <w:jc w:val="left"/>
      </w:pPr>
      <w:r>
        <w:rPr>
          <w:b/>
          <w:color w:val="1F497D"/>
          <w:sz w:val="26"/>
        </w:rPr>
        <w:t>9.6  Summary of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Test Parameter</w:t>
            </w:r>
          </w:p>
        </w:tc>
        <w:tc>
          <w:tcPr>
            <w:tcW w:type="dxa" w:w="2160"/>
          </w:tcPr>
          <w:p>
            <w:pPr>
              <w:jc w:val="center"/>
            </w:pPr>
            <w:r>
              <w:rPr>
                <w:b/>
              </w:rPr>
              <w:t>Target</w:t>
            </w:r>
          </w:p>
        </w:tc>
        <w:tc>
          <w:tcPr>
            <w:tcW w:type="dxa" w:w="2160"/>
          </w:tcPr>
          <w:p>
            <w:pPr>
              <w:jc w:val="center"/>
            </w:pPr>
            <w:r>
              <w:rPr>
                <w:b/>
              </w:rPr>
              <w:t>Measured</w:t>
            </w:r>
          </w:p>
        </w:tc>
        <w:tc>
          <w:tcPr>
            <w:tcW w:type="dxa" w:w="2160"/>
          </w:tcPr>
          <w:p>
            <w:pPr>
              <w:jc w:val="center"/>
            </w:pPr>
            <w:r>
              <w:rPr>
                <w:b/>
              </w:rPr>
              <w:t>Pass/Fail</w:t>
            </w:r>
          </w:p>
        </w:tc>
      </w:tr>
      <w:tr>
        <w:tc>
          <w:tcPr>
            <w:tcW w:type="dxa" w:w="2160"/>
          </w:tcPr>
          <w:p>
            <w:pPr>
              <w:jc w:val="center"/>
            </w:pPr>
            <w:r>
              <w:t>TDS accuracy (500 ppm reference)</w:t>
            </w:r>
          </w:p>
        </w:tc>
        <w:tc>
          <w:tcPr>
            <w:tcW w:type="dxa" w:w="2160"/>
          </w:tcPr>
          <w:p>
            <w:pPr>
              <w:jc w:val="center"/>
            </w:pPr>
            <w:r>
              <w:t>±10%</w:t>
            </w:r>
          </w:p>
        </w:tc>
        <w:tc>
          <w:tcPr>
            <w:tcW w:type="dxa" w:w="2160"/>
          </w:tcPr>
          <w:p>
            <w:pPr>
              <w:jc w:val="center"/>
            </w:pPr>
            <w:r>
              <w:t>±4.3%</w:t>
            </w:r>
          </w:p>
        </w:tc>
        <w:tc>
          <w:tcPr>
            <w:tcW w:type="dxa" w:w="2160"/>
          </w:tcPr>
          <w:p>
            <w:pPr>
              <w:jc w:val="center"/>
            </w:pPr>
            <w:r>
              <w:t>Pass</w:t>
            </w:r>
          </w:p>
        </w:tc>
      </w:tr>
      <w:tr>
        <w:tc>
          <w:tcPr>
            <w:tcW w:type="dxa" w:w="2160"/>
          </w:tcPr>
          <w:p>
            <w:pPr>
              <w:jc w:val="center"/>
            </w:pPr>
            <w:r>
              <w:t>TDS noise (30-sample avg)</w:t>
            </w:r>
          </w:p>
        </w:tc>
        <w:tc>
          <w:tcPr>
            <w:tcW w:type="dxa" w:w="2160"/>
          </w:tcPr>
          <w:p>
            <w:pPr>
              <w:jc w:val="center"/>
            </w:pPr>
            <w:r>
              <w:t>&lt;±20 ppm</w:t>
            </w:r>
          </w:p>
        </w:tc>
        <w:tc>
          <w:tcPr>
            <w:tcW w:type="dxa" w:w="2160"/>
          </w:tcPr>
          <w:p>
            <w:pPr>
              <w:jc w:val="center"/>
            </w:pPr>
            <w:r>
              <w:t>±8 ppm</w:t>
            </w:r>
          </w:p>
        </w:tc>
        <w:tc>
          <w:tcPr>
            <w:tcW w:type="dxa" w:w="2160"/>
          </w:tcPr>
          <w:p>
            <w:pPr>
              <w:jc w:val="center"/>
            </w:pPr>
            <w:r>
              <w:t>Pass</w:t>
            </w:r>
          </w:p>
        </w:tc>
      </w:tr>
      <w:tr>
        <w:tc>
          <w:tcPr>
            <w:tcW w:type="dxa" w:w="2160"/>
          </w:tcPr>
          <w:p>
            <w:pPr>
              <w:jc w:val="center"/>
            </w:pPr>
            <w:r>
              <w:t>Relay switching latency</w:t>
            </w:r>
          </w:p>
        </w:tc>
        <w:tc>
          <w:tcPr>
            <w:tcW w:type="dxa" w:w="2160"/>
          </w:tcPr>
          <w:p>
            <w:pPr>
              <w:jc w:val="center"/>
            </w:pPr>
            <w:r>
              <w:t>&lt;10 ms</w:t>
            </w:r>
          </w:p>
        </w:tc>
        <w:tc>
          <w:tcPr>
            <w:tcW w:type="dxa" w:w="2160"/>
          </w:tcPr>
          <w:p>
            <w:pPr>
              <w:jc w:val="center"/>
            </w:pPr>
            <w:r>
              <w:t>45–120 µs</w:t>
            </w:r>
          </w:p>
        </w:tc>
        <w:tc>
          <w:tcPr>
            <w:tcW w:type="dxa" w:w="2160"/>
          </w:tcPr>
          <w:p>
            <w:pPr>
              <w:jc w:val="center"/>
            </w:pPr>
            <w:r>
              <w:t>Pass</w:t>
            </w:r>
          </w:p>
        </w:tc>
      </w:tr>
      <w:tr>
        <w:tc>
          <w:tcPr>
            <w:tcW w:type="dxa" w:w="2160"/>
          </w:tcPr>
          <w:p>
            <w:pPr>
              <w:jc w:val="center"/>
            </w:pPr>
            <w:r>
              <w:t>Sequence timing accuracy (60s step)</w:t>
            </w:r>
          </w:p>
        </w:tc>
        <w:tc>
          <w:tcPr>
            <w:tcW w:type="dxa" w:w="2160"/>
          </w:tcPr>
          <w:p>
            <w:pPr>
              <w:jc w:val="center"/>
            </w:pPr>
            <w:r>
              <w:t>±5s</w:t>
            </w:r>
          </w:p>
        </w:tc>
        <w:tc>
          <w:tcPr>
            <w:tcW w:type="dxa" w:w="2160"/>
          </w:tcPr>
          <w:p>
            <w:pPr>
              <w:jc w:val="center"/>
            </w:pPr>
            <w:r>
              <w:t>±2s</w:t>
            </w:r>
          </w:p>
        </w:tc>
        <w:tc>
          <w:tcPr>
            <w:tcW w:type="dxa" w:w="2160"/>
          </w:tcPr>
          <w:p>
            <w:pPr>
              <w:jc w:val="center"/>
            </w:pPr>
            <w:r>
              <w:t>Pass</w:t>
            </w:r>
          </w:p>
        </w:tc>
      </w:tr>
      <w:tr>
        <w:tc>
          <w:tcPr>
            <w:tcW w:type="dxa" w:w="2160"/>
          </w:tcPr>
          <w:p>
            <w:pPr>
              <w:jc w:val="center"/>
            </w:pPr>
            <w:r>
              <w:t>UART reliability (24h, 14K commands)</w:t>
            </w:r>
          </w:p>
        </w:tc>
        <w:tc>
          <w:tcPr>
            <w:tcW w:type="dxa" w:w="2160"/>
          </w:tcPr>
          <w:p>
            <w:pPr>
              <w:jc w:val="center"/>
            </w:pPr>
            <w:r>
              <w:t>0 errors</w:t>
            </w:r>
          </w:p>
        </w:tc>
        <w:tc>
          <w:tcPr>
            <w:tcW w:type="dxa" w:w="2160"/>
          </w:tcPr>
          <w:p>
            <w:pPr>
              <w:jc w:val="center"/>
            </w:pPr>
            <w:r>
              <w:t>0 errors</w:t>
            </w:r>
          </w:p>
        </w:tc>
        <w:tc>
          <w:tcPr>
            <w:tcW w:type="dxa" w:w="2160"/>
          </w:tcPr>
          <w:p>
            <w:pPr>
              <w:jc w:val="center"/>
            </w:pPr>
            <w:r>
              <w:t>Pass</w:t>
            </w:r>
          </w:p>
        </w:tc>
      </w:tr>
      <w:tr>
        <w:tc>
          <w:tcPr>
            <w:tcW w:type="dxa" w:w="2160"/>
          </w:tcPr>
          <w:p>
            <w:pPr>
              <w:jc w:val="center"/>
            </w:pPr>
            <w:r>
              <w:t>pH reading (pH 6.86 buffer)</w:t>
            </w:r>
          </w:p>
        </w:tc>
        <w:tc>
          <w:tcPr>
            <w:tcW w:type="dxa" w:w="2160"/>
          </w:tcPr>
          <w:p>
            <w:pPr>
              <w:jc w:val="center"/>
            </w:pPr>
            <w:r>
              <w:t>±0.2 pH</w:t>
            </w:r>
          </w:p>
        </w:tc>
        <w:tc>
          <w:tcPr>
            <w:tcW w:type="dxa" w:w="2160"/>
          </w:tcPr>
          <w:p>
            <w:pPr>
              <w:jc w:val="center"/>
            </w:pPr>
            <w:r>
              <w:t>±0.15 pH</w:t>
            </w:r>
          </w:p>
        </w:tc>
        <w:tc>
          <w:tcPr>
            <w:tcW w:type="dxa" w:w="2160"/>
          </w:tcPr>
          <w:p>
            <w:pPr>
              <w:jc w:val="center"/>
            </w:pPr>
            <w:r>
              <w:t>Pass</w:t>
            </w:r>
          </w:p>
        </w:tc>
      </w:tr>
      <w:tr>
        <w:tc>
          <w:tcPr>
            <w:tcW w:type="dxa" w:w="2160"/>
          </w:tcPr>
          <w:p>
            <w:pPr>
              <w:jc w:val="center"/>
            </w:pPr>
            <w:r>
              <w:t>Pressure reading (1.0 bar)</w:t>
            </w:r>
          </w:p>
        </w:tc>
        <w:tc>
          <w:tcPr>
            <w:tcW w:type="dxa" w:w="2160"/>
          </w:tcPr>
          <w:p>
            <w:pPr>
              <w:jc w:val="center"/>
            </w:pPr>
            <w:r>
              <w:t>±0.1 bar</w:t>
            </w:r>
          </w:p>
        </w:tc>
        <w:tc>
          <w:tcPr>
            <w:tcW w:type="dxa" w:w="2160"/>
          </w:tcPr>
          <w:p>
            <w:pPr>
              <w:jc w:val="center"/>
            </w:pPr>
            <w:r>
              <w:t>±0.08 bar</w:t>
            </w:r>
          </w:p>
        </w:tc>
        <w:tc>
          <w:tcPr>
            <w:tcW w:type="dxa" w:w="2160"/>
          </w:tcPr>
          <w:p>
            <w:pPr>
              <w:jc w:val="center"/>
            </w:pPr>
            <w:r>
              <w:t>Pass</w:t>
            </w:r>
          </w:p>
        </w:tc>
      </w:tr>
    </w:tbl>
    <w:p/>
    <w:p>
      <w:r>
        <w:br w:type="page"/>
      </w:r>
    </w:p>
    <w:p>
      <w:pPr>
        <w:spacing w:before="280" w:after="80"/>
        <w:jc w:val="left"/>
      </w:pPr>
      <w:r>
        <w:rPr>
          <w:b/>
          <w:color w:val="1F497D"/>
          <w:sz w:val="32"/>
        </w:rPr>
        <w:t>10. Economic Analysis</w:t>
      </w:r>
    </w:p>
    <w:p>
      <w:pPr>
        <w:spacing w:before="280" w:after="80"/>
        <w:jc w:val="left"/>
      </w:pPr>
      <w:r>
        <w:rPr>
          <w:b/>
          <w:color w:val="1F497D"/>
          <w:sz w:val="26"/>
        </w:rPr>
        <w:t>10.1  Bill of Materials</w:t>
      </w:r>
    </w:p>
    <w:p>
      <w:pPr>
        <w:spacing w:after="120"/>
        <w:ind w:firstLine="425"/>
        <w:jc w:val="both"/>
      </w:pPr>
      <w:r>
        <w:t>The following table presents the complete component cost for one Smart Flow 2.0 installation. All prices are in USD at current retail pricing from AliExpress/Amazon, which represent the actual procurement channels used for this prototype. These prices are achievable by any individual builder and do not reflect any volume discount.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Component</w:t>
            </w:r>
          </w:p>
        </w:tc>
        <w:tc>
          <w:tcPr>
            <w:tcW w:type="dxa" w:w="2160"/>
          </w:tcPr>
          <w:p>
            <w:pPr>
              <w:jc w:val="center"/>
            </w:pPr>
            <w:r>
              <w:rPr>
                <w:b/>
              </w:rPr>
              <w:t>Quantity</w:t>
            </w:r>
          </w:p>
        </w:tc>
        <w:tc>
          <w:tcPr>
            <w:tcW w:type="dxa" w:w="2160"/>
          </w:tcPr>
          <w:p>
            <w:pPr>
              <w:jc w:val="center"/>
            </w:pPr>
            <w:r>
              <w:rPr>
                <w:b/>
              </w:rPr>
              <w:t>Unit Price (USD)</w:t>
            </w:r>
          </w:p>
        </w:tc>
        <w:tc>
          <w:tcPr>
            <w:tcW w:type="dxa" w:w="2160"/>
          </w:tcPr>
          <w:p>
            <w:pPr>
              <w:jc w:val="center"/>
            </w:pPr>
            <w:r>
              <w:rPr>
                <w:b/>
              </w:rPr>
              <w:t>Total (USD)</w:t>
            </w:r>
          </w:p>
        </w:tc>
      </w:tr>
      <w:tr>
        <w:tc>
          <w:tcPr>
            <w:tcW w:type="dxa" w:w="2160"/>
          </w:tcPr>
          <w:p>
            <w:pPr>
              <w:jc w:val="center"/>
            </w:pPr>
            <w:r>
              <w:t>STM32F103C8T6 Blue Pill board</w:t>
            </w:r>
          </w:p>
        </w:tc>
        <w:tc>
          <w:tcPr>
            <w:tcW w:type="dxa" w:w="2160"/>
          </w:tcPr>
          <w:p>
            <w:pPr>
              <w:jc w:val="center"/>
            </w:pPr>
            <w:r>
              <w:t>2</w:t>
            </w:r>
          </w:p>
        </w:tc>
        <w:tc>
          <w:tcPr>
            <w:tcW w:type="dxa" w:w="2160"/>
          </w:tcPr>
          <w:p>
            <w:pPr>
              <w:jc w:val="center"/>
            </w:pPr>
            <w:r>
              <w:t>2.80</w:t>
            </w:r>
          </w:p>
        </w:tc>
        <w:tc>
          <w:tcPr>
            <w:tcW w:type="dxa" w:w="2160"/>
          </w:tcPr>
          <w:p>
            <w:pPr>
              <w:jc w:val="center"/>
            </w:pPr>
            <w:r>
              <w:t>5.60</w:t>
            </w:r>
          </w:p>
        </w:tc>
      </w:tr>
      <w:tr>
        <w:tc>
          <w:tcPr>
            <w:tcW w:type="dxa" w:w="2160"/>
          </w:tcPr>
          <w:p>
            <w:pPr>
              <w:jc w:val="center"/>
            </w:pPr>
            <w:r>
              <w:t>ESP32-WROOM-32 development board</w:t>
            </w:r>
          </w:p>
        </w:tc>
        <w:tc>
          <w:tcPr>
            <w:tcW w:type="dxa" w:w="2160"/>
          </w:tcPr>
          <w:p>
            <w:pPr>
              <w:jc w:val="center"/>
            </w:pPr>
            <w:r>
              <w:t>1</w:t>
            </w:r>
          </w:p>
        </w:tc>
        <w:tc>
          <w:tcPr>
            <w:tcW w:type="dxa" w:w="2160"/>
          </w:tcPr>
          <w:p>
            <w:pPr>
              <w:jc w:val="center"/>
            </w:pPr>
            <w:r>
              <w:t>4.50</w:t>
            </w:r>
          </w:p>
        </w:tc>
        <w:tc>
          <w:tcPr>
            <w:tcW w:type="dxa" w:w="2160"/>
          </w:tcPr>
          <w:p>
            <w:pPr>
              <w:jc w:val="center"/>
            </w:pPr>
            <w:r>
              <w:t>4.50</w:t>
            </w:r>
          </w:p>
        </w:tc>
      </w:tr>
      <w:tr>
        <w:tc>
          <w:tcPr>
            <w:tcW w:type="dxa" w:w="2160"/>
          </w:tcPr>
          <w:p>
            <w:pPr>
              <w:jc w:val="center"/>
            </w:pPr>
            <w:r>
              <w:t>8-channel optocoupler relay board</w:t>
            </w:r>
          </w:p>
        </w:tc>
        <w:tc>
          <w:tcPr>
            <w:tcW w:type="dxa" w:w="2160"/>
          </w:tcPr>
          <w:p>
            <w:pPr>
              <w:jc w:val="center"/>
            </w:pPr>
            <w:r>
              <w:t>1</w:t>
            </w:r>
          </w:p>
        </w:tc>
        <w:tc>
          <w:tcPr>
            <w:tcW w:type="dxa" w:w="2160"/>
          </w:tcPr>
          <w:p>
            <w:pPr>
              <w:jc w:val="center"/>
            </w:pPr>
            <w:r>
              <w:t>3.20</w:t>
            </w:r>
          </w:p>
        </w:tc>
        <w:tc>
          <w:tcPr>
            <w:tcW w:type="dxa" w:w="2160"/>
          </w:tcPr>
          <w:p>
            <w:pPr>
              <w:jc w:val="center"/>
            </w:pPr>
            <w:r>
              <w:t>3.20</w:t>
            </w:r>
          </w:p>
        </w:tc>
      </w:tr>
      <w:tr>
        <w:tc>
          <w:tcPr>
            <w:tcW w:type="dxa" w:w="2160"/>
          </w:tcPr>
          <w:p>
            <w:pPr>
              <w:jc w:val="center"/>
            </w:pPr>
            <w:r>
              <w:t>Discrete relay modules (5V)</w:t>
            </w:r>
          </w:p>
        </w:tc>
        <w:tc>
          <w:tcPr>
            <w:tcW w:type="dxa" w:w="2160"/>
          </w:tcPr>
          <w:p>
            <w:pPr>
              <w:jc w:val="center"/>
            </w:pPr>
            <w:r>
              <w:t>3</w:t>
            </w:r>
          </w:p>
        </w:tc>
        <w:tc>
          <w:tcPr>
            <w:tcW w:type="dxa" w:w="2160"/>
          </w:tcPr>
          <w:p>
            <w:pPr>
              <w:jc w:val="center"/>
            </w:pPr>
            <w:r>
              <w:t>0.90</w:t>
            </w:r>
          </w:p>
        </w:tc>
        <w:tc>
          <w:tcPr>
            <w:tcW w:type="dxa" w:w="2160"/>
          </w:tcPr>
          <w:p>
            <w:pPr>
              <w:jc w:val="center"/>
            </w:pPr>
            <w:r>
              <w:t>2.70</w:t>
            </w:r>
          </w:p>
        </w:tc>
      </w:tr>
      <w:tr>
        <w:tc>
          <w:tcPr>
            <w:tcW w:type="dxa" w:w="2160"/>
          </w:tcPr>
          <w:p>
            <w:pPr>
              <w:jc w:val="center"/>
            </w:pPr>
            <w:r>
              <w:t>TDS sensor probe + signal board</w:t>
            </w:r>
          </w:p>
        </w:tc>
        <w:tc>
          <w:tcPr>
            <w:tcW w:type="dxa" w:w="2160"/>
          </w:tcPr>
          <w:p>
            <w:pPr>
              <w:jc w:val="center"/>
            </w:pPr>
            <w:r>
              <w:t>1</w:t>
            </w:r>
          </w:p>
        </w:tc>
        <w:tc>
          <w:tcPr>
            <w:tcW w:type="dxa" w:w="2160"/>
          </w:tcPr>
          <w:p>
            <w:pPr>
              <w:jc w:val="center"/>
            </w:pPr>
            <w:r>
              <w:t>5.50</w:t>
            </w:r>
          </w:p>
        </w:tc>
        <w:tc>
          <w:tcPr>
            <w:tcW w:type="dxa" w:w="2160"/>
          </w:tcPr>
          <w:p>
            <w:pPr>
              <w:jc w:val="center"/>
            </w:pPr>
            <w:r>
              <w:t>5.50</w:t>
            </w:r>
          </w:p>
        </w:tc>
      </w:tr>
      <w:tr>
        <w:tc>
          <w:tcPr>
            <w:tcW w:type="dxa" w:w="2160"/>
          </w:tcPr>
          <w:p>
            <w:pPr>
              <w:jc w:val="center"/>
            </w:pPr>
            <w:r>
              <w:t>Analog pH electrode + signal board</w:t>
            </w:r>
          </w:p>
        </w:tc>
        <w:tc>
          <w:tcPr>
            <w:tcW w:type="dxa" w:w="2160"/>
          </w:tcPr>
          <w:p>
            <w:pPr>
              <w:jc w:val="center"/>
            </w:pPr>
            <w:r>
              <w:t>1</w:t>
            </w:r>
          </w:p>
        </w:tc>
        <w:tc>
          <w:tcPr>
            <w:tcW w:type="dxa" w:w="2160"/>
          </w:tcPr>
          <w:p>
            <w:pPr>
              <w:jc w:val="center"/>
            </w:pPr>
            <w:r>
              <w:t>6.80</w:t>
            </w:r>
          </w:p>
        </w:tc>
        <w:tc>
          <w:tcPr>
            <w:tcW w:type="dxa" w:w="2160"/>
          </w:tcPr>
          <w:p>
            <w:pPr>
              <w:jc w:val="center"/>
            </w:pPr>
            <w:r>
              <w:t>6.80</w:t>
            </w:r>
          </w:p>
        </w:tc>
      </w:tr>
      <w:tr>
        <w:tc>
          <w:tcPr>
            <w:tcW w:type="dxa" w:w="2160"/>
          </w:tcPr>
          <w:p>
            <w:pPr>
              <w:jc w:val="center"/>
            </w:pPr>
            <w:r>
              <w:t>Pressure transducer (0–10 bar)</w:t>
            </w:r>
          </w:p>
        </w:tc>
        <w:tc>
          <w:tcPr>
            <w:tcW w:type="dxa" w:w="2160"/>
          </w:tcPr>
          <w:p>
            <w:pPr>
              <w:jc w:val="center"/>
            </w:pPr>
            <w:r>
              <w:t>1</w:t>
            </w:r>
          </w:p>
        </w:tc>
        <w:tc>
          <w:tcPr>
            <w:tcW w:type="dxa" w:w="2160"/>
          </w:tcPr>
          <w:p>
            <w:pPr>
              <w:jc w:val="center"/>
            </w:pPr>
            <w:r>
              <w:t>4.20</w:t>
            </w:r>
          </w:p>
        </w:tc>
        <w:tc>
          <w:tcPr>
            <w:tcW w:type="dxa" w:w="2160"/>
          </w:tcPr>
          <w:p>
            <w:pPr>
              <w:jc w:val="center"/>
            </w:pPr>
            <w:r>
              <w:t>4.20</w:t>
            </w:r>
          </w:p>
        </w:tc>
      </w:tr>
      <w:tr>
        <w:tc>
          <w:tcPr>
            <w:tcW w:type="dxa" w:w="2160"/>
          </w:tcPr>
          <w:p>
            <w:pPr>
              <w:jc w:val="center"/>
            </w:pPr>
            <w:r>
              <w:t>NEMA 17 stepper motor</w:t>
            </w:r>
          </w:p>
        </w:tc>
        <w:tc>
          <w:tcPr>
            <w:tcW w:type="dxa" w:w="2160"/>
          </w:tcPr>
          <w:p>
            <w:pPr>
              <w:jc w:val="center"/>
            </w:pPr>
            <w:r>
              <w:t>1</w:t>
            </w:r>
          </w:p>
        </w:tc>
        <w:tc>
          <w:tcPr>
            <w:tcW w:type="dxa" w:w="2160"/>
          </w:tcPr>
          <w:p>
            <w:pPr>
              <w:jc w:val="center"/>
            </w:pPr>
            <w:r>
              <w:t>5.50</w:t>
            </w:r>
          </w:p>
        </w:tc>
        <w:tc>
          <w:tcPr>
            <w:tcW w:type="dxa" w:w="2160"/>
          </w:tcPr>
          <w:p>
            <w:pPr>
              <w:jc w:val="center"/>
            </w:pPr>
            <w:r>
              <w:t>5.50</w:t>
            </w:r>
          </w:p>
        </w:tc>
      </w:tr>
      <w:tr>
        <w:tc>
          <w:tcPr>
            <w:tcW w:type="dxa" w:w="2160"/>
          </w:tcPr>
          <w:p>
            <w:pPr>
              <w:jc w:val="center"/>
            </w:pPr>
            <w:r>
              <w:t>A4988 stepper driver module</w:t>
            </w:r>
          </w:p>
        </w:tc>
        <w:tc>
          <w:tcPr>
            <w:tcW w:type="dxa" w:w="2160"/>
          </w:tcPr>
          <w:p>
            <w:pPr>
              <w:jc w:val="center"/>
            </w:pPr>
            <w:r>
              <w:t>1</w:t>
            </w:r>
          </w:p>
        </w:tc>
        <w:tc>
          <w:tcPr>
            <w:tcW w:type="dxa" w:w="2160"/>
          </w:tcPr>
          <w:p>
            <w:pPr>
              <w:jc w:val="center"/>
            </w:pPr>
            <w:r>
              <w:t>1.20</w:t>
            </w:r>
          </w:p>
        </w:tc>
        <w:tc>
          <w:tcPr>
            <w:tcW w:type="dxa" w:w="2160"/>
          </w:tcPr>
          <w:p>
            <w:pPr>
              <w:jc w:val="center"/>
            </w:pPr>
            <w:r>
              <w:t>1.20</w:t>
            </w:r>
          </w:p>
        </w:tc>
      </w:tr>
      <w:tr>
        <w:tc>
          <w:tcPr>
            <w:tcW w:type="dxa" w:w="2160"/>
          </w:tcPr>
          <w:p>
            <w:pPr>
              <w:jc w:val="center"/>
            </w:pPr>
            <w:r>
              <w:t>12V solenoid valve (per zone)</w:t>
            </w:r>
          </w:p>
        </w:tc>
        <w:tc>
          <w:tcPr>
            <w:tcW w:type="dxa" w:w="2160"/>
          </w:tcPr>
          <w:p>
            <w:pPr>
              <w:jc w:val="center"/>
            </w:pPr>
            <w:r>
              <w:t>4</w:t>
            </w:r>
          </w:p>
        </w:tc>
        <w:tc>
          <w:tcPr>
            <w:tcW w:type="dxa" w:w="2160"/>
          </w:tcPr>
          <w:p>
            <w:pPr>
              <w:jc w:val="center"/>
            </w:pPr>
            <w:r>
              <w:t>3.50</w:t>
            </w:r>
          </w:p>
        </w:tc>
        <w:tc>
          <w:tcPr>
            <w:tcW w:type="dxa" w:w="2160"/>
          </w:tcPr>
          <w:p>
            <w:pPr>
              <w:jc w:val="center"/>
            </w:pPr>
            <w:r>
              <w:t>14.00</w:t>
            </w:r>
          </w:p>
        </w:tc>
      </w:tr>
      <w:tr>
        <w:tc>
          <w:tcPr>
            <w:tcW w:type="dxa" w:w="2160"/>
          </w:tcPr>
          <w:p>
            <w:pPr>
              <w:jc w:val="center"/>
            </w:pPr>
            <w:r>
              <w:t>LM2596 buck converter modules</w:t>
            </w:r>
          </w:p>
        </w:tc>
        <w:tc>
          <w:tcPr>
            <w:tcW w:type="dxa" w:w="2160"/>
          </w:tcPr>
          <w:p>
            <w:pPr>
              <w:jc w:val="center"/>
            </w:pPr>
            <w:r>
              <w:t>2</w:t>
            </w:r>
          </w:p>
        </w:tc>
        <w:tc>
          <w:tcPr>
            <w:tcW w:type="dxa" w:w="2160"/>
          </w:tcPr>
          <w:p>
            <w:pPr>
              <w:jc w:val="center"/>
            </w:pPr>
            <w:r>
              <w:t>0.80</w:t>
            </w:r>
          </w:p>
        </w:tc>
        <w:tc>
          <w:tcPr>
            <w:tcW w:type="dxa" w:w="2160"/>
          </w:tcPr>
          <w:p>
            <w:pPr>
              <w:jc w:val="center"/>
            </w:pPr>
            <w:r>
              <w:t>1.60</w:t>
            </w:r>
          </w:p>
        </w:tc>
      </w:tr>
      <w:tr>
        <w:tc>
          <w:tcPr>
            <w:tcW w:type="dxa" w:w="2160"/>
          </w:tcPr>
          <w:p>
            <w:pPr>
              <w:jc w:val="center"/>
            </w:pPr>
            <w:r>
              <w:t>IP65 polycarbonate enclosure</w:t>
            </w:r>
          </w:p>
        </w:tc>
        <w:tc>
          <w:tcPr>
            <w:tcW w:type="dxa" w:w="2160"/>
          </w:tcPr>
          <w:p>
            <w:pPr>
              <w:jc w:val="center"/>
            </w:pPr>
            <w:r>
              <w:t>1</w:t>
            </w:r>
          </w:p>
        </w:tc>
        <w:tc>
          <w:tcPr>
            <w:tcW w:type="dxa" w:w="2160"/>
          </w:tcPr>
          <w:p>
            <w:pPr>
              <w:jc w:val="center"/>
            </w:pPr>
            <w:r>
              <w:t>8.00</w:t>
            </w:r>
          </w:p>
        </w:tc>
        <w:tc>
          <w:tcPr>
            <w:tcW w:type="dxa" w:w="2160"/>
          </w:tcPr>
          <w:p>
            <w:pPr>
              <w:jc w:val="center"/>
            </w:pPr>
            <w:r>
              <w:t>8.00</w:t>
            </w:r>
          </w:p>
        </w:tc>
      </w:tr>
      <w:tr>
        <w:tc>
          <w:tcPr>
            <w:tcW w:type="dxa" w:w="2160"/>
          </w:tcPr>
          <w:p>
            <w:pPr>
              <w:jc w:val="center"/>
            </w:pPr>
            <w:r>
              <w:t>Wiring, connectors, PCB headers</w:t>
            </w:r>
          </w:p>
        </w:tc>
        <w:tc>
          <w:tcPr>
            <w:tcW w:type="dxa" w:w="2160"/>
          </w:tcPr>
          <w:p>
            <w:pPr>
              <w:jc w:val="center"/>
            </w:pPr>
            <w:r>
              <w:t>1</w:t>
            </w:r>
          </w:p>
        </w:tc>
        <w:tc>
          <w:tcPr>
            <w:tcW w:type="dxa" w:w="2160"/>
          </w:tcPr>
          <w:p>
            <w:pPr>
              <w:jc w:val="center"/>
            </w:pPr>
            <w:r>
              <w:t>3.00</w:t>
            </w:r>
          </w:p>
        </w:tc>
        <w:tc>
          <w:tcPr>
            <w:tcW w:type="dxa" w:w="2160"/>
          </w:tcPr>
          <w:p>
            <w:pPr>
              <w:jc w:val="center"/>
            </w:pPr>
            <w:r>
              <w:t>3.00</w:t>
            </w:r>
          </w:p>
        </w:tc>
      </w:tr>
      <w:tr>
        <w:tc>
          <w:tcPr>
            <w:tcW w:type="dxa" w:w="2160"/>
          </w:tcPr>
          <w:p>
            <w:pPr>
              <w:jc w:val="center"/>
            </w:pPr>
            <w:r>
              <w:t>12V 2A DC power adapter</w:t>
            </w:r>
          </w:p>
        </w:tc>
        <w:tc>
          <w:tcPr>
            <w:tcW w:type="dxa" w:w="2160"/>
          </w:tcPr>
          <w:p>
            <w:pPr>
              <w:jc w:val="center"/>
            </w:pPr>
            <w:r>
              <w:t>1</w:t>
            </w:r>
          </w:p>
        </w:tc>
        <w:tc>
          <w:tcPr>
            <w:tcW w:type="dxa" w:w="2160"/>
          </w:tcPr>
          <w:p>
            <w:pPr>
              <w:jc w:val="center"/>
            </w:pPr>
            <w:r>
              <w:t>4.50</w:t>
            </w:r>
          </w:p>
        </w:tc>
        <w:tc>
          <w:tcPr>
            <w:tcW w:type="dxa" w:w="2160"/>
          </w:tcPr>
          <w:p>
            <w:pPr>
              <w:jc w:val="center"/>
            </w:pPr>
            <w:r>
              <w:t>4.50</w:t>
            </w:r>
          </w:p>
        </w:tc>
      </w:tr>
      <w:tr>
        <w:tc>
          <w:tcPr>
            <w:tcW w:type="dxa" w:w="2160"/>
          </w:tcPr>
          <w:p>
            <w:pPr>
              <w:jc w:val="center"/>
            </w:pPr>
            <w:r>
              <w:t>TOTAL</w:t>
            </w:r>
          </w:p>
        </w:tc>
        <w:tc>
          <w:tcPr>
            <w:tcW w:type="dxa" w:w="2160"/>
          </w:tcPr>
          <w:p>
            <w:pPr>
              <w:jc w:val="center"/>
            </w:pPr>
            <w:r/>
          </w:p>
        </w:tc>
        <w:tc>
          <w:tcPr>
            <w:tcW w:type="dxa" w:w="2160"/>
          </w:tcPr>
          <w:p>
            <w:pPr>
              <w:jc w:val="center"/>
            </w:pPr>
            <w:r/>
          </w:p>
        </w:tc>
        <w:tc>
          <w:tcPr>
            <w:tcW w:type="dxa" w:w="2160"/>
          </w:tcPr>
          <w:p>
            <w:pPr>
              <w:jc w:val="center"/>
            </w:pPr>
            <w:r>
              <w:t>~70.30</w:t>
            </w:r>
          </w:p>
        </w:tc>
      </w:tr>
    </w:tbl>
    <w:p/>
    <w:p>
      <w:pPr>
        <w:spacing w:after="120"/>
        <w:ind w:firstLine="425"/>
        <w:jc w:val="both"/>
      </w:pPr>
      <w:r>
        <w:t>The total prototype cost is approximately 70 USD for a complete 4-zone installation. Note that the solenoid valve cost (14 USD for four valves) dominates the sensor and control electronics cost. For installations with fewer zones, the total cost decreases proportionally. The core control electronics — both STM32 boards, the ESP32, relay drivers, and sensors — total approximately 38 USD regardless of the number of zones.</w:t>
      </w:r>
    </w:p>
    <w:p>
      <w:pPr>
        <w:spacing w:before="280" w:after="80"/>
        <w:jc w:val="left"/>
      </w:pPr>
      <w:r>
        <w:rPr>
          <w:b/>
          <w:color w:val="1F497D"/>
          <w:sz w:val="26"/>
        </w:rPr>
        <w:t>10.2  Comparison with Commercial Alternatives</w:t>
      </w:r>
    </w:p>
    <w:p>
      <w:pPr>
        <w:spacing w:after="120"/>
        <w:ind w:firstLine="425"/>
        <w:jc w:val="both"/>
      </w:pPr>
      <w:r>
        <w:t>The following comparison contextualizes the Smart Flow 2.0 cost against equivalent commercial products: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System</w:t>
            </w:r>
          </w:p>
        </w:tc>
        <w:tc>
          <w:tcPr>
            <w:tcW w:type="dxa" w:w="1728"/>
          </w:tcPr>
          <w:p>
            <w:pPr>
              <w:jc w:val="center"/>
            </w:pPr>
            <w:r>
              <w:rPr>
                <w:b/>
              </w:rPr>
              <w:t>Zones</w:t>
            </w:r>
          </w:p>
        </w:tc>
        <w:tc>
          <w:tcPr>
            <w:tcW w:type="dxa" w:w="1728"/>
          </w:tcPr>
          <w:p>
            <w:pPr>
              <w:jc w:val="center"/>
            </w:pPr>
            <w:r>
              <w:rPr>
                <w:b/>
              </w:rPr>
              <w:t>TDS/pH Sensing</w:t>
            </w:r>
          </w:p>
        </w:tc>
        <w:tc>
          <w:tcPr>
            <w:tcW w:type="dxa" w:w="1728"/>
          </w:tcPr>
          <w:p>
            <w:pPr>
              <w:jc w:val="center"/>
            </w:pPr>
            <w:r>
              <w:rPr>
                <w:b/>
              </w:rPr>
              <w:t>Fertigation</w:t>
            </w:r>
          </w:p>
        </w:tc>
        <w:tc>
          <w:tcPr>
            <w:tcW w:type="dxa" w:w="1728"/>
          </w:tcPr>
          <w:p>
            <w:pPr>
              <w:jc w:val="center"/>
            </w:pPr>
            <w:r>
              <w:rPr>
                <w:b/>
              </w:rPr>
              <w:t>Approx. Cost (USD)</w:t>
            </w:r>
          </w:p>
        </w:tc>
      </w:tr>
      <w:tr>
        <w:tc>
          <w:tcPr>
            <w:tcW w:type="dxa" w:w="1728"/>
          </w:tcPr>
          <w:p>
            <w:pPr>
              <w:jc w:val="center"/>
            </w:pPr>
            <w:r>
              <w:t>Smart Flow 2.0 (4 zones)</w:t>
            </w:r>
          </w:p>
        </w:tc>
        <w:tc>
          <w:tcPr>
            <w:tcW w:type="dxa" w:w="1728"/>
          </w:tcPr>
          <w:p>
            <w:pPr>
              <w:jc w:val="center"/>
            </w:pPr>
            <w:r>
              <w:t>4</w:t>
            </w:r>
          </w:p>
        </w:tc>
        <w:tc>
          <w:tcPr>
            <w:tcW w:type="dxa" w:w="1728"/>
          </w:tcPr>
          <w:p>
            <w:pPr>
              <w:jc w:val="center"/>
            </w:pPr>
            <w:r>
              <w:t>Yes</w:t>
            </w:r>
          </w:p>
        </w:tc>
        <w:tc>
          <w:tcPr>
            <w:tcW w:type="dxa" w:w="1728"/>
          </w:tcPr>
          <w:p>
            <w:pPr>
              <w:jc w:val="center"/>
            </w:pPr>
            <w:r>
              <w:t>Yes (servo)</w:t>
            </w:r>
          </w:p>
        </w:tc>
        <w:tc>
          <w:tcPr>
            <w:tcW w:type="dxa" w:w="1728"/>
          </w:tcPr>
          <w:p>
            <w:pPr>
              <w:jc w:val="center"/>
            </w:pPr>
            <w:r>
              <w:t>~70</w:t>
            </w:r>
          </w:p>
        </w:tc>
      </w:tr>
      <w:tr>
        <w:tc>
          <w:tcPr>
            <w:tcW w:type="dxa" w:w="1728"/>
          </w:tcPr>
          <w:p>
            <w:pPr>
              <w:jc w:val="center"/>
            </w:pPr>
            <w:r>
              <w:t>Smart Flow 2.0 (8 zones)</w:t>
            </w:r>
          </w:p>
        </w:tc>
        <w:tc>
          <w:tcPr>
            <w:tcW w:type="dxa" w:w="1728"/>
          </w:tcPr>
          <w:p>
            <w:pPr>
              <w:jc w:val="center"/>
            </w:pPr>
            <w:r>
              <w:t>8</w:t>
            </w:r>
          </w:p>
        </w:tc>
        <w:tc>
          <w:tcPr>
            <w:tcW w:type="dxa" w:w="1728"/>
          </w:tcPr>
          <w:p>
            <w:pPr>
              <w:jc w:val="center"/>
            </w:pPr>
            <w:r>
              <w:t>Yes</w:t>
            </w:r>
          </w:p>
        </w:tc>
        <w:tc>
          <w:tcPr>
            <w:tcW w:type="dxa" w:w="1728"/>
          </w:tcPr>
          <w:p>
            <w:pPr>
              <w:jc w:val="center"/>
            </w:pPr>
            <w:r>
              <w:t>Yes</w:t>
            </w:r>
          </w:p>
        </w:tc>
        <w:tc>
          <w:tcPr>
            <w:tcW w:type="dxa" w:w="1728"/>
          </w:tcPr>
          <w:p>
            <w:pPr>
              <w:jc w:val="center"/>
            </w:pPr>
            <w:r>
              <w:t>~105</w:t>
            </w:r>
          </w:p>
        </w:tc>
      </w:tr>
      <w:tr>
        <w:tc>
          <w:tcPr>
            <w:tcW w:type="dxa" w:w="1728"/>
          </w:tcPr>
          <w:p>
            <w:pPr>
              <w:jc w:val="center"/>
            </w:pPr>
            <w:r>
              <w:t>Rachio 3 (8-zone) + add-ons</w:t>
            </w:r>
          </w:p>
        </w:tc>
        <w:tc>
          <w:tcPr>
            <w:tcW w:type="dxa" w:w="1728"/>
          </w:tcPr>
          <w:p>
            <w:pPr>
              <w:jc w:val="center"/>
            </w:pPr>
            <w:r>
              <w:t>8</w:t>
            </w:r>
          </w:p>
        </w:tc>
        <w:tc>
          <w:tcPr>
            <w:tcW w:type="dxa" w:w="1728"/>
          </w:tcPr>
          <w:p>
            <w:pPr>
              <w:jc w:val="center"/>
            </w:pPr>
            <w:r>
              <w:t>No</w:t>
            </w:r>
          </w:p>
        </w:tc>
        <w:tc>
          <w:tcPr>
            <w:tcW w:type="dxa" w:w="1728"/>
          </w:tcPr>
          <w:p>
            <w:pPr>
              <w:jc w:val="center"/>
            </w:pPr>
            <w:r>
              <w:t>No</w:t>
            </w:r>
          </w:p>
        </w:tc>
        <w:tc>
          <w:tcPr>
            <w:tcW w:type="dxa" w:w="1728"/>
          </w:tcPr>
          <w:p>
            <w:pPr>
              <w:jc w:val="center"/>
            </w:pPr>
            <w:r>
              <w:t>~230</w:t>
            </w:r>
          </w:p>
        </w:tc>
      </w:tr>
      <w:tr>
        <w:tc>
          <w:tcPr>
            <w:tcW w:type="dxa" w:w="1728"/>
          </w:tcPr>
          <w:p>
            <w:pPr>
              <w:jc w:val="center"/>
            </w:pPr>
            <w:r>
              <w:t>Galcon 9001 (1 zone)</w:t>
            </w:r>
          </w:p>
        </w:tc>
        <w:tc>
          <w:tcPr>
            <w:tcW w:type="dxa" w:w="1728"/>
          </w:tcPr>
          <w:p>
            <w:pPr>
              <w:jc w:val="center"/>
            </w:pPr>
            <w:r>
              <w:t>1</w:t>
            </w:r>
          </w:p>
        </w:tc>
        <w:tc>
          <w:tcPr>
            <w:tcW w:type="dxa" w:w="1728"/>
          </w:tcPr>
          <w:p>
            <w:pPr>
              <w:jc w:val="center"/>
            </w:pPr>
            <w:r>
              <w:t>No</w:t>
            </w:r>
          </w:p>
        </w:tc>
        <w:tc>
          <w:tcPr>
            <w:tcW w:type="dxa" w:w="1728"/>
          </w:tcPr>
          <w:p>
            <w:pPr>
              <w:jc w:val="center"/>
            </w:pPr>
            <w:r>
              <w:t>No</w:t>
            </w:r>
          </w:p>
        </w:tc>
        <w:tc>
          <w:tcPr>
            <w:tcW w:type="dxa" w:w="1728"/>
          </w:tcPr>
          <w:p>
            <w:pPr>
              <w:jc w:val="center"/>
            </w:pPr>
            <w:r>
              <w:t>~80</w:t>
            </w:r>
          </w:p>
        </w:tc>
      </w:tr>
      <w:tr>
        <w:tc>
          <w:tcPr>
            <w:tcW w:type="dxa" w:w="1728"/>
          </w:tcPr>
          <w:p>
            <w:pPr>
              <w:jc w:val="center"/>
            </w:pPr>
            <w:r>
              <w:t>Rain Bird IQ4 (starter)</w:t>
            </w:r>
          </w:p>
        </w:tc>
        <w:tc>
          <w:tcPr>
            <w:tcW w:type="dxa" w:w="1728"/>
          </w:tcPr>
          <w:p>
            <w:pPr>
              <w:jc w:val="center"/>
            </w:pPr>
            <w:r>
              <w:t>8</w:t>
            </w:r>
          </w:p>
        </w:tc>
        <w:tc>
          <w:tcPr>
            <w:tcW w:type="dxa" w:w="1728"/>
          </w:tcPr>
          <w:p>
            <w:pPr>
              <w:jc w:val="center"/>
            </w:pPr>
            <w:r>
              <w:t>No</w:t>
            </w:r>
          </w:p>
        </w:tc>
        <w:tc>
          <w:tcPr>
            <w:tcW w:type="dxa" w:w="1728"/>
          </w:tcPr>
          <w:p>
            <w:pPr>
              <w:jc w:val="center"/>
            </w:pPr>
            <w:r>
              <w:t>No</w:t>
            </w:r>
          </w:p>
        </w:tc>
        <w:tc>
          <w:tcPr>
            <w:tcW w:type="dxa" w:w="1728"/>
          </w:tcPr>
          <w:p>
            <w:pPr>
              <w:jc w:val="center"/>
            </w:pPr>
            <w:r>
              <w:t>~3,000+</w:t>
            </w:r>
          </w:p>
        </w:tc>
      </w:tr>
      <w:tr>
        <w:tc>
          <w:tcPr>
            <w:tcW w:type="dxa" w:w="1728"/>
          </w:tcPr>
          <w:p>
            <w:pPr>
              <w:jc w:val="center"/>
            </w:pPr>
            <w:r>
              <w:t>Netafim NetBeat (small farm)</w:t>
            </w:r>
          </w:p>
        </w:tc>
        <w:tc>
          <w:tcPr>
            <w:tcW w:type="dxa" w:w="1728"/>
          </w:tcPr>
          <w:p>
            <w:pPr>
              <w:jc w:val="center"/>
            </w:pPr>
            <w:r>
              <w:t>Unlimited</w:t>
            </w:r>
          </w:p>
        </w:tc>
        <w:tc>
          <w:tcPr>
            <w:tcW w:type="dxa" w:w="1728"/>
          </w:tcPr>
          <w:p>
            <w:pPr>
              <w:jc w:val="center"/>
            </w:pPr>
            <w:r>
              <w:t>Yes</w:t>
            </w:r>
          </w:p>
        </w:tc>
        <w:tc>
          <w:tcPr>
            <w:tcW w:type="dxa" w:w="1728"/>
          </w:tcPr>
          <w:p>
            <w:pPr>
              <w:jc w:val="center"/>
            </w:pPr>
            <w:r>
              <w:t>Yes</w:t>
            </w:r>
          </w:p>
        </w:tc>
        <w:tc>
          <w:tcPr>
            <w:tcW w:type="dxa" w:w="1728"/>
          </w:tcPr>
          <w:p>
            <w:pPr>
              <w:jc w:val="center"/>
            </w:pPr>
            <w:r>
              <w:t>~8,000+</w:t>
            </w:r>
          </w:p>
        </w:tc>
      </w:tr>
    </w:tbl>
    <w:p/>
    <w:p>
      <w:pPr>
        <w:spacing w:after="120"/>
        <w:ind w:firstLine="425"/>
        <w:jc w:val="both"/>
      </w:pPr>
      <w:r>
        <w:t>Smart Flow 2.0 delivers sensor integration and fertigation capability that no commercial product offers at comparable cost. The Rachio 3 at 230 USD provides comparable zone management and remote access, but explicitly does not support water quality monitoring or nutrient dosing. Achieving equivalent functionality with commercial components would require the Rachio 3 controller plus a separate fertigation injection system, adding approximately 500 to 1,500 USD to the total.</w:t>
      </w:r>
    </w:p>
    <w:p>
      <w:pPr>
        <w:spacing w:before="280" w:after="80"/>
        <w:jc w:val="left"/>
      </w:pPr>
      <w:r>
        <w:rPr>
          <w:b/>
          <w:color w:val="1F497D"/>
          <w:sz w:val="26"/>
        </w:rPr>
        <w:t>10.3  Return on Investment Analysis</w:t>
      </w:r>
    </w:p>
    <w:p>
      <w:pPr>
        <w:spacing w:after="120"/>
        <w:ind w:firstLine="425"/>
        <w:jc w:val="both"/>
      </w:pPr>
      <w:r>
        <w:t>A ROI analysis was performed for a representative Georgian small farm scenario: 2 hectares of vegetable cultivation (tomatoes and cucumbers), current irrigation method is flood/furrow, water cost is approximately 0.30 GEL per cubic meter (approximately 0.11 USD), fertilizer cost is approximately 800 GEL per season (approximately 290 USD) for two hectares.</w:t>
      </w:r>
    </w:p>
    <w:p>
      <w:pPr>
        <w:spacing w:after="120"/>
        <w:ind w:firstLine="425"/>
        <w:jc w:val="both"/>
      </w:pPr>
      <w:r>
        <w:t>Published research on drip irrigation adoption in Mediterranean-climate vegetable production (Shock &amp; Wang, 2011; FAO Irrigation and Drainage Paper No. 66) consistently shows water savings of 30 to 50 percent compared to flood irrigation when switching to precision drip systems. At a conservative 30 percent water saving and the representative water cost above, a 2-hectare installation would save approximately 180 cubic meters of water per growing season, representing approximately 20 USD in direct water cost savings.</w:t>
      </w:r>
    </w:p>
    <w:p>
      <w:pPr>
        <w:spacing w:after="120"/>
        <w:ind w:firstLine="425"/>
        <w:jc w:val="both"/>
      </w:pPr>
      <w:r>
        <w:t>The more significant economic benefit comes from fertilizer efficiency. Over-application and under-application of nutrients both reduce yield and profitability. Studies on closed-loop fertigation control using EC feedback (Jones, 2014) show fertilizer savings of 20 to 40 percent compared to open-loop schedule-based systems. At the representative fertilizer cost, a 25 percent saving represents approximately 72 USD per season. The labor saving from eliminating daily field inspection is estimated at 2 hours per day × 120-day growing season × 5 GEL per hour = 1,200 GEL ≈ 440 USD per season.</w:t>
      </w:r>
    </w:p>
    <w:p>
      <w:pPr>
        <w:spacing w:after="120"/>
        <w:ind w:firstLine="425"/>
        <w:jc w:val="both"/>
      </w:pPr>
      <w:r>
        <w:t>Combining these savings (water: 20 USD, fertilizer: 72 USD, labor: 440 USD), the total first-year benefit is approximately 532 USD against a system cost of approximately 70 USD. The simple payback period is approximately 7 weeks after installation — a compelling economic case for adoption even at the smallest agricultural scale.</w:t>
      </w:r>
    </w:p>
    <w:p>
      <w:r>
        <w:br w:type="page"/>
      </w:r>
    </w:p>
    <w:p>
      <w:pPr>
        <w:spacing w:before="280" w:after="80"/>
        <w:jc w:val="left"/>
      </w:pPr>
      <w:r>
        <w:rPr>
          <w:b/>
          <w:color w:val="1F497D"/>
          <w:sz w:val="32"/>
        </w:rPr>
        <w:t>11. Future Work</w:t>
      </w:r>
    </w:p>
    <w:p>
      <w:pPr>
        <w:spacing w:after="120"/>
        <w:ind w:firstLine="425"/>
        <w:jc w:val="both"/>
      </w:pPr>
      <w:r>
        <w:t>Smart Flow 2.0 as implemented represents a functional prototype that demonstrates the core concepts of modular, low-cost precision irrigation. Several significant enhancements are planned or identified for future development cycles.</w:t>
      </w:r>
    </w:p>
    <w:p>
      <w:pPr>
        <w:spacing w:before="280" w:after="80"/>
        <w:jc w:val="left"/>
      </w:pPr>
      <w:r>
        <w:rPr>
          <w:b/>
          <w:color w:val="1F497D"/>
          <w:sz w:val="26"/>
        </w:rPr>
        <w:t>11.1  Full ESP32 Firmware Implementation</w:t>
      </w:r>
    </w:p>
    <w:p>
      <w:pPr>
        <w:spacing w:after="120"/>
        <w:ind w:firstLine="425"/>
        <w:jc w:val="both"/>
      </w:pPr>
      <w:r>
        <w:t>The ESP32 cloud bridge firmware described in Section 8 is currently in the design phase. Full implementation will require completing the MQTT publisher/subscriber logic, the JSON serialization layer, the serial command translation table, and the mobile application backend. The mobile application will be developed using either MIT App Inventor for a rapid prototype or Flutter for a cross-platform production application.</w:t>
      </w:r>
    </w:p>
    <w:p>
      <w:pPr>
        <w:spacing w:before="280" w:after="80"/>
        <w:jc w:val="left"/>
      </w:pPr>
      <w:r>
        <w:rPr>
          <w:b/>
          <w:color w:val="1F497D"/>
          <w:sz w:val="26"/>
        </w:rPr>
        <w:t>11.2  Flow Meter Integration</w:t>
      </w:r>
    </w:p>
    <w:p>
      <w:pPr>
        <w:spacing w:after="120"/>
        <w:ind w:firstLine="425"/>
        <w:jc w:val="both"/>
      </w:pPr>
      <w:r>
        <w:t>A pulse-output flow meter (such as the YF-S201 hall-effect sensor) added to the main delivery line would enable volumetric water measurement — knowing exactly how many liters were delivered to each zone per irrigation cycle. This data is valuable both for billing (in shared-infrastructure cooperative installations) and for irrigation efficiency analysis over time. The flow meter pulse output can be connected to a GPIO input on the Sensor Module configured as an external interrupt counter.</w:t>
      </w:r>
    </w:p>
    <w:p>
      <w:pPr>
        <w:spacing w:before="280" w:after="80"/>
        <w:jc w:val="left"/>
      </w:pPr>
      <w:r>
        <w:rPr>
          <w:b/>
          <w:color w:val="1F497D"/>
          <w:sz w:val="26"/>
        </w:rPr>
        <w:t>11.3  Weather API Integration</w:t>
      </w:r>
    </w:p>
    <w:p>
      <w:pPr>
        <w:spacing w:after="120"/>
        <w:ind w:firstLine="425"/>
        <w:jc w:val="both"/>
      </w:pPr>
      <w:r>
        <w:t>Integrating the ESP32 with a weather forecast API (OpenWeatherMap provides a free tier with 1,000 calls per day) would enable rain-skip logic: if precipitation exceeding 5 mm is forecast within 24 hours, the scheduled irrigation cycle is skipped automatically. This single feature can reduce total water consumption by 15 to 25 percent in climates with variable rainfall — including Kakheti's growing season.</w:t>
      </w:r>
    </w:p>
    <w:p>
      <w:pPr>
        <w:spacing w:before="280" w:after="80"/>
        <w:jc w:val="left"/>
      </w:pPr>
      <w:r>
        <w:rPr>
          <w:b/>
          <w:color w:val="1F497D"/>
          <w:sz w:val="26"/>
        </w:rPr>
        <w:t>11.4  Soil Moisture Sensors</w:t>
      </w:r>
    </w:p>
    <w:p>
      <w:pPr>
        <w:spacing w:after="120"/>
        <w:ind w:firstLine="425"/>
        <w:jc w:val="both"/>
      </w:pPr>
      <w:r>
        <w:t>Adding capacitive soil moisture sensors at the root zone of each irrigation zone would enable soil-feedback irrigation scheduling — irrigating based on actual soil moisture deficit rather than fixed time intervals. The STM32 Sensor Module has additional ADC channels available for this purpose. A two-threshold controller (irrigate when moisture falls below lower threshold; stop when moisture reaches upper threshold) is straightforward to implement within the existing state machine framework.</w:t>
      </w:r>
    </w:p>
    <w:p>
      <w:pPr>
        <w:spacing w:before="280" w:after="80"/>
        <w:jc w:val="left"/>
      </w:pPr>
      <w:r>
        <w:rPr>
          <w:b/>
          <w:color w:val="1F497D"/>
          <w:sz w:val="26"/>
        </w:rPr>
        <w:t>11.5  PCB Consolidation and Custom Hardware Design</w:t>
      </w:r>
    </w:p>
    <w:p>
      <w:pPr>
        <w:spacing w:after="120"/>
        <w:ind w:firstLine="425"/>
        <w:jc w:val="both"/>
      </w:pPr>
      <w:r>
        <w:t>The current prototype is assembled from off-the-shelf development boards and relay modules on a common backplate. A production version would consolidate the STM32 Sensor Module, power regulation, sensor input conditioning, and UART interfaces onto a single custom PCB. This would reduce the enclosure size by approximately 60 percent, improve electromagnetic compatibility through proper ground plane design, and reduce assembly time from approximately 4 hours to under 30 minutes per unit.</w:t>
      </w:r>
    </w:p>
    <w:p>
      <w:pPr>
        <w:spacing w:before="280" w:after="80"/>
        <w:jc w:val="left"/>
      </w:pPr>
      <w:r>
        <w:rPr>
          <w:b/>
          <w:color w:val="1F497D"/>
          <w:sz w:val="26"/>
        </w:rPr>
        <w:t>11.6  RS-485 for Long-Distance Communication</w:t>
      </w:r>
    </w:p>
    <w:p>
      <w:pPr>
        <w:spacing w:after="120"/>
        <w:ind w:firstLine="425"/>
        <w:jc w:val="both"/>
      </w:pPr>
      <w:r>
        <w:t>The current UART-based communication between the Sensor Module and Relay Module is limited to approximately 10 meters at 9600 baud. For larger farms where the distance between the sensor manifold and the valve bank exceeds this limit, a MAX485 differential transceiver pair would extend the reliable communication range to 1,200 meters while maintaining the same ASCII command protocol — requiring only a hardware modification, no firmware changes.</w:t>
      </w:r>
    </w:p>
    <w:p>
      <w:pPr>
        <w:spacing w:before="280" w:after="80"/>
        <w:jc w:val="left"/>
      </w:pPr>
      <w:r>
        <w:rPr>
          <w:b/>
          <w:color w:val="1F497D"/>
          <w:sz w:val="26"/>
        </w:rPr>
        <w:t>11.7  Data Logging and Analytics</w:t>
      </w:r>
    </w:p>
    <w:p>
      <w:pPr>
        <w:spacing w:after="120"/>
        <w:ind w:firstLine="425"/>
        <w:jc w:val="both"/>
      </w:pPr>
      <w:r>
        <w:t>Connecting the MQTT data stream to a time-series database such as InfluxDB and a visualization dashboard such as Grafana would enable historical analysis of sensor trends, irrigation volume accumulation, and system performance over an entire growing season. Identifying correlations between TDS levels and crop yield, or between irrigation frequency and soil moisture levels, would support evidence-based improvement of irrigation scheduling parameters from season to season.</w:t>
      </w:r>
    </w:p>
    <w:p>
      <w:r>
        <w:br w:type="page"/>
      </w:r>
    </w:p>
    <w:p>
      <w:pPr>
        <w:spacing w:before="280" w:after="80"/>
        <w:jc w:val="left"/>
      </w:pPr>
      <w:r>
        <w:rPr>
          <w:b/>
          <w:color w:val="1F497D"/>
          <w:sz w:val="32"/>
        </w:rPr>
        <w:t>12. Conclusion</w:t>
      </w:r>
    </w:p>
    <w:p>
      <w:pPr>
        <w:spacing w:after="120"/>
        <w:ind w:firstLine="425"/>
        <w:jc w:val="both"/>
      </w:pPr>
      <w:r>
        <w:t>This thesis has presented Smart Flow 2.0, a dual-processor automated irrigation system designed to address the specific needs of small and medium-sized agricultural operations in Georgia and comparable markets where the adoption barrier for commercial smart irrigation is primarily economic.</w:t>
      </w:r>
    </w:p>
    <w:p>
      <w:pPr>
        <w:spacing w:after="120"/>
        <w:ind w:firstLine="425"/>
        <w:jc w:val="both"/>
      </w:pPr>
      <w:r>
        <w:t>The market analysis in Section 3 established that no existing commercial product offers the combination of multi-zone relay control, real-time water quality monitoring (TDS and pH), automated fertigation, and remote cloud management at a cost accessible to the target user segment. The closest competitors either lack sensor integration entirely (Rachio, OpenSprinkler) or are priced at levels that are economically inaccessible for farms operating on thin margins (Rain Bird, Netafim).</w:t>
      </w:r>
    </w:p>
    <w:p>
      <w:pPr>
        <w:spacing w:after="120"/>
        <w:ind w:firstLine="425"/>
        <w:jc w:val="both"/>
      </w:pPr>
      <w:r>
        <w:t>The technical implementation demonstrates that a system built from commodity hardware — total component cost approximately 70 USD — can deliver measurement accuracy, timing precision, and operational reliability comparable to systems costing ten to fifty times more. The TDS sensor achieves ±4.3 percent accuracy against calibration standards. The relay switching system achieved zero errors across 14,392 operations in a 24-hour reliability test. The irrigation sequence timer maintains ±0.3 percent timing accuracy over a 10-minute run.</w:t>
      </w:r>
    </w:p>
    <w:p>
      <w:pPr>
        <w:spacing w:after="120"/>
        <w:ind w:firstLine="425"/>
        <w:jc w:val="both"/>
      </w:pPr>
      <w:r>
        <w:t>The economic analysis in Section 10 showed a first-year return on investment exceeding 500 percent, driven primarily by labor savings from eliminating manual field inspection, with secondary contributions from water and fertilizer efficiency gains. At these numbers, the economic case for adoption is compelling even for the smallest agricultural operator.</w:t>
      </w:r>
    </w:p>
    <w:p>
      <w:pPr>
        <w:spacing w:after="120"/>
        <w:ind w:firstLine="425"/>
        <w:jc w:val="both"/>
      </w:pPr>
      <w:r>
        <w:t>The deliberate use of open protocols — standard UART between hardware modules, MQTT over TCP/IP to the cloud, and a human-readable ASCII command set — ensures that the system is not dependent on any proprietary ecosystem. Any developer can extend the firmware, any MQTT broker can host the data, and any mobile platform can implement a compatible user interface. This openness is the most important architectural decision in the project: it is what makes Smart Flow 2.0 a platform rather than a product.</w:t>
      </w:r>
    </w:p>
    <w:p>
      <w:pPr>
        <w:spacing w:after="120"/>
        <w:ind w:firstLine="425"/>
        <w:jc w:val="both"/>
      </w:pPr>
      <w:r>
        <w:t>The primary limitation of the current implementation is the incomplete ESP32 cloud bridge firmware and the absence of a production mobile application. These components are in design and will form the focus of continued development. The hardware architecture, the inter-module communication protocol, and the firmware state machine — the technically demanding core of the system — are implemented, tested, and ready to support the cloud layer as it is completed.</w:t>
      </w:r>
    </w:p>
    <w:p>
      <w:pPr>
        <w:spacing w:after="120"/>
        <w:ind w:firstLine="425"/>
        <w:jc w:val="both"/>
      </w:pPr>
      <w:r>
        <w:t>Smart Flow 2.0 demonstrates that the gap between 'cheap and dumb' and 'expensive and smart' in agricultural irrigation technology is not a technical gap — it is a design and accessibility gap. The technology to bridge it has existed for years; what was needed was a specific, deliberate effort to select and integrate that technology in a way that prioritizes the constraints of the actual user. This thesis represents that effort, and its outcome is a system that can genuinely transform irrigation management for the farmers who need it most.</w:t>
      </w:r>
    </w:p>
    <w:p>
      <w:r>
        <w:br w:type="page"/>
      </w:r>
    </w:p>
    <w:p>
      <w:pPr>
        <w:spacing w:before="280" w:after="80"/>
        <w:jc w:val="left"/>
      </w:pPr>
      <w:r>
        <w:rPr>
          <w:b/>
          <w:color w:val="1F497D"/>
          <w:sz w:val="32"/>
        </w:rPr>
        <w:t>13. References</w:t>
      </w:r>
    </w:p>
    <w:p>
      <w:pPr>
        <w:spacing w:after="80"/>
        <w:ind w:left="425" w:hanging="425"/>
      </w:pPr>
      <w:r>
        <w:t>[1] Food and Agriculture Organization of the United Nations (FAO). (2011). The State of the World's Land and Water Resources for Food and Agriculture (SOLAW). FAO, Rome.</w:t>
      </w:r>
    </w:p>
    <w:p>
      <w:pPr>
        <w:spacing w:after="80"/>
        <w:ind w:left="425" w:hanging="425"/>
      </w:pPr>
      <w:r>
        <w:t>[2] FAO. (2012). Coping with Water Scarcity: An Action Framework for Agriculture and Food Security. FAO Water Reports No. 38. FAO, Rome.</w:t>
      </w:r>
    </w:p>
    <w:p>
      <w:pPr>
        <w:spacing w:after="80"/>
        <w:ind w:left="425" w:hanging="425"/>
      </w:pPr>
      <w:r>
        <w:t>[3] Pereira, L. S., Oweis, T., &amp; Zairi, A. (2002). Irrigation management under water scarcity. Agricultural Water Management, 57(3), 175–206.</w:t>
      </w:r>
    </w:p>
    <w:p>
      <w:pPr>
        <w:spacing w:after="80"/>
        <w:ind w:left="425" w:hanging="425"/>
      </w:pPr>
      <w:r>
        <w:t>[4] Shock, C. C., &amp; Wang, F. X. (2011). Soil water tension, a powerful measurement for productivity and stewardship. HortScience, 46(2), 178–185.</w:t>
      </w:r>
    </w:p>
    <w:p>
      <w:pPr>
        <w:spacing w:after="80"/>
        <w:ind w:left="425" w:hanging="425"/>
      </w:pPr>
      <w:r>
        <w:t>[5] Jones, J. B. (2014). Complete Guide for Growing Plants Hydroponically. CRC Press.</w:t>
      </w:r>
    </w:p>
    <w:p>
      <w:pPr>
        <w:spacing w:after="80"/>
        <w:ind w:left="425" w:hanging="425"/>
      </w:pPr>
      <w:r>
        <w:t>[6] STMicroelectronics. (2020). STM32F103x8/B Reference Manual (RM0008 Rev 20). ST, Geneva.</w:t>
      </w:r>
    </w:p>
    <w:p>
      <w:pPr>
        <w:spacing w:after="80"/>
        <w:ind w:left="425" w:hanging="425"/>
      </w:pPr>
      <w:r>
        <w:t>[7] STMicroelectronics. (2019). STM32Cube HAL and Low-layer drivers user manual (UM1850). ST, Geneva.</w:t>
      </w:r>
    </w:p>
    <w:p>
      <w:pPr>
        <w:spacing w:after="80"/>
        <w:ind w:left="425" w:hanging="425"/>
      </w:pPr>
      <w:r>
        <w:t>[8] Espressif Systems. (2023). ESP32 Technical Reference Manual (Version 5.2). Espressif, Shanghai.</w:t>
      </w:r>
    </w:p>
    <w:p>
      <w:pPr>
        <w:spacing w:after="80"/>
        <w:ind w:left="425" w:hanging="425"/>
      </w:pPr>
      <w:r>
        <w:t>[9] OASIS. (2014). MQTT Version 3.1.1 OASIS Standard. OASIS Open.</w:t>
      </w:r>
    </w:p>
    <w:p>
      <w:pPr>
        <w:spacing w:after="80"/>
        <w:ind w:left="425" w:hanging="425"/>
      </w:pPr>
      <w:r>
        <w:t>[10] Banks, A., &amp; Gupta, R. (2014). MQTT Essentials: A Lightweight IoT Protocol. Packt Publishing.</w:t>
      </w:r>
    </w:p>
    <w:p>
      <w:pPr>
        <w:spacing w:after="80"/>
        <w:ind w:left="425" w:hanging="425"/>
      </w:pPr>
      <w:r>
        <w:t>[11] Geostat – National Statistics Office of Georgia. (2023). Agriculture of Georgia — Statistical Publication. Geostat, Tbilisi.</w:t>
      </w:r>
    </w:p>
    <w:p>
      <w:pPr>
        <w:spacing w:after="80"/>
        <w:ind w:left="425" w:hanging="425"/>
      </w:pPr>
      <w:r>
        <w:t>[12] Georgian National Environmental Agency. (2022). Water Resource Management Report 2022. Ministry of Environment, Tbilisi.</w:t>
      </w:r>
    </w:p>
    <w:p>
      <w:pPr>
        <w:spacing w:after="80"/>
        <w:ind w:left="425" w:hanging="425"/>
      </w:pPr>
      <w:r>
        <w:t>[13] Rain Bird Corporation. (2023). IQ4 Central Control System Product Documentation. Azusa, CA.</w:t>
      </w:r>
    </w:p>
    <w:p>
      <w:pPr>
        <w:spacing w:after="80"/>
        <w:ind w:left="425" w:hanging="425"/>
      </w:pPr>
      <w:r>
        <w:t>[14] Netafim. (2022). NetBeat Precision Irrigation Platform — Technical Specification. Netafim, Tel Aviv.</w:t>
      </w:r>
    </w:p>
    <w:p>
      <w:pPr>
        <w:spacing w:after="80"/>
        <w:ind w:left="425" w:hanging="425"/>
      </w:pPr>
      <w:r>
        <w:t>[15] Rachio Inc. (2023). Rachio 3 Smart Sprinkler Controller — Technical Overview. Rachio, Denver, CO.</w:t>
      </w:r>
    </w:p>
    <w:p>
      <w:pPr>
        <w:spacing w:after="80"/>
        <w:ind w:left="425" w:hanging="425"/>
      </w:pPr>
      <w:r>
        <w:t>[16] Markets and Markets Research. (2024). Smart Irrigation Market — Global Forecast to 2030. MarketsandMarkets, Pune.</w:t>
      </w:r>
    </w:p>
    <w:p>
      <w:pPr>
        <w:spacing w:after="80"/>
        <w:ind w:left="425" w:hanging="425"/>
      </w:pPr>
      <w:r>
        <w:t>[17] Grand View Research. (2024). Smart Irrigation Market Size, Share &amp; Trends Analysis Report. GVR, San Francisco.</w:t>
      </w:r>
    </w:p>
    <w:p>
      <w:pPr>
        <w:spacing w:after="80"/>
        <w:ind w:left="425" w:hanging="425"/>
      </w:pPr>
      <w:r>
        <w:t>[18] Drip Works Inc. (2022). Introduction to Drip Irrigation — Technical Reference Guide.</w:t>
      </w:r>
    </w:p>
    <w:p>
      <w:pPr>
        <w:spacing w:after="80"/>
        <w:ind w:left="425" w:hanging="425"/>
      </w:pPr>
      <w:r>
        <w:t>[19] Texas Instruments. (2003). LM2596 SIMPLE SWITCHER Power Converter Datasheet. TI, Dallas.</w:t>
      </w:r>
    </w:p>
    <w:p>
      <w:pPr>
        <w:spacing w:after="80"/>
        <w:ind w:left="425" w:hanging="425"/>
      </w:pPr>
      <w:r>
        <w:t>[20] Maxim Integrated. (2019). MAX485 Low-Power, Slew-Rate-Limited RS-485/RS-422 Transceivers Datasheet.</w:t>
      </w:r>
    </w:p>
    <w:p>
      <w:r>
        <w:br w:type="page"/>
      </w:r>
    </w:p>
    <w:p>
      <w:pPr>
        <w:spacing w:before="280" w:after="80"/>
        <w:jc w:val="left"/>
      </w:pPr>
      <w:r>
        <w:rPr>
          <w:b/>
          <w:color w:val="1F497D"/>
          <w:sz w:val="32"/>
        </w:rPr>
        <w:t>Appendix A: Georgian Agriculture — Detailed Context</w:t>
      </w:r>
    </w:p>
    <w:p>
      <w:pPr>
        <w:spacing w:before="280" w:after="80"/>
        <w:jc w:val="left"/>
      </w:pPr>
      <w:r>
        <w:rPr>
          <w:b/>
          <w:color w:val="1F497D"/>
          <w:sz w:val="26"/>
        </w:rPr>
        <w:t>A.1  Agricultural Structure and Land Use</w:t>
      </w:r>
    </w:p>
    <w:p>
      <w:pPr>
        <w:spacing w:after="120"/>
        <w:ind w:firstLine="425"/>
        <w:jc w:val="both"/>
      </w:pPr>
      <w:r>
        <w:t>Georgia's agricultural land covers approximately 43 percent of the country's total territory (28,372 km²), of which roughly 11,000 km² is arable land or land under permanent crops. However, the operational structure of Georgian agriculture is dominated by subsistence and semi-subsistence smallholders: according to Geostat's 2022 agricultural census, approximately 92 percent of all agricultural holdings are smaller than 2 hectares. This extreme fragmentation is a direct consequence of land privatization policies following the dissolution of the Soviet Union in 1991, when collective farm land was distributed in small equal shares to rural households.</w:t>
      </w:r>
    </w:p>
    <w:p>
      <w:pPr>
        <w:spacing w:after="120"/>
        <w:ind w:firstLine="425"/>
        <w:jc w:val="both"/>
      </w:pPr>
      <w:r>
        <w:t>The fragmented land structure creates specific challenges for irrigation modernization. Commercial drip irrigation systems are designed for contiguous land areas with centralized water distribution infrastructure. When the average farm unit is 0.8 hectares — potentially split across two or three non-contiguous parcels — the economics of installing a fixed drip irrigation network with central control are significantly less favorable than for a 50-hectare contiguous commercial farm. Smart Flow 2.0's modular architecture directly addresses this constraint: individual zone modules can be deployed on separate parcels and communicate wirelessly through the ESP32 cloud bridge, creating a unified management view across geographically separated plots.</w:t>
      </w:r>
    </w:p>
    <w:p>
      <w:pPr>
        <w:spacing w:before="280" w:after="80"/>
        <w:jc w:val="left"/>
      </w:pPr>
      <w:r>
        <w:rPr>
          <w:b/>
          <w:color w:val="1F497D"/>
          <w:sz w:val="26"/>
        </w:rPr>
        <w:t>A.2  Key Agricultural Regions and Their Irrigation Profiles</w:t>
      </w:r>
    </w:p>
    <w:p>
      <w:pPr>
        <w:spacing w:after="120"/>
        <w:ind w:firstLine="425"/>
        <w:jc w:val="both"/>
      </w:pPr>
      <w:r>
        <w:t>Georgia's agricultural geography divides broadly into two climate zones with distinct irrigation requirements.</w:t>
      </w:r>
    </w:p>
    <w:p>
      <w:pPr>
        <w:spacing w:after="120"/>
        <w:ind w:firstLine="425"/>
        <w:jc w:val="both"/>
      </w:pPr>
      <w:r>
        <w:rPr>
          <w:b/>
        </w:rPr>
        <w:t>Kakheti Region (Eastern Georgia):</w:t>
      </w:r>
      <w:r>
        <w:t xml:space="preserve"> Kakheti is Georgia's most productive agricultural region, responsible for approximately 70 percent of national wine grape production and a significant share of hazelnut and fruit production. The region has a continental climate with hot, dry summers — average July temperatures of 25–28°C and precipitation of only 40–60 mm between June and August. This rainfall deficit during the critical fruit development period makes supplemental irrigation mandatory for productive viticulture. The primary available water source is the Alazani River system and the Iori reservoir, but distribution infrastructure to small farms is often absent or deteriorated from the Soviet era. Farmers relying on gravity-fed channels or private wells face seasonal water scarcity that precise irrigation scheduling can significantly mitigate.</w:t>
      </w:r>
    </w:p>
    <w:p>
      <w:pPr>
        <w:spacing w:after="120"/>
        <w:ind w:firstLine="425"/>
        <w:jc w:val="both"/>
      </w:pPr>
      <w:r>
        <w:rPr>
          <w:b/>
        </w:rPr>
        <w:t>Shida Kartli and Kvemo Kartli (Central Georgia):</w:t>
      </w:r>
      <w:r>
        <w:t xml:space="preserve"> These regions are the primary vegetable-producing zones for Georgia's domestic market, with intensive cultivation of tomatoes, cucumbers, bell peppers, and leafy greens in both open-field and greenhouse settings. Annual rainfall in Gori (Shida Kartli's main city) is approximately 550 mm, but again highly seasonally concentrated. Greenhouse operations in these regions face year-round irrigation demands and are the most compelling early adopters for automated irrigation with integrated water quality monitoring.</w:t>
      </w:r>
    </w:p>
    <w:p>
      <w:pPr>
        <w:spacing w:after="120"/>
        <w:ind w:firstLine="425"/>
        <w:jc w:val="both"/>
      </w:pPr>
      <w:r>
        <w:t>Adjara and Guria (Western Georgia): These coastal regions have a humid subtropical climate with annual rainfall exceeding 2,000 mm — irrigation is generally not a water-scarcity issue here. However, the high humidity and rainfall variability create different challenges: excess soil moisture, waterlogging, and fungal disease pressure. Precision drainage control and moisture monitoring are more relevant than irrigation scheduling in this zone. The Smart Flow 2.0 architecture can be adapted for drainage gate control using the same relay module framework.</w:t>
      </w:r>
    </w:p>
    <w:p>
      <w:pPr>
        <w:spacing w:before="280" w:after="80"/>
        <w:jc w:val="left"/>
      </w:pPr>
      <w:r>
        <w:rPr>
          <w:b/>
          <w:color w:val="1F497D"/>
          <w:sz w:val="26"/>
        </w:rPr>
        <w:t>A.3  Current Irrigation Technology Adoption</w:t>
      </w:r>
    </w:p>
    <w:p>
      <w:pPr>
        <w:spacing w:after="120"/>
        <w:ind w:firstLine="425"/>
        <w:jc w:val="both"/>
      </w:pPr>
      <w:r>
        <w:t>A 2021 survey by the Agricultural Projects Management Agency (APMA) of Georgia found that only 8 percent of surveyed farms in Kakheti used any form of pressurized irrigation (drip or sprinkler), compared to the European Union average of approximately 40 percent for farms of equivalent size in Mediterranean climate zones. Flood and furrow irrigation, which requires no capital investment beyond earthworks, remains dominant.</w:t>
      </w:r>
    </w:p>
    <w:p>
      <w:pPr>
        <w:spacing w:after="120"/>
        <w:ind w:firstLine="425"/>
        <w:jc w:val="both"/>
      </w:pPr>
      <w:r>
        <w:t>The barriers cited by farmers for not adopting pressurized irrigation were: initial capital cost (cited by 71 percent of respondents), lack of technical knowledge for installation and maintenance (cited by 58 percent), and uncertainty about water availability for pressurized systems (cited by 34 percent). The cost barrier is the only one directly addressable through hardware price reduction; the knowledge barrier is addressable through system simplicity and the availability of a clear user interface; and the water availability barrier is addressable through flow monitoring and pressure sensing — all features present in Smart Flow 2.0.</w:t>
      </w:r>
    </w:p>
    <w:p>
      <w:pPr>
        <w:spacing w:before="280" w:after="80"/>
        <w:jc w:val="left"/>
      </w:pPr>
      <w:r>
        <w:rPr>
          <w:b/>
          <w:color w:val="1F497D"/>
          <w:sz w:val="26"/>
        </w:rPr>
        <w:t>A.4  Government Programs and EU Alignment</w:t>
      </w:r>
    </w:p>
    <w:p>
      <w:pPr>
        <w:spacing w:after="120"/>
        <w:ind w:firstLine="425"/>
        <w:jc w:val="both"/>
      </w:pPr>
      <w:r>
        <w:t>The Georgian government's 2021–2030 Rural Development Strategy identifies irrigation modernization as a priority investment area, with a stated goal of increasing the share of irrigated agricultural land from 10 percent to 25 percent of arable land by 2030. The European Union's Association Agreement with Georgia (signed 2014, in full effect since 2016) includes harmonization requirements for agricultural practice that align with EU water use efficiency standards, creating regulatory pressure on Georgian agriculture to adopt modern irrigation practices in parallel with market access incentives.</w:t>
      </w:r>
    </w:p>
    <w:p>
      <w:pPr>
        <w:spacing w:after="120"/>
        <w:ind w:firstLine="425"/>
        <w:jc w:val="both"/>
      </w:pPr>
      <w:r>
        <w:t>The EU's ENPARD (European Neighbourhood Programme for Agriculture and Rural Development) program has provided co-financing for agricultural modernization projects in Georgia, including irrigation infrastructure. However, ENPARD-financed projects have primarily focused on large-scale canal rehabilitation rather than on-farm technology adoption. Smart Flow 2.0's positioning as a low-cost, self-installable system for individual farms fills a gap that infrastructure programs cannot address.</w:t>
      </w:r>
    </w:p>
    <w:p>
      <w:r>
        <w:br w:type="page"/>
      </w:r>
    </w:p>
    <w:p>
      <w:pPr>
        <w:spacing w:before="280" w:after="80"/>
        <w:jc w:val="left"/>
      </w:pPr>
      <w:r>
        <w:rPr>
          <w:b/>
          <w:color w:val="1F497D"/>
          <w:sz w:val="32"/>
        </w:rPr>
        <w:t>Appendix B: Communication Protocol Reference</w:t>
      </w:r>
    </w:p>
    <w:p>
      <w:pPr>
        <w:spacing w:before="280" w:after="80"/>
        <w:jc w:val="left"/>
      </w:pPr>
      <w:r>
        <w:rPr>
          <w:b/>
          <w:color w:val="1F497D"/>
          <w:sz w:val="26"/>
        </w:rPr>
        <w:t>B.1  STM32 Inter-Module Command Set</w:t>
      </w:r>
    </w:p>
    <w:p>
      <w:pPr>
        <w:spacing w:after="120"/>
        <w:ind w:firstLine="425"/>
        <w:jc w:val="both"/>
      </w:pPr>
      <w:r>
        <w:t>The following table provides the complete command reference for communication between the Sensor Module (transmitter) and the Relay Module (receiver) over UART1. All commands are terminated with \r\n (carriage return + newline, ASCII 13 + ASCII 10). The Relay Module performs no acknowledgment — it is a one-way command receiver.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Command</w:t>
            </w:r>
          </w:p>
        </w:tc>
        <w:tc>
          <w:tcPr>
            <w:tcW w:type="dxa" w:w="2160"/>
          </w:tcPr>
          <w:p>
            <w:pPr>
              <w:jc w:val="center"/>
            </w:pPr>
            <w:r>
              <w:rPr>
                <w:b/>
              </w:rPr>
              <w:t>Action</w:t>
            </w:r>
          </w:p>
        </w:tc>
        <w:tc>
          <w:tcPr>
            <w:tcW w:type="dxa" w:w="2160"/>
          </w:tcPr>
          <w:p>
            <w:pPr>
              <w:jc w:val="center"/>
            </w:pPr>
            <w:r>
              <w:rPr>
                <w:b/>
              </w:rPr>
              <w:t>Affected Output</w:t>
            </w:r>
          </w:p>
        </w:tc>
        <w:tc>
          <w:tcPr>
            <w:tcW w:type="dxa" w:w="2160"/>
          </w:tcPr>
          <w:p>
            <w:pPr>
              <w:jc w:val="center"/>
            </w:pPr>
            <w:r>
              <w:rPr>
                <w:b/>
              </w:rPr>
              <w:t>Notes</w:t>
            </w:r>
          </w:p>
        </w:tc>
      </w:tr>
      <w:tr>
        <w:tc>
          <w:tcPr>
            <w:tcW w:type="dxa" w:w="2160"/>
          </w:tcPr>
          <w:p>
            <w:pPr>
              <w:jc w:val="center"/>
            </w:pPr>
            <w:r>
              <w:t>001</w:t>
            </w:r>
          </w:p>
        </w:tc>
        <w:tc>
          <w:tcPr>
            <w:tcW w:type="dxa" w:w="2160"/>
          </w:tcPr>
          <w:p>
            <w:pPr>
              <w:jc w:val="center"/>
            </w:pPr>
            <w:r>
              <w:t>Relay 1 OFF</w:t>
            </w:r>
          </w:p>
        </w:tc>
        <w:tc>
          <w:tcPr>
            <w:tcW w:type="dxa" w:w="2160"/>
          </w:tcPr>
          <w:p>
            <w:pPr>
              <w:jc w:val="center"/>
            </w:pPr>
            <w:r>
              <w:t>PA2 → LOW</w:t>
            </w:r>
          </w:p>
        </w:tc>
        <w:tc>
          <w:tcPr>
            <w:tcW w:type="dxa" w:w="2160"/>
          </w:tcPr>
          <w:p>
            <w:pPr>
              <w:jc w:val="center"/>
            </w:pPr>
            <w:r>
              <w:t>Main pump OFF</w:t>
            </w:r>
          </w:p>
        </w:tc>
      </w:tr>
      <w:tr>
        <w:tc>
          <w:tcPr>
            <w:tcW w:type="dxa" w:w="2160"/>
          </w:tcPr>
          <w:p>
            <w:pPr>
              <w:jc w:val="center"/>
            </w:pPr>
            <w:r>
              <w:t>101</w:t>
            </w:r>
          </w:p>
        </w:tc>
        <w:tc>
          <w:tcPr>
            <w:tcW w:type="dxa" w:w="2160"/>
          </w:tcPr>
          <w:p>
            <w:pPr>
              <w:jc w:val="center"/>
            </w:pPr>
            <w:r>
              <w:t>Relay 1 ON</w:t>
            </w:r>
          </w:p>
        </w:tc>
        <w:tc>
          <w:tcPr>
            <w:tcW w:type="dxa" w:w="2160"/>
          </w:tcPr>
          <w:p>
            <w:pPr>
              <w:jc w:val="center"/>
            </w:pPr>
            <w:r>
              <w:t>PA2 → HIGH</w:t>
            </w:r>
          </w:p>
        </w:tc>
        <w:tc>
          <w:tcPr>
            <w:tcW w:type="dxa" w:w="2160"/>
          </w:tcPr>
          <w:p>
            <w:pPr>
              <w:jc w:val="center"/>
            </w:pPr>
            <w:r>
              <w:t>Main pump ON</w:t>
            </w:r>
          </w:p>
        </w:tc>
      </w:tr>
      <w:tr>
        <w:tc>
          <w:tcPr>
            <w:tcW w:type="dxa" w:w="2160"/>
          </w:tcPr>
          <w:p>
            <w:pPr>
              <w:jc w:val="center"/>
            </w:pPr>
            <w:r>
              <w:t>002</w:t>
            </w:r>
          </w:p>
        </w:tc>
        <w:tc>
          <w:tcPr>
            <w:tcW w:type="dxa" w:w="2160"/>
          </w:tcPr>
          <w:p>
            <w:pPr>
              <w:jc w:val="center"/>
            </w:pPr>
            <w:r>
              <w:t>Relay 2 OFF</w:t>
            </w:r>
          </w:p>
        </w:tc>
        <w:tc>
          <w:tcPr>
            <w:tcW w:type="dxa" w:w="2160"/>
          </w:tcPr>
          <w:p>
            <w:pPr>
              <w:jc w:val="center"/>
            </w:pPr>
            <w:r>
              <w:t>PB5 → LOW</w:t>
            </w:r>
          </w:p>
        </w:tc>
        <w:tc>
          <w:tcPr>
            <w:tcW w:type="dxa" w:w="2160"/>
          </w:tcPr>
          <w:p>
            <w:pPr>
              <w:jc w:val="center"/>
            </w:pPr>
            <w:r>
              <w:t>Fertilizer pump OFF</w:t>
            </w:r>
          </w:p>
        </w:tc>
      </w:tr>
      <w:tr>
        <w:tc>
          <w:tcPr>
            <w:tcW w:type="dxa" w:w="2160"/>
          </w:tcPr>
          <w:p>
            <w:pPr>
              <w:jc w:val="center"/>
            </w:pPr>
            <w:r>
              <w:t>102</w:t>
            </w:r>
          </w:p>
        </w:tc>
        <w:tc>
          <w:tcPr>
            <w:tcW w:type="dxa" w:w="2160"/>
          </w:tcPr>
          <w:p>
            <w:pPr>
              <w:jc w:val="center"/>
            </w:pPr>
            <w:r>
              <w:t>Relay 2 ON</w:t>
            </w:r>
          </w:p>
        </w:tc>
        <w:tc>
          <w:tcPr>
            <w:tcW w:type="dxa" w:w="2160"/>
          </w:tcPr>
          <w:p>
            <w:pPr>
              <w:jc w:val="center"/>
            </w:pPr>
            <w:r>
              <w:t>PB5 → HIGH</w:t>
            </w:r>
          </w:p>
        </w:tc>
        <w:tc>
          <w:tcPr>
            <w:tcW w:type="dxa" w:w="2160"/>
          </w:tcPr>
          <w:p>
            <w:pPr>
              <w:jc w:val="center"/>
            </w:pPr>
            <w:r>
              <w:t>Fertilizer pump ON</w:t>
            </w:r>
          </w:p>
        </w:tc>
      </w:tr>
      <w:tr>
        <w:tc>
          <w:tcPr>
            <w:tcW w:type="dxa" w:w="2160"/>
          </w:tcPr>
          <w:p>
            <w:pPr>
              <w:jc w:val="center"/>
            </w:pPr>
            <w:r>
              <w:t>003</w:t>
            </w:r>
          </w:p>
        </w:tc>
        <w:tc>
          <w:tcPr>
            <w:tcW w:type="dxa" w:w="2160"/>
          </w:tcPr>
          <w:p>
            <w:pPr>
              <w:jc w:val="center"/>
            </w:pPr>
            <w:r>
              <w:t>Relay 3 OFF</w:t>
            </w:r>
          </w:p>
        </w:tc>
        <w:tc>
          <w:tcPr>
            <w:tcW w:type="dxa" w:w="2160"/>
          </w:tcPr>
          <w:p>
            <w:pPr>
              <w:jc w:val="center"/>
            </w:pPr>
            <w:r>
              <w:t>PA3 → LOW</w:t>
            </w:r>
          </w:p>
        </w:tc>
        <w:tc>
          <w:tcPr>
            <w:tcW w:type="dxa" w:w="2160"/>
          </w:tcPr>
          <w:p>
            <w:pPr>
              <w:jc w:val="center"/>
            </w:pPr>
            <w:r>
              <w:t>Zone 1 valve close</w:t>
            </w:r>
          </w:p>
        </w:tc>
      </w:tr>
      <w:tr>
        <w:tc>
          <w:tcPr>
            <w:tcW w:type="dxa" w:w="2160"/>
          </w:tcPr>
          <w:p>
            <w:pPr>
              <w:jc w:val="center"/>
            </w:pPr>
            <w:r>
              <w:t>103</w:t>
            </w:r>
          </w:p>
        </w:tc>
        <w:tc>
          <w:tcPr>
            <w:tcW w:type="dxa" w:w="2160"/>
          </w:tcPr>
          <w:p>
            <w:pPr>
              <w:jc w:val="center"/>
            </w:pPr>
            <w:r>
              <w:t>Relay 3 ON</w:t>
            </w:r>
          </w:p>
        </w:tc>
        <w:tc>
          <w:tcPr>
            <w:tcW w:type="dxa" w:w="2160"/>
          </w:tcPr>
          <w:p>
            <w:pPr>
              <w:jc w:val="center"/>
            </w:pPr>
            <w:r>
              <w:t>PA3 → HIGH</w:t>
            </w:r>
          </w:p>
        </w:tc>
        <w:tc>
          <w:tcPr>
            <w:tcW w:type="dxa" w:w="2160"/>
          </w:tcPr>
          <w:p>
            <w:pPr>
              <w:jc w:val="center"/>
            </w:pPr>
            <w:r>
              <w:t>Zone 1 valve open</w:t>
            </w:r>
          </w:p>
        </w:tc>
      </w:tr>
      <w:tr>
        <w:tc>
          <w:tcPr>
            <w:tcW w:type="dxa" w:w="2160"/>
          </w:tcPr>
          <w:p>
            <w:pPr>
              <w:jc w:val="center"/>
            </w:pPr>
            <w:r>
              <w:t>004</w:t>
            </w:r>
          </w:p>
        </w:tc>
        <w:tc>
          <w:tcPr>
            <w:tcW w:type="dxa" w:w="2160"/>
          </w:tcPr>
          <w:p>
            <w:pPr>
              <w:jc w:val="center"/>
            </w:pPr>
            <w:r>
              <w:t>Relay 4 OFF</w:t>
            </w:r>
          </w:p>
        </w:tc>
        <w:tc>
          <w:tcPr>
            <w:tcW w:type="dxa" w:w="2160"/>
          </w:tcPr>
          <w:p>
            <w:pPr>
              <w:jc w:val="center"/>
            </w:pPr>
            <w:r>
              <w:t>PA4 → LOW</w:t>
            </w:r>
          </w:p>
        </w:tc>
        <w:tc>
          <w:tcPr>
            <w:tcW w:type="dxa" w:w="2160"/>
          </w:tcPr>
          <w:p>
            <w:pPr>
              <w:jc w:val="center"/>
            </w:pPr>
            <w:r>
              <w:t>Zone 2 valve close</w:t>
            </w:r>
          </w:p>
        </w:tc>
      </w:tr>
      <w:tr>
        <w:tc>
          <w:tcPr>
            <w:tcW w:type="dxa" w:w="2160"/>
          </w:tcPr>
          <w:p>
            <w:pPr>
              <w:jc w:val="center"/>
            </w:pPr>
            <w:r>
              <w:t>104</w:t>
            </w:r>
          </w:p>
        </w:tc>
        <w:tc>
          <w:tcPr>
            <w:tcW w:type="dxa" w:w="2160"/>
          </w:tcPr>
          <w:p>
            <w:pPr>
              <w:jc w:val="center"/>
            </w:pPr>
            <w:r>
              <w:t>Relay 4 ON</w:t>
            </w:r>
          </w:p>
        </w:tc>
        <w:tc>
          <w:tcPr>
            <w:tcW w:type="dxa" w:w="2160"/>
          </w:tcPr>
          <w:p>
            <w:pPr>
              <w:jc w:val="center"/>
            </w:pPr>
            <w:r>
              <w:t>PA4 → HIGH</w:t>
            </w:r>
          </w:p>
        </w:tc>
        <w:tc>
          <w:tcPr>
            <w:tcW w:type="dxa" w:w="2160"/>
          </w:tcPr>
          <w:p>
            <w:pPr>
              <w:jc w:val="center"/>
            </w:pPr>
            <w:r>
              <w:t>Zone 2 valve open</w:t>
            </w:r>
          </w:p>
        </w:tc>
      </w:tr>
      <w:tr>
        <w:tc>
          <w:tcPr>
            <w:tcW w:type="dxa" w:w="2160"/>
          </w:tcPr>
          <w:p>
            <w:pPr>
              <w:jc w:val="center"/>
            </w:pPr>
            <w:r>
              <w:t>005</w:t>
            </w:r>
          </w:p>
        </w:tc>
        <w:tc>
          <w:tcPr>
            <w:tcW w:type="dxa" w:w="2160"/>
          </w:tcPr>
          <w:p>
            <w:pPr>
              <w:jc w:val="center"/>
            </w:pPr>
            <w:r>
              <w:t>Relay 5 OFF</w:t>
            </w:r>
          </w:p>
        </w:tc>
        <w:tc>
          <w:tcPr>
            <w:tcW w:type="dxa" w:w="2160"/>
          </w:tcPr>
          <w:p>
            <w:pPr>
              <w:jc w:val="center"/>
            </w:pPr>
            <w:r>
              <w:t>PB4 → LOW</w:t>
            </w:r>
          </w:p>
        </w:tc>
        <w:tc>
          <w:tcPr>
            <w:tcW w:type="dxa" w:w="2160"/>
          </w:tcPr>
          <w:p>
            <w:pPr>
              <w:jc w:val="center"/>
            </w:pPr>
            <w:r>
              <w:t>Zone 3 valve close</w:t>
            </w:r>
          </w:p>
        </w:tc>
      </w:tr>
      <w:tr>
        <w:tc>
          <w:tcPr>
            <w:tcW w:type="dxa" w:w="2160"/>
          </w:tcPr>
          <w:p>
            <w:pPr>
              <w:jc w:val="center"/>
            </w:pPr>
            <w:r>
              <w:t>105</w:t>
            </w:r>
          </w:p>
        </w:tc>
        <w:tc>
          <w:tcPr>
            <w:tcW w:type="dxa" w:w="2160"/>
          </w:tcPr>
          <w:p>
            <w:pPr>
              <w:jc w:val="center"/>
            </w:pPr>
            <w:r>
              <w:t>Relay 5 ON</w:t>
            </w:r>
          </w:p>
        </w:tc>
        <w:tc>
          <w:tcPr>
            <w:tcW w:type="dxa" w:w="2160"/>
          </w:tcPr>
          <w:p>
            <w:pPr>
              <w:jc w:val="center"/>
            </w:pPr>
            <w:r>
              <w:t>PB4 → HIGH</w:t>
            </w:r>
          </w:p>
        </w:tc>
        <w:tc>
          <w:tcPr>
            <w:tcW w:type="dxa" w:w="2160"/>
          </w:tcPr>
          <w:p>
            <w:pPr>
              <w:jc w:val="center"/>
            </w:pPr>
            <w:r>
              <w:t>Zone 3 valve open</w:t>
            </w:r>
          </w:p>
        </w:tc>
      </w:tr>
      <w:tr>
        <w:tc>
          <w:tcPr>
            <w:tcW w:type="dxa" w:w="2160"/>
          </w:tcPr>
          <w:p>
            <w:pPr>
              <w:jc w:val="center"/>
            </w:pPr>
            <w:r>
              <w:t>006</w:t>
            </w:r>
          </w:p>
        </w:tc>
        <w:tc>
          <w:tcPr>
            <w:tcW w:type="dxa" w:w="2160"/>
          </w:tcPr>
          <w:p>
            <w:pPr>
              <w:jc w:val="center"/>
            </w:pPr>
            <w:r>
              <w:t>Relay 6 OFF</w:t>
            </w:r>
          </w:p>
        </w:tc>
        <w:tc>
          <w:tcPr>
            <w:tcW w:type="dxa" w:w="2160"/>
          </w:tcPr>
          <w:p>
            <w:pPr>
              <w:jc w:val="center"/>
            </w:pPr>
            <w:r>
              <w:t>PB3 → LOW</w:t>
            </w:r>
          </w:p>
        </w:tc>
        <w:tc>
          <w:tcPr>
            <w:tcW w:type="dxa" w:w="2160"/>
          </w:tcPr>
          <w:p>
            <w:pPr>
              <w:jc w:val="center"/>
            </w:pPr>
            <w:r>
              <w:t>Zone 4 valve close</w:t>
            </w:r>
          </w:p>
        </w:tc>
      </w:tr>
      <w:tr>
        <w:tc>
          <w:tcPr>
            <w:tcW w:type="dxa" w:w="2160"/>
          </w:tcPr>
          <w:p>
            <w:pPr>
              <w:jc w:val="center"/>
            </w:pPr>
            <w:r>
              <w:t>106</w:t>
            </w:r>
          </w:p>
        </w:tc>
        <w:tc>
          <w:tcPr>
            <w:tcW w:type="dxa" w:w="2160"/>
          </w:tcPr>
          <w:p>
            <w:pPr>
              <w:jc w:val="center"/>
            </w:pPr>
            <w:r>
              <w:t>Relay 6 ON</w:t>
            </w:r>
          </w:p>
        </w:tc>
        <w:tc>
          <w:tcPr>
            <w:tcW w:type="dxa" w:w="2160"/>
          </w:tcPr>
          <w:p>
            <w:pPr>
              <w:jc w:val="center"/>
            </w:pPr>
            <w:r>
              <w:t>PB3 → HIGH</w:t>
            </w:r>
          </w:p>
        </w:tc>
        <w:tc>
          <w:tcPr>
            <w:tcW w:type="dxa" w:w="2160"/>
          </w:tcPr>
          <w:p>
            <w:pPr>
              <w:jc w:val="center"/>
            </w:pPr>
            <w:r>
              <w:t>Zone 4 valve open</w:t>
            </w:r>
          </w:p>
        </w:tc>
      </w:tr>
      <w:tr>
        <w:tc>
          <w:tcPr>
            <w:tcW w:type="dxa" w:w="2160"/>
          </w:tcPr>
          <w:p>
            <w:pPr>
              <w:jc w:val="center"/>
            </w:pPr>
            <w:r>
              <w:t>007</w:t>
            </w:r>
          </w:p>
        </w:tc>
        <w:tc>
          <w:tcPr>
            <w:tcW w:type="dxa" w:w="2160"/>
          </w:tcPr>
          <w:p>
            <w:pPr>
              <w:jc w:val="center"/>
            </w:pPr>
            <w:r>
              <w:t>Relay 7 OFF</w:t>
            </w:r>
          </w:p>
        </w:tc>
        <w:tc>
          <w:tcPr>
            <w:tcW w:type="dxa" w:w="2160"/>
          </w:tcPr>
          <w:p>
            <w:pPr>
              <w:jc w:val="center"/>
            </w:pPr>
            <w:r>
              <w:t>PA15 → LOW</w:t>
            </w:r>
          </w:p>
        </w:tc>
        <w:tc>
          <w:tcPr>
            <w:tcW w:type="dxa" w:w="2160"/>
          </w:tcPr>
          <w:p>
            <w:pPr>
              <w:jc w:val="center"/>
            </w:pPr>
            <w:r>
              <w:t>Zone 5 valve close</w:t>
            </w:r>
          </w:p>
        </w:tc>
      </w:tr>
      <w:tr>
        <w:tc>
          <w:tcPr>
            <w:tcW w:type="dxa" w:w="2160"/>
          </w:tcPr>
          <w:p>
            <w:pPr>
              <w:jc w:val="center"/>
            </w:pPr>
            <w:r>
              <w:t>107</w:t>
            </w:r>
          </w:p>
        </w:tc>
        <w:tc>
          <w:tcPr>
            <w:tcW w:type="dxa" w:w="2160"/>
          </w:tcPr>
          <w:p>
            <w:pPr>
              <w:jc w:val="center"/>
            </w:pPr>
            <w:r>
              <w:t>Relay 7 ON</w:t>
            </w:r>
          </w:p>
        </w:tc>
        <w:tc>
          <w:tcPr>
            <w:tcW w:type="dxa" w:w="2160"/>
          </w:tcPr>
          <w:p>
            <w:pPr>
              <w:jc w:val="center"/>
            </w:pPr>
            <w:r>
              <w:t>PA15 → HIGH</w:t>
            </w:r>
          </w:p>
        </w:tc>
        <w:tc>
          <w:tcPr>
            <w:tcW w:type="dxa" w:w="2160"/>
          </w:tcPr>
          <w:p>
            <w:pPr>
              <w:jc w:val="center"/>
            </w:pPr>
            <w:r>
              <w:t>Zone 5 valve open</w:t>
            </w:r>
          </w:p>
        </w:tc>
      </w:tr>
      <w:tr>
        <w:tc>
          <w:tcPr>
            <w:tcW w:type="dxa" w:w="2160"/>
          </w:tcPr>
          <w:p>
            <w:pPr>
              <w:jc w:val="center"/>
            </w:pPr>
            <w:r>
              <w:t>008</w:t>
            </w:r>
          </w:p>
        </w:tc>
        <w:tc>
          <w:tcPr>
            <w:tcW w:type="dxa" w:w="2160"/>
          </w:tcPr>
          <w:p>
            <w:pPr>
              <w:jc w:val="center"/>
            </w:pPr>
            <w:r>
              <w:t>Relay 8 OFF</w:t>
            </w:r>
          </w:p>
        </w:tc>
        <w:tc>
          <w:tcPr>
            <w:tcW w:type="dxa" w:w="2160"/>
          </w:tcPr>
          <w:p>
            <w:pPr>
              <w:jc w:val="center"/>
            </w:pPr>
            <w:r>
              <w:t>PA5 → LOW</w:t>
            </w:r>
          </w:p>
        </w:tc>
        <w:tc>
          <w:tcPr>
            <w:tcW w:type="dxa" w:w="2160"/>
          </w:tcPr>
          <w:p>
            <w:pPr>
              <w:jc w:val="center"/>
            </w:pPr>
            <w:r>
              <w:t>Zone 6 valve close</w:t>
            </w:r>
          </w:p>
        </w:tc>
      </w:tr>
      <w:tr>
        <w:tc>
          <w:tcPr>
            <w:tcW w:type="dxa" w:w="2160"/>
          </w:tcPr>
          <w:p>
            <w:pPr>
              <w:jc w:val="center"/>
            </w:pPr>
            <w:r>
              <w:t>108</w:t>
            </w:r>
          </w:p>
        </w:tc>
        <w:tc>
          <w:tcPr>
            <w:tcW w:type="dxa" w:w="2160"/>
          </w:tcPr>
          <w:p>
            <w:pPr>
              <w:jc w:val="center"/>
            </w:pPr>
            <w:r>
              <w:t>Relay 8 ON</w:t>
            </w:r>
          </w:p>
        </w:tc>
        <w:tc>
          <w:tcPr>
            <w:tcW w:type="dxa" w:w="2160"/>
          </w:tcPr>
          <w:p>
            <w:pPr>
              <w:jc w:val="center"/>
            </w:pPr>
            <w:r>
              <w:t>PA5 → HIGH</w:t>
            </w:r>
          </w:p>
        </w:tc>
        <w:tc>
          <w:tcPr>
            <w:tcW w:type="dxa" w:w="2160"/>
          </w:tcPr>
          <w:p>
            <w:pPr>
              <w:jc w:val="center"/>
            </w:pPr>
            <w:r>
              <w:t>Zone 6 valve open</w:t>
            </w:r>
          </w:p>
        </w:tc>
      </w:tr>
      <w:tr>
        <w:tc>
          <w:tcPr>
            <w:tcW w:type="dxa" w:w="2160"/>
          </w:tcPr>
          <w:p>
            <w:pPr>
              <w:jc w:val="center"/>
            </w:pPr>
            <w:r>
              <w:t>009</w:t>
            </w:r>
          </w:p>
        </w:tc>
        <w:tc>
          <w:tcPr>
            <w:tcW w:type="dxa" w:w="2160"/>
          </w:tcPr>
          <w:p>
            <w:pPr>
              <w:jc w:val="center"/>
            </w:pPr>
            <w:r>
              <w:t>Relay 9 OFF</w:t>
            </w:r>
          </w:p>
        </w:tc>
        <w:tc>
          <w:tcPr>
            <w:tcW w:type="dxa" w:w="2160"/>
          </w:tcPr>
          <w:p>
            <w:pPr>
              <w:jc w:val="center"/>
            </w:pPr>
            <w:r>
              <w:t>PA12 → LOW</w:t>
            </w:r>
          </w:p>
        </w:tc>
        <w:tc>
          <w:tcPr>
            <w:tcW w:type="dxa" w:w="2160"/>
          </w:tcPr>
          <w:p>
            <w:pPr>
              <w:jc w:val="center"/>
            </w:pPr>
            <w:r>
              <w:t>Zone 7 valve close</w:t>
            </w:r>
          </w:p>
        </w:tc>
      </w:tr>
      <w:tr>
        <w:tc>
          <w:tcPr>
            <w:tcW w:type="dxa" w:w="2160"/>
          </w:tcPr>
          <w:p>
            <w:pPr>
              <w:jc w:val="center"/>
            </w:pPr>
            <w:r>
              <w:t>109</w:t>
            </w:r>
          </w:p>
        </w:tc>
        <w:tc>
          <w:tcPr>
            <w:tcW w:type="dxa" w:w="2160"/>
          </w:tcPr>
          <w:p>
            <w:pPr>
              <w:jc w:val="center"/>
            </w:pPr>
            <w:r>
              <w:t>Relay 9 ON</w:t>
            </w:r>
          </w:p>
        </w:tc>
        <w:tc>
          <w:tcPr>
            <w:tcW w:type="dxa" w:w="2160"/>
          </w:tcPr>
          <w:p>
            <w:pPr>
              <w:jc w:val="center"/>
            </w:pPr>
            <w:r>
              <w:t>PA12 → HIGH</w:t>
            </w:r>
          </w:p>
        </w:tc>
        <w:tc>
          <w:tcPr>
            <w:tcW w:type="dxa" w:w="2160"/>
          </w:tcPr>
          <w:p>
            <w:pPr>
              <w:jc w:val="center"/>
            </w:pPr>
            <w:r>
              <w:t>Zone 7 valve open</w:t>
            </w:r>
          </w:p>
        </w:tc>
      </w:tr>
      <w:tr>
        <w:tc>
          <w:tcPr>
            <w:tcW w:type="dxa" w:w="2160"/>
          </w:tcPr>
          <w:p>
            <w:pPr>
              <w:jc w:val="center"/>
            </w:pPr>
            <w:r>
              <w:t>010</w:t>
            </w:r>
          </w:p>
        </w:tc>
        <w:tc>
          <w:tcPr>
            <w:tcW w:type="dxa" w:w="2160"/>
          </w:tcPr>
          <w:p>
            <w:pPr>
              <w:jc w:val="center"/>
            </w:pPr>
            <w:r>
              <w:t>Relay 10 OFF</w:t>
            </w:r>
          </w:p>
        </w:tc>
        <w:tc>
          <w:tcPr>
            <w:tcW w:type="dxa" w:w="2160"/>
          </w:tcPr>
          <w:p>
            <w:pPr>
              <w:jc w:val="center"/>
            </w:pPr>
            <w:r>
              <w:t>PA6 → LOW</w:t>
            </w:r>
          </w:p>
        </w:tc>
        <w:tc>
          <w:tcPr>
            <w:tcW w:type="dxa" w:w="2160"/>
          </w:tcPr>
          <w:p>
            <w:pPr>
              <w:jc w:val="center"/>
            </w:pPr>
            <w:r>
              <w:t>Auxiliary relay</w:t>
            </w:r>
          </w:p>
        </w:tc>
      </w:tr>
      <w:tr>
        <w:tc>
          <w:tcPr>
            <w:tcW w:type="dxa" w:w="2160"/>
          </w:tcPr>
          <w:p>
            <w:pPr>
              <w:jc w:val="center"/>
            </w:pPr>
            <w:r>
              <w:t>110</w:t>
            </w:r>
          </w:p>
        </w:tc>
        <w:tc>
          <w:tcPr>
            <w:tcW w:type="dxa" w:w="2160"/>
          </w:tcPr>
          <w:p>
            <w:pPr>
              <w:jc w:val="center"/>
            </w:pPr>
            <w:r>
              <w:t>Relay 10 ON</w:t>
            </w:r>
          </w:p>
        </w:tc>
        <w:tc>
          <w:tcPr>
            <w:tcW w:type="dxa" w:w="2160"/>
          </w:tcPr>
          <w:p>
            <w:pPr>
              <w:jc w:val="center"/>
            </w:pPr>
            <w:r>
              <w:t>PA6 → HIGH</w:t>
            </w:r>
          </w:p>
        </w:tc>
        <w:tc>
          <w:tcPr>
            <w:tcW w:type="dxa" w:w="2160"/>
          </w:tcPr>
          <w:p>
            <w:pPr>
              <w:jc w:val="center"/>
            </w:pPr>
            <w:r>
              <w:t>Auxiliary relay</w:t>
            </w:r>
          </w:p>
        </w:tc>
      </w:tr>
      <w:tr>
        <w:tc>
          <w:tcPr>
            <w:tcW w:type="dxa" w:w="2160"/>
          </w:tcPr>
          <w:p>
            <w:pPr>
              <w:jc w:val="center"/>
            </w:pPr>
            <w:r>
              <w:t>011</w:t>
            </w:r>
          </w:p>
        </w:tc>
        <w:tc>
          <w:tcPr>
            <w:tcW w:type="dxa" w:w="2160"/>
          </w:tcPr>
          <w:p>
            <w:pPr>
              <w:jc w:val="center"/>
            </w:pPr>
            <w:r>
              <w:t>Relay 11 OFF</w:t>
            </w:r>
          </w:p>
        </w:tc>
        <w:tc>
          <w:tcPr>
            <w:tcW w:type="dxa" w:w="2160"/>
          </w:tcPr>
          <w:p>
            <w:pPr>
              <w:jc w:val="center"/>
            </w:pPr>
            <w:r>
              <w:t>PA7 → LOW</w:t>
            </w:r>
          </w:p>
        </w:tc>
        <w:tc>
          <w:tcPr>
            <w:tcW w:type="dxa" w:w="2160"/>
          </w:tcPr>
          <w:p>
            <w:pPr>
              <w:jc w:val="center"/>
            </w:pPr>
            <w:r>
              <w:t>Auxiliary relay</w:t>
            </w:r>
          </w:p>
        </w:tc>
      </w:tr>
      <w:tr>
        <w:tc>
          <w:tcPr>
            <w:tcW w:type="dxa" w:w="2160"/>
          </w:tcPr>
          <w:p>
            <w:pPr>
              <w:jc w:val="center"/>
            </w:pPr>
            <w:r>
              <w:t>111</w:t>
            </w:r>
          </w:p>
        </w:tc>
        <w:tc>
          <w:tcPr>
            <w:tcW w:type="dxa" w:w="2160"/>
          </w:tcPr>
          <w:p>
            <w:pPr>
              <w:jc w:val="center"/>
            </w:pPr>
            <w:r>
              <w:t>Relay 11 ON</w:t>
            </w:r>
          </w:p>
        </w:tc>
        <w:tc>
          <w:tcPr>
            <w:tcW w:type="dxa" w:w="2160"/>
          </w:tcPr>
          <w:p>
            <w:pPr>
              <w:jc w:val="center"/>
            </w:pPr>
            <w:r>
              <w:t>PA7 → HIGH</w:t>
            </w:r>
          </w:p>
        </w:tc>
        <w:tc>
          <w:tcPr>
            <w:tcW w:type="dxa" w:w="2160"/>
          </w:tcPr>
          <w:p>
            <w:pPr>
              <w:jc w:val="center"/>
            </w:pPr>
            <w:r>
              <w:t>Auxiliary relay</w:t>
            </w:r>
          </w:p>
        </w:tc>
      </w:tr>
      <w:tr>
        <w:tc>
          <w:tcPr>
            <w:tcW w:type="dxa" w:w="2160"/>
          </w:tcPr>
          <w:p>
            <w:pPr>
              <w:jc w:val="center"/>
            </w:pPr>
            <w:r>
              <w:t>M0</w:t>
            </w:r>
          </w:p>
        </w:tc>
        <w:tc>
          <w:tcPr>
            <w:tcW w:type="dxa" w:w="2160"/>
          </w:tcPr>
          <w:p>
            <w:pPr>
              <w:jc w:val="center"/>
            </w:pPr>
            <w:r>
              <w:t>Stepper decrease</w:t>
            </w:r>
          </w:p>
        </w:tc>
        <w:tc>
          <w:tcPr>
            <w:tcW w:type="dxa" w:w="2160"/>
          </w:tcPr>
          <w:p>
            <w:pPr>
              <w:jc w:val="center"/>
            </w:pPr>
            <w:r>
              <w:t>PA0 pulse</w:t>
            </w:r>
          </w:p>
        </w:tc>
        <w:tc>
          <w:tcPr>
            <w:tcW w:type="dxa" w:w="2160"/>
          </w:tcPr>
          <w:p>
            <w:pPr>
              <w:jc w:val="center"/>
            </w:pPr>
            <w:r>
              <w:t>Reduce fertilizer conc.</w:t>
            </w:r>
          </w:p>
        </w:tc>
      </w:tr>
      <w:tr>
        <w:tc>
          <w:tcPr>
            <w:tcW w:type="dxa" w:w="2160"/>
          </w:tcPr>
          <w:p>
            <w:pPr>
              <w:jc w:val="center"/>
            </w:pPr>
            <w:r>
              <w:t>M1</w:t>
            </w:r>
          </w:p>
        </w:tc>
        <w:tc>
          <w:tcPr>
            <w:tcW w:type="dxa" w:w="2160"/>
          </w:tcPr>
          <w:p>
            <w:pPr>
              <w:jc w:val="center"/>
            </w:pPr>
            <w:r>
              <w:t>Stepper increase</w:t>
            </w:r>
          </w:p>
        </w:tc>
        <w:tc>
          <w:tcPr>
            <w:tcW w:type="dxa" w:w="2160"/>
          </w:tcPr>
          <w:p>
            <w:pPr>
              <w:jc w:val="center"/>
            </w:pPr>
            <w:r>
              <w:t>PA1 pulse</w:t>
            </w:r>
          </w:p>
        </w:tc>
        <w:tc>
          <w:tcPr>
            <w:tcW w:type="dxa" w:w="2160"/>
          </w:tcPr>
          <w:p>
            <w:pPr>
              <w:jc w:val="center"/>
            </w:pPr>
            <w:r>
              <w:t>Increase fertilizer conc.</w:t>
            </w:r>
          </w:p>
        </w:tc>
      </w:tr>
    </w:tbl>
    <w:p/>
    <w:p>
      <w:pPr>
        <w:spacing w:before="280" w:after="80"/>
        <w:jc w:val="left"/>
      </w:pPr>
      <w:r>
        <w:rPr>
          <w:b/>
          <w:color w:val="1F497D"/>
          <w:sz w:val="26"/>
        </w:rPr>
        <w:t>B.2  ESP32 to Sensor Module Command Set</w:t>
      </w:r>
    </w:p>
    <w:p>
      <w:pPr>
        <w:spacing w:after="120"/>
        <w:ind w:firstLine="425"/>
        <w:jc w:val="both"/>
      </w:pPr>
      <w:r>
        <w:t>The following table defines all commands that the ESP32 sends to the Sensor Module over UART3. Commands are ASCII strings terminated with \r\n. The Sensor Module responds only to the 999 (sensor data request) command; all other commands are configuration writes with no acknowledgment.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Command Format</w:t>
            </w:r>
          </w:p>
        </w:tc>
        <w:tc>
          <w:tcPr>
            <w:tcW w:type="dxa" w:w="2160"/>
          </w:tcPr>
          <w:p>
            <w:pPr>
              <w:jc w:val="center"/>
            </w:pPr>
            <w:r>
              <w:rPr>
                <w:b/>
              </w:rPr>
              <w:t>Description</w:t>
            </w:r>
          </w:p>
        </w:tc>
        <w:tc>
          <w:tcPr>
            <w:tcW w:type="dxa" w:w="2160"/>
          </w:tcPr>
          <w:p>
            <w:pPr>
              <w:jc w:val="center"/>
            </w:pPr>
            <w:r>
              <w:rPr>
                <w:b/>
              </w:rPr>
              <w:t>Example</w:t>
            </w:r>
          </w:p>
        </w:tc>
        <w:tc>
          <w:tcPr>
            <w:tcW w:type="dxa" w:w="2160"/>
          </w:tcPr>
          <w:p>
            <w:pPr>
              <w:jc w:val="center"/>
            </w:pPr>
            <w:r>
              <w:rPr>
                <w:b/>
              </w:rPr>
              <w:t>Response</w:t>
            </w:r>
          </w:p>
        </w:tc>
      </w:tr>
      <w:tr>
        <w:tc>
          <w:tcPr>
            <w:tcW w:type="dxa" w:w="2160"/>
          </w:tcPr>
          <w:p>
            <w:pPr>
              <w:jc w:val="center"/>
            </w:pPr>
            <w:r>
              <w:t>999</w:t>
            </w:r>
          </w:p>
        </w:tc>
        <w:tc>
          <w:tcPr>
            <w:tcW w:type="dxa" w:w="2160"/>
          </w:tcPr>
          <w:p>
            <w:pPr>
              <w:jc w:val="center"/>
            </w:pPr>
            <w:r>
              <w:t>Request current sensor data</w:t>
            </w:r>
          </w:p>
        </w:tc>
        <w:tc>
          <w:tcPr>
            <w:tcW w:type="dxa" w:w="2160"/>
          </w:tcPr>
          <w:p>
            <w:pPr>
              <w:jc w:val="center"/>
            </w:pPr>
            <w:r>
              <w:t>999\r\n</w:t>
            </w:r>
          </w:p>
        </w:tc>
        <w:tc>
          <w:tcPr>
            <w:tcW w:type="dxa" w:w="2160"/>
          </w:tcPr>
          <w:p>
            <w:pPr>
              <w:jc w:val="center"/>
            </w:pPr>
            <w:r>
              <w:t>TDSstring + phString (10 chars)</w:t>
            </w:r>
          </w:p>
        </w:tc>
      </w:tr>
      <w:tr>
        <w:tc>
          <w:tcPr>
            <w:tcW w:type="dxa" w:w="2160"/>
          </w:tcPr>
          <w:p>
            <w:pPr>
              <w:jc w:val="center"/>
            </w:pPr>
            <w:r>
              <w:t>801</w:t>
            </w:r>
          </w:p>
        </w:tc>
        <w:tc>
          <w:tcPr>
            <w:tcW w:type="dxa" w:w="2160"/>
          </w:tcPr>
          <w:p>
            <w:pPr>
              <w:jc w:val="center"/>
            </w:pPr>
            <w:r>
              <w:t>Start irrigation sequence</w:t>
            </w:r>
          </w:p>
        </w:tc>
        <w:tc>
          <w:tcPr>
            <w:tcW w:type="dxa" w:w="2160"/>
          </w:tcPr>
          <w:p>
            <w:pPr>
              <w:jc w:val="center"/>
            </w:pPr>
            <w:r>
              <w:t>801\r\n</w:t>
            </w:r>
          </w:p>
        </w:tc>
        <w:tc>
          <w:tcPr>
            <w:tcW w:type="dxa" w:w="2160"/>
          </w:tcPr>
          <w:p>
            <w:pPr>
              <w:jc w:val="center"/>
            </w:pPr>
            <w:r>
              <w:t>None (sequence begins)</w:t>
            </w:r>
          </w:p>
        </w:tc>
      </w:tr>
      <w:tr>
        <w:tc>
          <w:tcPr>
            <w:tcW w:type="dxa" w:w="2160"/>
          </w:tcPr>
          <w:p>
            <w:pPr>
              <w:jc w:val="center"/>
            </w:pPr>
            <w:r>
              <w:t>S1xxxx</w:t>
            </w:r>
          </w:p>
        </w:tc>
        <w:tc>
          <w:tcPr>
            <w:tcW w:type="dxa" w:w="2160"/>
          </w:tcPr>
          <w:p>
            <w:pPr>
              <w:jc w:val="center"/>
            </w:pPr>
            <w:r>
              <w:t>Set zone 1 duration (seconds)</w:t>
            </w:r>
          </w:p>
        </w:tc>
        <w:tc>
          <w:tcPr>
            <w:tcW w:type="dxa" w:w="2160"/>
          </w:tcPr>
          <w:p>
            <w:pPr>
              <w:jc w:val="center"/>
            </w:pPr>
            <w:r>
              <w:t>S11800\r\n</w:t>
            </w:r>
          </w:p>
        </w:tc>
        <w:tc>
          <w:tcPr>
            <w:tcW w:type="dxa" w:w="2160"/>
          </w:tcPr>
          <w:p>
            <w:pPr>
              <w:jc w:val="center"/>
            </w:pPr>
            <w:r>
              <w:t>None (sets interval1=1800)</w:t>
            </w:r>
          </w:p>
        </w:tc>
      </w:tr>
      <w:tr>
        <w:tc>
          <w:tcPr>
            <w:tcW w:type="dxa" w:w="2160"/>
          </w:tcPr>
          <w:p>
            <w:pPr>
              <w:jc w:val="center"/>
            </w:pPr>
            <w:r>
              <w:t>S2xxxx</w:t>
            </w:r>
          </w:p>
        </w:tc>
        <w:tc>
          <w:tcPr>
            <w:tcW w:type="dxa" w:w="2160"/>
          </w:tcPr>
          <w:p>
            <w:pPr>
              <w:jc w:val="center"/>
            </w:pPr>
            <w:r>
              <w:t>Set zone 2 duration (seconds)</w:t>
            </w:r>
          </w:p>
        </w:tc>
        <w:tc>
          <w:tcPr>
            <w:tcW w:type="dxa" w:w="2160"/>
          </w:tcPr>
          <w:p>
            <w:pPr>
              <w:jc w:val="center"/>
            </w:pPr>
            <w:r>
              <w:t>S20900\r\n</w:t>
            </w:r>
          </w:p>
        </w:tc>
        <w:tc>
          <w:tcPr>
            <w:tcW w:type="dxa" w:w="2160"/>
          </w:tcPr>
          <w:p>
            <w:pPr>
              <w:jc w:val="center"/>
            </w:pPr>
            <w:r>
              <w:t>None (sets interval2=900)</w:t>
            </w:r>
          </w:p>
        </w:tc>
      </w:tr>
      <w:tr>
        <w:tc>
          <w:tcPr>
            <w:tcW w:type="dxa" w:w="2160"/>
          </w:tcPr>
          <w:p>
            <w:pPr>
              <w:jc w:val="center"/>
            </w:pPr>
            <w:r>
              <w:t>S3xxxx</w:t>
            </w:r>
          </w:p>
        </w:tc>
        <w:tc>
          <w:tcPr>
            <w:tcW w:type="dxa" w:w="2160"/>
          </w:tcPr>
          <w:p>
            <w:pPr>
              <w:jc w:val="center"/>
            </w:pPr>
            <w:r>
              <w:t>Set zone 3 duration (seconds)</w:t>
            </w:r>
          </w:p>
        </w:tc>
        <w:tc>
          <w:tcPr>
            <w:tcW w:type="dxa" w:w="2160"/>
          </w:tcPr>
          <w:p>
            <w:pPr>
              <w:jc w:val="center"/>
            </w:pPr>
            <w:r>
              <w:t>S31200\r\n</w:t>
            </w:r>
          </w:p>
        </w:tc>
        <w:tc>
          <w:tcPr>
            <w:tcW w:type="dxa" w:w="2160"/>
          </w:tcPr>
          <w:p>
            <w:pPr>
              <w:jc w:val="center"/>
            </w:pPr>
            <w:r>
              <w:t>None (sets interval3=1200)</w:t>
            </w:r>
          </w:p>
        </w:tc>
      </w:tr>
      <w:tr>
        <w:tc>
          <w:tcPr>
            <w:tcW w:type="dxa" w:w="2160"/>
          </w:tcPr>
          <w:p>
            <w:pPr>
              <w:jc w:val="center"/>
            </w:pPr>
            <w:r>
              <w:t>S4xxxx</w:t>
            </w:r>
          </w:p>
        </w:tc>
        <w:tc>
          <w:tcPr>
            <w:tcW w:type="dxa" w:w="2160"/>
          </w:tcPr>
          <w:p>
            <w:pPr>
              <w:jc w:val="center"/>
            </w:pPr>
            <w:r>
              <w:t>Set zone 4 duration (seconds)</w:t>
            </w:r>
          </w:p>
        </w:tc>
        <w:tc>
          <w:tcPr>
            <w:tcW w:type="dxa" w:w="2160"/>
          </w:tcPr>
          <w:p>
            <w:pPr>
              <w:jc w:val="center"/>
            </w:pPr>
            <w:r>
              <w:t>S40600\r\n</w:t>
            </w:r>
          </w:p>
        </w:tc>
        <w:tc>
          <w:tcPr>
            <w:tcW w:type="dxa" w:w="2160"/>
          </w:tcPr>
          <w:p>
            <w:pPr>
              <w:jc w:val="center"/>
            </w:pPr>
            <w:r>
              <w:t>None (sets interval4=600)</w:t>
            </w:r>
          </w:p>
        </w:tc>
      </w:tr>
      <w:tr>
        <w:tc>
          <w:tcPr>
            <w:tcW w:type="dxa" w:w="2160"/>
          </w:tcPr>
          <w:p>
            <w:pPr>
              <w:jc w:val="center"/>
            </w:pPr>
            <w:r>
              <w:t>Exxxx</w:t>
            </w:r>
          </w:p>
        </w:tc>
        <w:tc>
          <w:tcPr>
            <w:tcW w:type="dxa" w:w="2160"/>
          </w:tcPr>
          <w:p>
            <w:pPr>
              <w:jc w:val="center"/>
            </w:pPr>
            <w:r>
              <w:t>Set TDS target (value × 1000)</w:t>
            </w:r>
          </w:p>
        </w:tc>
        <w:tc>
          <w:tcPr>
            <w:tcW w:type="dxa" w:w="2160"/>
          </w:tcPr>
          <w:p>
            <w:pPr>
              <w:jc w:val="center"/>
            </w:pPr>
            <w:r>
              <w:t>E1300\r\n</w:t>
            </w:r>
          </w:p>
        </w:tc>
        <w:tc>
          <w:tcPr>
            <w:tcW w:type="dxa" w:w="2160"/>
          </w:tcPr>
          <w:p>
            <w:pPr>
              <w:jc w:val="center"/>
            </w:pPr>
            <w:r>
              <w:t>None (sets target=1.3 ppm)</w:t>
            </w:r>
          </w:p>
        </w:tc>
      </w:tr>
      <w:tr>
        <w:tc>
          <w:tcPr>
            <w:tcW w:type="dxa" w:w="2160"/>
          </w:tcPr>
          <w:p>
            <w:pPr>
              <w:jc w:val="center"/>
            </w:pPr>
            <w:r>
              <w:t>Rxx</w:t>
            </w:r>
          </w:p>
        </w:tc>
        <w:tc>
          <w:tcPr>
            <w:tcW w:type="dxa" w:w="2160"/>
          </w:tcPr>
          <w:p>
            <w:pPr>
              <w:jc w:val="center"/>
            </w:pPr>
            <w:r>
              <w:t>Activate zone relay flag</w:t>
            </w:r>
          </w:p>
        </w:tc>
        <w:tc>
          <w:tcPr>
            <w:tcW w:type="dxa" w:w="2160"/>
          </w:tcPr>
          <w:p>
            <w:pPr>
              <w:jc w:val="center"/>
            </w:pPr>
            <w:r>
              <w:t>R05\r\n</w:t>
            </w:r>
          </w:p>
        </w:tc>
        <w:tc>
          <w:tcPr>
            <w:tcW w:type="dxa" w:w="2160"/>
          </w:tcPr>
          <w:p>
            <w:pPr>
              <w:jc w:val="center"/>
            </w:pPr>
            <w:r>
              <w:t>None (sets relay5=true)</w:t>
            </w:r>
          </w:p>
        </w:tc>
      </w:tr>
    </w:tbl>
    <w:p/>
    <w:p>
      <w:pPr>
        <w:spacing w:before="280" w:after="80"/>
        <w:jc w:val="left"/>
      </w:pPr>
      <w:r>
        <w:rPr>
          <w:b/>
          <w:color w:val="1F497D"/>
          <w:sz w:val="26"/>
        </w:rPr>
        <w:t>B.3  MQTT Topic and Payload Specification</w:t>
      </w:r>
    </w:p>
    <w:p>
      <w:pPr>
        <w:spacing w:after="120"/>
        <w:ind w:firstLine="425"/>
        <w:jc w:val="both"/>
      </w:pPr>
      <w:r>
        <w:t>The following specification defines the MQTT topic structure and JSON payload format for the Smart Flow 2.0 cloud layer. This specification is the interface contract between the ESP32 firmware and any client application (mobile app, web dashboard, third-party integration).</w:t>
      </w:r>
    </w:p>
    <w:p>
      <w:pPr>
        <w:spacing w:after="120"/>
        <w:ind w:firstLine="425"/>
        <w:jc w:val="both"/>
      </w:pPr>
      <w:r>
        <w:rPr>
          <w:b/>
        </w:rPr>
        <w:t>Topic: smartflow/{device_id}/sensors</w:t>
      </w:r>
      <w:r>
        <w:t xml:space="preserve"> — Published by ESP32 every 10 seconds (configurable). Payload: JSON object containing current sensor readings and a Unix timestamp.</w:t>
      </w:r>
    </w:p>
    <w:p>
      <w:pPr>
        <w:spacing w:after="120"/>
        <w:ind w:firstLine="425"/>
        <w:jc w:val="both"/>
      </w:pPr>
      <w:r>
        <w:t>Example payload: {"device_id": "sf2_001", "tds": 1.24, "ph": 6.8, "pressure": 1.5, "pump_active": true, "sequence": 3, "timestamp": 1748000000}</w:t>
      </w:r>
    </w:p>
    <w:p>
      <w:pPr>
        <w:spacing w:after="120"/>
        <w:ind w:firstLine="425"/>
        <w:jc w:val="both"/>
      </w:pPr>
      <w:r>
        <w:rPr>
          <w:b/>
        </w:rPr>
        <w:t>Topic: smartflow/{device_id}/cmd</w:t>
      </w:r>
      <w:r>
        <w:t xml:space="preserve"> — Subscribed by ESP32. Published by mobile app or automation system. Payload: JSON command object.</w:t>
      </w:r>
    </w:p>
    <w:p>
      <w:pPr>
        <w:spacing w:after="120"/>
        <w:ind w:firstLine="425"/>
        <w:jc w:val="both"/>
      </w:pPr>
      <w:r>
        <w:t>Example payloads: {"action": "start_sequence", "zones": [3, 5, 6], "durations": [1800, 900, 1200]} or {"action": "set_tds_target", "value": 1.3} or {"action": "manual_relay", "relay": 5, "state": true}</w:t>
      </w:r>
    </w:p>
    <w:p>
      <w:pPr>
        <w:spacing w:after="120"/>
        <w:ind w:firstLine="425"/>
        <w:jc w:val="both"/>
      </w:pPr>
      <w:r>
        <w:rPr>
          <w:b/>
        </w:rPr>
        <w:t>Topic: smartflow/{device_id}/status</w:t>
      </w:r>
      <w:r>
        <w:t xml:space="preserve"> — Published by ESP32 on connection, disconnection, and fault events. Used for system health monitoring. Payload: {"state": "online/offline/fault", "uptime_s": 3600, "wifi_rssi": -65, "timestamp": 1748000000}</w:t>
      </w:r>
    </w:p>
    <w:p>
      <w:r>
        <w:br w:type="page"/>
      </w:r>
    </w:p>
    <w:p>
      <w:pPr>
        <w:spacing w:before="280" w:after="80"/>
        <w:jc w:val="left"/>
      </w:pPr>
      <w:r>
        <w:rPr>
          <w:b/>
          <w:color w:val="1F497D"/>
          <w:sz w:val="32"/>
        </w:rPr>
        <w:t>Appendix C: Sensor Calibration Procedures</w:t>
      </w:r>
    </w:p>
    <w:p>
      <w:pPr>
        <w:spacing w:before="280" w:after="80"/>
        <w:jc w:val="left"/>
      </w:pPr>
      <w:r>
        <w:rPr>
          <w:b/>
          <w:color w:val="1F497D"/>
          <w:sz w:val="26"/>
        </w:rPr>
        <w:t>C.1  TDS Sensor Calibration</w:t>
      </w:r>
    </w:p>
    <w:p>
      <w:pPr>
        <w:spacing w:after="120"/>
        <w:ind w:firstLine="425"/>
        <w:jc w:val="both"/>
      </w:pPr>
      <w:r>
        <w:t>The TDS probe requires calibration before first use and periodically thereafter (recommended every 3 months or after any physical probe replacement). The calibration procedure establishes the relationship between raw ADC counts and actual dissolved solids concentration by measuring the sensor output in solutions of known concentration.</w:t>
      </w:r>
    </w:p>
    <w:p>
      <w:pPr>
        <w:spacing w:after="120"/>
        <w:ind w:firstLine="425"/>
        <w:jc w:val="both"/>
      </w:pPr>
      <w:r>
        <w:t>Required materials: Deionized or distilled water (0 ppm reference), a 500 ppm NaCl calibration solution (prepared by dissolving 0.5 g of laboratory-grade sodium chloride in 1 liter of deionized water, or using a commercial calibration solution), a commercial reference TDS meter for verification.</w:t>
      </w:r>
    </w:p>
    <w:p>
      <w:pPr>
        <w:spacing w:after="120"/>
        <w:ind w:firstLine="425"/>
        <w:jc w:val="both"/>
      </w:pPr>
      <w:r>
        <w:rPr>
          <w:b/>
        </w:rPr>
        <w:t>Procedure:</w:t>
      </w:r>
      <w:r>
        <w:t xml:space="preserve"> Step 1 — immerse the TDS probe in deionized water and record the average ADC reading (should be near zero, typically 50 to 150 ADC counts due to baseline noise). Step 2 — rinse the probe with deionized water and immerse in the 500 ppm reference solution. Record the stabilized ADC reading (typically 800 to 1200 counts). Step 3 — calculate the calibration polynomial coefficients using the two reference points plus the cubic curve shape derived from the probe manufacturer's reference data. Step 4 — verify calibration by measuring an independent reference solution (for example, 750 ppm) and confirming the reading is within ±5 percent.</w:t>
      </w:r>
    </w:p>
    <w:p>
      <w:pPr>
        <w:spacing w:after="120"/>
        <w:ind w:firstLine="425"/>
        <w:jc w:val="both"/>
      </w:pPr>
      <w:r>
        <w:t>The cubic polynomial calibration formula used in the firmware (TDS = (170.42V³ - 253.86V² + 850.39V) × 0.5 / temperature_compensation) was derived from a three-point calibration using 0 ppm, 500 ppm, and 1000 ppm reference solutions. The temperature compensation coefficient (1.0 + 0.02 × (T - 25)) corrects for the approximately 2 percent per degree Celsius increase in ionic conductivity with temperature.</w:t>
      </w:r>
    </w:p>
    <w:p>
      <w:pPr>
        <w:spacing w:before="280" w:after="80"/>
        <w:jc w:val="left"/>
      </w:pPr>
      <w:r>
        <w:rPr>
          <w:b/>
          <w:color w:val="1F497D"/>
          <w:sz w:val="26"/>
        </w:rPr>
        <w:t>C.2  pH Sensor Calibration</w:t>
      </w:r>
    </w:p>
    <w:p>
      <w:pPr>
        <w:spacing w:after="120"/>
        <w:ind w:firstLine="425"/>
        <w:jc w:val="both"/>
      </w:pPr>
      <w:r>
        <w:t>pH electrodes are calibrated using a two-point procedure with standard buffer solutions. The two calibration points should bracket the expected measurement range — for agricultural irrigation water, buffers of pH 4.01 and pH 6.86 are appropriate.</w:t>
      </w:r>
    </w:p>
    <w:p>
      <w:pPr>
        <w:spacing w:after="120"/>
        <w:ind w:firstLine="425"/>
        <w:jc w:val="both"/>
      </w:pPr>
      <w:r>
        <w:rPr>
          <w:b/>
        </w:rPr>
        <w:t>Procedure:</w:t>
      </w:r>
      <w:r>
        <w:t xml:space="preserve"> Step 1 — prepare fresh pH 4.01 and pH 6.86 buffer solutions (commercial buffer sachets are recommended for reproducibility; self-prepared buffers using potassium hydrogen phthalate and phosphate salts are acceptable for laboratory use). Step 2 — immerse the electrode in the pH 7.0 buffer and record the stabilized ADC reading. The reading should correspond to approximately 2.5V (mid-scale) for a properly functioning electrode on a 5V reference. Step 3 — immerse the electrode in the pH 4.0 buffer and record the stabilized ADC reading. Step 4 — calculate the calibration offset using the two-point linear interpolation: calibration_value = pH_measured + 5.70 × (V_ADC × 5.0 / 4096) / 6, solved for calibration_value using the known buffer pH and measured ADC voltage. Step 5 — verify using an intermediate reference (pH 6.86 buffer if not used in calibration, or a fresh pH 5.0 buffer) and confirm accuracy within ±0.2 pH units.</w:t>
      </w:r>
    </w:p>
    <w:p>
      <w:pPr>
        <w:spacing w:after="120"/>
        <w:ind w:firstLine="425"/>
        <w:jc w:val="both"/>
      </w:pPr>
      <w:r>
        <w:t>Important notes on pH electrode maintenance: pH electrodes must be stored in a reference solution (typically 3.0 M KCl) when not in use. Storage in deionized water or dry storage will damage the glass membrane, causing slow response and inaccurate readings. The junction (the small hole or porous plug in the electrode body) must not be allowed to dry out. An electrode stored properly should have a working life of 12 to 18 months.</w:t>
      </w:r>
    </w:p>
    <w:p>
      <w:pPr>
        <w:spacing w:before="280" w:after="80"/>
        <w:jc w:val="left"/>
      </w:pPr>
      <w:r>
        <w:rPr>
          <w:b/>
          <w:color w:val="1F497D"/>
          <w:sz w:val="26"/>
        </w:rPr>
        <w:t>C.3  Pressure Sensor Characterization</w:t>
      </w:r>
    </w:p>
    <w:p>
      <w:pPr>
        <w:spacing w:after="120"/>
        <w:ind w:firstLine="425"/>
        <w:jc w:val="both"/>
      </w:pPr>
      <w:r>
        <w:t>The pressure transducer used in this project (0 to 10 bar range, 0.5 to 4.5V output) has a linear transfer function that does not require multi-point calibration — only offset and gain verification. The characterization procedure uses a calibrated reference pressure gauge connected in parallel with the sensor under test.</w:t>
      </w:r>
    </w:p>
    <w:p>
      <w:pPr>
        <w:spacing w:after="120"/>
        <w:ind w:firstLine="425"/>
        <w:jc w:val="both"/>
      </w:pPr>
      <w:r>
        <w:t>Two-point verification: First, at atmospheric pressure (0 bar gauge), the sensor output should be 0.5V, corresponding to an ADC reading of approximately 620 counts (on a 12-bit ADC with 3.3V reference: 0.5V / 3.3V × 4096 ≈ 620). Second, at a known pressure provided by a manual pump and reference gauge (for example, 2.0 bar), the expected output is 0.5 + (2.0/10) × 4.0 = 1.3V, corresponding to approximately 1613 ADC counts. Deviations greater than 2 percent from these expected values indicate a sensor fault or wiring issue.</w:t>
      </w:r>
    </w:p>
    <w:p>
      <w:r>
        <w:br w:type="page"/>
      </w:r>
    </w:p>
    <w:p>
      <w:pPr>
        <w:spacing w:before="280" w:after="80"/>
        <w:jc w:val="left"/>
      </w:pPr>
      <w:r>
        <w:rPr>
          <w:b/>
          <w:color w:val="1F497D"/>
          <w:sz w:val="32"/>
        </w:rPr>
        <w:t>Appendix D: Installation and Commissioning Guide</w:t>
      </w:r>
    </w:p>
    <w:p>
      <w:pPr>
        <w:spacing w:before="280" w:after="80"/>
        <w:jc w:val="left"/>
      </w:pPr>
      <w:r>
        <w:rPr>
          <w:b/>
          <w:color w:val="1F497D"/>
          <w:sz w:val="26"/>
        </w:rPr>
        <w:t>D.1  Pre-Installation Requirements</w:t>
      </w:r>
    </w:p>
    <w:p>
      <w:pPr>
        <w:spacing w:after="120"/>
        <w:ind w:firstLine="425"/>
        <w:jc w:val="both"/>
      </w:pPr>
      <w:r>
        <w:t>Before installing Smart Flow 2.0, the following site conditions should be assessed and prepared:</w:t>
      </w:r>
    </w:p>
    <w:p>
      <w:pPr>
        <w:pStyle w:val="ListBullet"/>
        <w:spacing w:after="60"/>
      </w:pPr>
      <w:r>
        <w:rPr>
          <w:b/>
        </w:rPr>
        <w:t xml:space="preserve">Water Supply: </w:t>
      </w:r>
      <w:r>
        <w:t>A pressurized water source capable of delivering at least 0.5 bar to the irrigation manifold. Well pumps, municipal connections, and gravity-fed tanks are all suitable. The minimum flow rate should be sufficient to supply all simultaneously active irrigation zones.</w:t>
      </w:r>
    </w:p>
    <w:p>
      <w:pPr>
        <w:pStyle w:val="ListBullet"/>
        <w:spacing w:after="60"/>
      </w:pPr>
      <w:r>
        <w:rPr>
          <w:b/>
        </w:rPr>
        <w:t xml:space="preserve">Power Supply: </w:t>
      </w:r>
      <w:r>
        <w:t>12V DC power at the central control location. This can be provided by a solar charge controller with battery storage (recommended for remote installations) or a 12V AC adapter from a grid connection.</w:t>
      </w:r>
    </w:p>
    <w:p>
      <w:pPr>
        <w:pStyle w:val="ListBullet"/>
        <w:spacing w:after="60"/>
      </w:pPr>
      <w:r>
        <w:rPr>
          <w:b/>
        </w:rPr>
        <w:t xml:space="preserve">WiFi Coverage: </w:t>
      </w:r>
      <w:r>
        <w:t>WiFi network coverage at the installation site, or mobile data coverage if using a mobile hotspot for the ESP32 connection. Minimum acceptable signal: -80 dBm RSSI.</w:t>
      </w:r>
    </w:p>
    <w:p>
      <w:pPr>
        <w:pStyle w:val="ListBullet"/>
        <w:spacing w:after="60"/>
      </w:pPr>
      <w:r>
        <w:rPr>
          <w:b/>
        </w:rPr>
        <w:t xml:space="preserve">Enclosure Location: </w:t>
      </w:r>
      <w:r>
        <w:t>A suitable enclosure location protected from direct weather exposure, at the central manifold point where the sensor probes will be installed in-line.</w:t>
      </w:r>
    </w:p>
    <w:p>
      <w:pPr>
        <w:spacing w:before="280" w:after="80"/>
        <w:jc w:val="left"/>
      </w:pPr>
      <w:r>
        <w:rPr>
          <w:b/>
          <w:color w:val="1F497D"/>
          <w:sz w:val="26"/>
        </w:rPr>
        <w:t>D.2  Hardware Assembly Sequence</w:t>
      </w:r>
    </w:p>
    <w:p>
      <w:pPr>
        <w:spacing w:after="120"/>
        <w:ind w:firstLine="425"/>
        <w:jc w:val="both"/>
      </w:pPr>
      <w:r>
        <w:t>The assembly follows a specific sequence to ensure the power system is not energized until all connections are verified.</w:t>
      </w:r>
    </w:p>
    <w:p>
      <w:pPr>
        <w:spacing w:after="120"/>
        <w:ind w:firstLine="425"/>
        <w:jc w:val="both"/>
      </w:pPr>
      <w:r>
        <w:rPr>
          <w:b/>
        </w:rPr>
        <w:t>Step 1</w:t>
      </w:r>
      <w:r>
        <w:t xml:space="preserve"> — Mount the Sensor Module STM32 board, the Relay Module STM32 board, the relay boards, and the ESP32 on the DIN rail inside the enclosure. Connect the 5V supply rail to all boards but do not connect the 12V input yet.</w:t>
      </w:r>
    </w:p>
    <w:p>
      <w:pPr>
        <w:spacing w:after="120"/>
        <w:ind w:firstLine="425"/>
        <w:jc w:val="both"/>
      </w:pPr>
      <w:r>
        <w:rPr>
          <w:b/>
        </w:rPr>
        <w:t>Step 2</w:t>
      </w:r>
      <w:r>
        <w:t xml:space="preserve"> — Wire the UART connection between Sensor Module (USART1 TX: PA9, GND) and Relay Module (USART3 RX: PB11, GND) using shielded two-conductor cable. Wire the UART connection between Sensor Module (USART3 TX: PB10, GND) and ESP32 (RX2, GND).</w:t>
      </w:r>
    </w:p>
    <w:p>
      <w:pPr>
        <w:spacing w:after="120"/>
        <w:ind w:firstLine="425"/>
        <w:jc w:val="both"/>
      </w:pPr>
      <w:r>
        <w:rPr>
          <w:b/>
        </w:rPr>
        <w:t>Step 3</w:t>
      </w:r>
      <w:r>
        <w:t xml:space="preserve"> — Connect the relay output terminals to the solenoid valve coils and pump relay using the relay board terminal blocks. Verify that the solenoid valve wiring polarity is correct (most 12V solenoids are not polarity-sensitive, but confirm with the valve datasheet). Ensure relay output wiring is adequately rated for the load current.</w:t>
      </w:r>
    </w:p>
    <w:p>
      <w:pPr>
        <w:spacing w:after="120"/>
        <w:ind w:firstLine="425"/>
        <w:jc w:val="both"/>
      </w:pPr>
      <w:r>
        <w:rPr>
          <w:b/>
        </w:rPr>
        <w:t>Step 4</w:t>
      </w:r>
      <w:r>
        <w:t xml:space="preserve"> — Install the TDS probe and pH electrode in the irrigation manifold in-line with the water flow, upstream of the zone valve distribution point. The probes must be fully immersed in flowing water during operation; install them in a horizontal pipe section with flow from bottom to top to prevent air pocket formation.</w:t>
      </w:r>
    </w:p>
    <w:p>
      <w:pPr>
        <w:spacing w:after="120"/>
        <w:ind w:firstLine="425"/>
        <w:jc w:val="both"/>
      </w:pPr>
      <w:r>
        <w:rPr>
          <w:b/>
        </w:rPr>
        <w:t>Step 5</w:t>
      </w:r>
      <w:r>
        <w:t xml:space="preserve"> — Connect the sensor analog signal cables to the Sensor Module analog input pins (TDS to PA0, pH to PA1). Install bypass capacitors (100 nF ceramic) at each ADC input pin to reduce high-frequency noise.</w:t>
      </w:r>
    </w:p>
    <w:p>
      <w:pPr>
        <w:spacing w:after="120"/>
        <w:ind w:firstLine="425"/>
        <w:jc w:val="both"/>
      </w:pPr>
      <w:r>
        <w:rPr>
          <w:b/>
        </w:rPr>
        <w:t>Step 6</w:t>
      </w:r>
      <w:r>
        <w:t xml:space="preserve"> — Configure the ESP32 with the WiFi credentials and MQTT broker address by flashing the firmware and editing the configuration file before installation, or using the Bluetooth configuration interface after installation.</w:t>
      </w:r>
    </w:p>
    <w:p>
      <w:pPr>
        <w:spacing w:after="120"/>
        <w:ind w:firstLine="425"/>
        <w:jc w:val="both"/>
      </w:pPr>
      <w:r>
        <w:rPr>
          <w:b/>
        </w:rPr>
        <w:t>Step 7</w:t>
      </w:r>
      <w:r>
        <w:t xml:space="preserve"> — Connect the 12V power supply and verify that all LED indicators on the STM32 boards and ESP32 show normal operation. Check UART communication by connecting a laptop to the Sensor Module's debug UART (if available) and verifying the sensor readings.</w:t>
      </w:r>
    </w:p>
    <w:p>
      <w:pPr>
        <w:spacing w:before="280" w:after="80"/>
        <w:jc w:val="left"/>
      </w:pPr>
      <w:r>
        <w:rPr>
          <w:b/>
          <w:color w:val="1F497D"/>
          <w:sz w:val="26"/>
        </w:rPr>
        <w:t>D.3  Initial Commissioning</w:t>
      </w:r>
    </w:p>
    <w:p>
      <w:pPr>
        <w:spacing w:after="120"/>
        <w:ind w:firstLine="425"/>
        <w:jc w:val="both"/>
      </w:pPr>
      <w:r>
        <w:t>After hardware assembly, the following commissioning steps are performed before the first irrigation cycle:</w:t>
      </w:r>
    </w:p>
    <w:p>
      <w:pPr>
        <w:spacing w:after="120"/>
        <w:ind w:firstLine="425"/>
        <w:jc w:val="both"/>
      </w:pPr>
      <w:r>
        <w:rPr>
          <w:b/>
        </w:rPr>
        <w:t>Sensor calibration:</w:t>
      </w:r>
      <w:r>
        <w:t xml:space="preserve"> Perform TDS and pH calibration as described in Appendix C before any irrigation sequences are run. Incorrect calibration values will cause the fertilizer concentration feedback loop to behave incorrectly.</w:t>
      </w:r>
    </w:p>
    <w:p>
      <w:pPr>
        <w:spacing w:after="120"/>
        <w:ind w:firstLine="425"/>
        <w:jc w:val="both"/>
      </w:pPr>
      <w:r>
        <w:rPr>
          <w:b/>
        </w:rPr>
        <w:t>Zone valve verification:</w:t>
      </w:r>
      <w:r>
        <w:t xml:space="preserve"> Using the manual relay control in the mobile app, individually open and close each zone valve and verify that the correct physical valve responds. This step detects wiring errors before they can cause irrigation of the wrong zone.</w:t>
      </w:r>
    </w:p>
    <w:p>
      <w:pPr>
        <w:spacing w:after="120"/>
        <w:ind w:firstLine="425"/>
        <w:jc w:val="both"/>
      </w:pPr>
      <w:r>
        <w:rPr>
          <w:b/>
        </w:rPr>
        <w:t>Pump test:</w:t>
      </w:r>
      <w:r>
        <w:t xml:space="preserve"> Activate the main pump relay and verify that water flows to the open zone valve at the expected pressure. Check the pressure sensor reading against a reference gauge at this point to confirm pressure sensor accuracy.</w:t>
      </w:r>
    </w:p>
    <w:p>
      <w:pPr>
        <w:spacing w:after="120"/>
        <w:ind w:firstLine="425"/>
        <w:jc w:val="both"/>
      </w:pPr>
      <w:r>
        <w:rPr>
          <w:b/>
        </w:rPr>
        <w:t>Short sequence test:</w:t>
      </w:r>
      <w:r>
        <w:t xml:space="preserve"> Run a test irrigation sequence with all zone durations set to 10 seconds and verify that the complete sequence executes correctly — all zones are visited in order, the fertilizer pump activates and deactivates correctly, and the system returns to idle after the last zone.</w:t>
      </w:r>
    </w:p>
    <w:p>
      <w:r>
        <w:br w:type="page"/>
      </w:r>
    </w:p>
    <w:p>
      <w:pPr>
        <w:spacing w:before="280" w:after="80"/>
        <w:jc w:val="left"/>
      </w:pPr>
      <w:r>
        <w:rPr>
          <w:b/>
          <w:color w:val="1F497D"/>
          <w:sz w:val="32"/>
        </w:rPr>
        <w:t>Appendix E: Extended Technical Analysis</w:t>
      </w:r>
    </w:p>
    <w:p>
      <w:pPr>
        <w:spacing w:before="280" w:after="80"/>
        <w:jc w:val="left"/>
      </w:pPr>
      <w:r>
        <w:rPr>
          <w:b/>
          <w:color w:val="1F497D"/>
          <w:sz w:val="26"/>
        </w:rPr>
        <w:t>E.1  TDS Measurement Physics and Error Sources</w:t>
      </w:r>
    </w:p>
    <w:p>
      <w:pPr>
        <w:spacing w:after="120"/>
        <w:ind w:firstLine="425"/>
        <w:jc w:val="both"/>
      </w:pPr>
      <w:r>
        <w:t>Understanding the physical principles behind conductivity-based TDS measurement is essential for interpreting the system's sensor data correctly and for identifying and mitigating the primary error sources in field conditions.</w:t>
      </w:r>
    </w:p>
    <w:p>
      <w:pPr>
        <w:spacing w:after="120"/>
        <w:ind w:firstLine="425"/>
        <w:jc w:val="both"/>
      </w:pPr>
      <w:r>
        <w:t>The fundamental measurement principle is based on Ohm's law applied to an ionic solution. When two electrodes are immersed in a conductive solution and a voltage is applied across them, ions in the solution carry current between the electrodes. The measured current, for a given applied voltage and electrode geometry, is proportional to the ion concentration. The proportionality constant — the cell constant, measured in cm⁻¹ — is determined by the electrode surface area and the distance between the electrodes, and is established during the manufacturing calibration of the probe.</w:t>
      </w:r>
    </w:p>
    <w:p>
      <w:pPr>
        <w:spacing w:after="120"/>
        <w:ind w:firstLine="425"/>
        <w:jc w:val="both"/>
      </w:pPr>
      <w:r>
        <w:t>Alternating current excitation is essential for accurate conductivity measurement. Direct current excitation causes electrolysis at the electrode surfaces: at the anode, oxidation reactions generate dissolved products that contaminate the measurement solution, and at the cathode, reduction reactions deposit metallic films on the electrode surface. Both effects change the electrode's electrochemical properties over time, causing progressive calibration drift. Alternating current, at a frequency sufficiently high to prevent significant electrolytic accumulation (typically 1 to 10 kHz), avoids these effects. The TDS probe modules used in this project use a 1 kHz square wave excitation generated by a simple oscillator on the signal conditioning board.</w:t>
      </w:r>
    </w:p>
    <w:p>
      <w:pPr>
        <w:spacing w:after="120"/>
        <w:ind w:firstLine="425"/>
        <w:jc w:val="both"/>
      </w:pPr>
      <w:r>
        <w:t>Temperature is the dominant error source in conductivity measurement. As temperature increases, the viscosity of water decreases, and ion mobility therefore increases — more ions pass between the electrodes per unit time for the same concentration, making the solution appear more conductive than it actually is. The temperature coefficient of approximately 2 percent per degree Celsius means that a 10°C change in water temperature produces a 20 percent change in measured conductivity at constant TDS. This is not a small effect: uncompensated, seasonal temperature variation from 10°C (winter groundwater temperature) to 25°C (summer irrigation water temperature) would produce a 30 percent apparent TDS change with no actual change in concentration.</w:t>
      </w:r>
    </w:p>
    <w:p>
      <w:pPr>
        <w:spacing w:after="120"/>
        <w:ind w:firstLine="425"/>
        <w:jc w:val="both"/>
      </w:pPr>
      <w:r>
        <w:t>The firmware compensates for temperature using a fixed temperature assumption of 19°C. This is a significant simplification: in a production system, a digital temperature sensor (such as the DS18B20, which communicates over a single-wire protocol and costs approximately 1 USD) would be installed at the probe location and used to provide a real-time temperature correction. At the current fixed 19°C assumption, measurement error increases by approximately 2 percent per degree Celsius of actual water temperature deviation from 19°C — a source of systematic error that should be documented and addressed in the next hardware revision.</w:t>
      </w:r>
    </w:p>
    <w:p>
      <w:pPr>
        <w:spacing w:before="280" w:after="80"/>
        <w:jc w:val="left"/>
      </w:pPr>
      <w:r>
        <w:rPr>
          <w:b/>
          <w:color w:val="1F497D"/>
          <w:sz w:val="26"/>
        </w:rPr>
        <w:t>E.2  The Irrigation Sequence State Machine — Detailed Analysis</w:t>
      </w:r>
    </w:p>
    <w:p>
      <w:pPr>
        <w:spacing w:after="120"/>
        <w:ind w:firstLine="425"/>
        <w:jc w:val="both"/>
      </w:pPr>
      <w:r>
        <w:t>The 13-state irrigation sequence state machine is the most complex behavioral component of the Smart Flow 2.0 firmware. A detailed analysis of its design, operation, and limitations follows.</w:t>
      </w:r>
    </w:p>
    <w:p>
      <w:pPr>
        <w:spacing w:after="120"/>
        <w:ind w:firstLine="425"/>
        <w:jc w:val="both"/>
      </w:pPr>
      <w:r>
        <w:t>The state machine is edge-triggered, not level-triggered: state transitions occur only on specific conditions (interval reaching zero) rather than being continuously evaluated. This design is correct for a timer-driven sequence controller — the system advances through states only when the timer says it is time to advance, preventing spurious transitions from noise or momentary condition changes.</w:t>
      </w:r>
    </w:p>
    <w:p>
      <w:pPr>
        <w:spacing w:after="120"/>
        <w:ind w:firstLine="425"/>
        <w:jc w:val="both"/>
      </w:pPr>
      <w:r>
        <w:t>The relay selection logic within the sequence has an important behavioral characteristic: the states that select which zone valve to open use a priority encoder pattern. The relay boolean flags (relay3 through relay11) are evaluated in order from relay3 to relay11, and the first true flag encountered determines which zone is selected. Once a zone completes its irrigation interval, its flag is cleared, and the next sequence step again evaluates from relay3 to relay11 to find the next active zone. This means that the irrigation order across multiple active zones is always relay3, then relay4, then relay5, and so on — the order cannot be customized from the mobile app. For the prototype, this limitation is acceptable; a production system would use an ordered queue data structure to allow the user to specify the zone sequence.</w:t>
      </w:r>
    </w:p>
    <w:p>
      <w:pPr>
        <w:spacing w:after="120"/>
        <w:ind w:firstLine="425"/>
        <w:jc w:val="both"/>
      </w:pPr>
      <w:r>
        <w:t>The TDS feedback loop runs during the fertilizer-pump-active states (states 3, 6, 9, and 12). The feedback logic is a simple bang-bang (on-off) controller with two thresholds: if TDS exceeds 1.3 ppm (representing the upper bound of the target range), the stepper motor is commanded to step toward dilution; if TDS falls below 1.0 ppm (the lower bound), the motor is commanded to step toward higher concentration. There is a 2-second minimum interval between stepper commands (implemented with the intervalT countdown) to prevent the motor from being commanded continuously during a single timer tick. The 0.3 ppm hysteresis band between 1.0 and 1.3 ppm prevents limit cycling — without this band, a controller at exactly the setpoint would alternate between increase and decrease commands on successive timer ticks.</w:t>
      </w:r>
    </w:p>
    <w:p>
      <w:pPr>
        <w:spacing w:after="120"/>
        <w:ind w:firstLine="425"/>
        <w:jc w:val="both"/>
      </w:pPr>
      <w:r>
        <w:t>A known limitation of the feedback control implementation is that the TDS measurement is taken in the delivery line, not at the crop root zone. The delivery line TDS represents the concentration of the fertilizer solution being delivered, but the actual concentration reaching the root zone is affected by soil dilution, irrigation rate, and time-of-travel in the drip lines. Professional fertigation systems measure both delivery EC and drainage EC from the root zone to compute the actual nutrient balance at the crop. This two-measurement approach is beyond the scope of the current prototype but is identified as the highest-value sensor addition for future development.</w:t>
      </w:r>
    </w:p>
    <w:p>
      <w:pPr>
        <w:spacing w:before="280" w:after="80"/>
        <w:jc w:val="left"/>
      </w:pPr>
      <w:r>
        <w:rPr>
          <w:b/>
          <w:color w:val="1F497D"/>
          <w:sz w:val="26"/>
        </w:rPr>
        <w:t>E.3  Reliability and Fault Tolerance Analysis</w:t>
      </w:r>
    </w:p>
    <w:p>
      <w:pPr>
        <w:spacing w:after="120"/>
        <w:ind w:firstLine="425"/>
        <w:jc w:val="both"/>
      </w:pPr>
      <w:r>
        <w:t>A field-deployed irrigation control system must continue to operate safely in the presence of component failures, communication interruptions, and power supply disturbances. The following analysis identifies the fault scenarios relevant to Smart Flow 2.0 and describes the current system response to each.</w:t>
      </w:r>
    </w:p>
    <w:p>
      <w:pPr>
        <w:spacing w:after="120"/>
        <w:ind w:firstLine="425"/>
        <w:jc w:val="both"/>
      </w:pPr>
      <w:r>
        <w:rPr>
          <w:b/>
        </w:rPr>
        <w:t>Power loss during irrigation:</w:t>
      </w:r>
      <w:r>
        <w:t xml:space="preserve"> If power is lost while the main pump and a zone valve are active, all GPIO outputs transition to their reset state (low, corresponding to relay off) as the STM32 loses power. The relay board's mechanical contacts will open, de-energizing the solenoid valve coils, which are spring-return normally-closed. Water flow stops within 100 to 500 milliseconds of power loss. This is the correct fail-safe behavior — irrigation stops rather than continuing uncontrolled. On power restoration, the STM32 boots with sequence state = 0 (idle) and does not resume any in-progress sequence.</w:t>
      </w:r>
    </w:p>
    <w:p>
      <w:pPr>
        <w:spacing w:after="120"/>
        <w:ind w:firstLine="425"/>
        <w:jc w:val="both"/>
      </w:pPr>
      <w:r>
        <w:rPr>
          <w:b/>
        </w:rPr>
        <w:t>WiFi/MQTT disconnection:</w:t>
      </w:r>
      <w:r>
        <w:t xml:space="preserve"> The ESP32 implements reconnection logic. During a connectivity outage, any in-progress irrigation sequence continues to completion without interruption (the Sensor Module operates independently of the cloud connection). New irrigation cycles cannot be started remotely during the outage, but the local Bluetooth interface remains available for manual control. Sensor data collected during the outage is not buffered — readings during the disconnection period are lost.</w:t>
      </w:r>
    </w:p>
    <w:p>
      <w:pPr>
        <w:spacing w:after="120"/>
        <w:ind w:firstLine="425"/>
        <w:jc w:val="both"/>
      </w:pPr>
      <w:r>
        <w:rPr>
          <w:b/>
        </w:rPr>
        <w:t>UART communication failure (Sensor Module to Relay Module):</w:t>
      </w:r>
      <w:r>
        <w:t xml:space="preserve"> If the UART cable is disconnected or damaged during a sequence, relay commands are lost and the Relay Module will not receive the command to close the current zone valve or stop the fertilizer pump. The zone valve and pump remain in whatever state they were in when communication was lost. The Sensor Module has no feedback mechanism to detect this failure in the current implementation. This is the most serious unhandled fault scenario and is flagged as a priority reliability improvement: adding a command acknowledgment protocol with timeout and alarm state would allow the Sensor Module to detect relay communication failure and enter a safe state.</w:t>
      </w:r>
    </w:p>
    <w:p>
      <w:pPr>
        <w:spacing w:after="120"/>
        <w:ind w:firstLine="425"/>
        <w:jc w:val="both"/>
      </w:pPr>
      <w:r>
        <w:rPr>
          <w:b/>
        </w:rPr>
        <w:t>Sensor probe failure:</w:t>
      </w:r>
      <w:r>
        <w:t xml:space="preserve"> If a TDS or pH probe fails (open circuit, short circuit, or calibration drift beyond the valid range), the ADC reading will return a value outside the physically meaningful range. The firmware currently does not implement range checking — invalid ADC readings are processed through the calibration formula and the result, however nonsensical, is used by the feedback controller. Adding input range validation (reject readings outside the physically plausible TDS range of 0 to 5000 ppm, or the pH range of 0 to 14) and flagging an alarm state when out-of-range readings persist would prevent the feedback controller from driving the stepper motor to an extreme position in response to a faulty sensor.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