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jc w:val="both"/>
      </w:pPr>
      <w:r>
        <w:rPr>
          <w:rFonts w:ascii="黑体" w:hAnsi="黑体"/>
          <w:b/>
          <w:sz w:val="24"/>
        </w:rPr>
      </w:r>
      <w:r>
        <w:rPr>
          <w:rFonts w:ascii="黑体" w:hAnsi="黑体"/>
          <w:b/>
          <w:sz w:val="24"/>
        </w:rPr>
        <w:t>进一步加强管理</w:t>
      </w:r>
    </w:p>
    <w:p>
      <w:pPr>
        <w:spacing w:line="240" w:lineRule="auto"/>
        <w:jc w:val="both"/>
      </w:pP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  <w:t>各单位务必高度重视本次工作，以习近平新时代中国特色社会主义思想为指导，认真贯彻实现中华民族伟大复兴的战略目标。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  <w:t>会议将于下周举行，届时请相关负责人出席。各单位要加强管理，确保各项工作落实到位、细致到位。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  <w:t>请各部门于本周五前提交工作计划，逾期不予受理。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