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both"/>
      </w:pPr>
      <w:r>
        <w:rPr>
          <w:rFonts w:ascii="黑体" w:hAnsi="黑体"/>
          <w:b/>
          <w:sz w:val="24"/>
        </w:rPr>
      </w:r>
      <w:r>
        <w:rPr>
          <w:rFonts w:ascii="黑体" w:hAnsi="黑体"/>
          <w:b/>
          <w:sz w:val="24"/>
        </w:rPr>
        <w:t>进一步加强管理</w:t>
      </w:r>
    </w:p>
    <w:p>
      <w:pPr>
        <w:spacing w:line="240" w:lineRule="auto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各单位务必高度重视本次工作，坚持以习近平新时代中国特色社会主义思想为指导，深入贯彻落实两个一百年奋斗目标。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会议将于下周举行，届时请相关负责人出席。我们要进一步加强管理，确保各项工作落实到位、细致周全。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