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黑体" w:hAnsi="黑体"/>
          <w:b/>
          <w:sz w:val="24"/>
        </w:rPr>
      </w:r>
      <w:r>
        <w:rPr>
          <w:rFonts w:ascii="黑体" w:hAnsi="黑体"/>
          <w:b/>
          <w:sz w:val="24"/>
        </w:rPr>
        <w:t>进一步加强管理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各单位务必高度重视本次工作，按照中国特色社会主义理论的要求，认真贯彻"两个一百年"奋斗目标。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会议将于下周举行，届时请相关负责人出席。我们要进一步加强管理，确保各项工作落实到位、细致周全。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